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group-79aec264a8d4ad79bda1</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Urban cooperation for sustainable development in Europe: a co-designed methodology to foster multi-level governance — https://doi.org/10.1108/ijpsm-12-2025-0662</w:t>
      </w:r>
    </w:p>
    <w:p>
      <w:pPr/>
      <w:r>
        <w:rPr>
          <w:b/>
        </w:rPr>
        <w:t>Later source:</w:t>
      </w:r>
      <w:r>
        <w:t xml:space="preserve"> Methodologies for the design of positive energy districts: A scoping literature review and a proposal for a new approach (PlanPED) — https://doi.org/10.1016/j.buildenv.2024.111667</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group-9ba0a0aee4c0dc102acc</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Population projections, the flow of new households and structural housing demand — https://doi.org/10.26504/rs190</w:t>
      </w:r>
    </w:p>
    <w:p>
      <w:pPr/>
      <w:r>
        <w:rPr>
          <w:b/>
        </w:rPr>
        <w:t>Later source:</w:t>
      </w:r>
      <w:r>
        <w:t xml:space="preserve"> The accuracy of Statistics Norway's national population projections — https://openalex.org/W3158609918</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group-a34173503b6e149e8c84</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Accelerating Light-Duty Fleet Decarbonisation through Energy Efficiency Audits: Results and Methodology Assessment — https://doi.org/10.1051/e3sconf/202448702001</w:t>
      </w:r>
    </w:p>
    <w:p>
      <w:pPr/>
      <w:r>
        <w:rPr>
          <w:b/>
        </w:rPr>
        <w:t>Later source:</w:t>
      </w:r>
      <w:r>
        <w:t xml:space="preserve"> EU Railways: Contribution to Decarbonisation Solution — https://doi.org/10.31857/s0201708324020062</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group-39996fa62cb29087104d</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Research Infrastructures and the Open Science Roadmap: European and Italian Strategies and Policies — https://doi.org/10.1007/978-3-032-29575-0_2</w:t>
      </w:r>
    </w:p>
    <w:p>
      <w:pPr/>
      <w:r>
        <w:rPr>
          <w:b/>
        </w:rPr>
        <w:t>Later source:</w:t>
      </w:r>
      <w:r>
        <w:t xml:space="preserve"> Diamond OA Policy Forum Europe: Strategies for Funding Diamond OA in Europe — https://doi.org/10.5281/zenodo.23301450</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group-61e1d32ccdd0284c18e7</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Projections of streamflow intermittence under climate change in European drying river networks — https://doi.org/10.5194/hess-29-1615-2025</w:t>
      </w:r>
    </w:p>
    <w:p>
      <w:pPr/>
      <w:r>
        <w:rPr>
          <w:b/>
        </w:rPr>
        <w:t>Later source:</w:t>
      </w:r>
      <w:r>
        <w:t xml:space="preserve"> The Accelerating Exposure of European Protected Areas to Climate Change — https://doi.org/10.1111/gcb.70261</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group-b1d659edae3729afb891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Population exposure to multiple air pollutants and its compound episodes in Europe — https://doi.org/10.1038/s41467-024-46103-3</w:t>
      </w:r>
    </w:p>
    <w:p>
      <w:pPr/>
      <w:r>
        <w:rPr>
          <w:b/>
        </w:rPr>
        <w:t>Later source:</w:t>
      </w:r>
      <w:r>
        <w:t xml:space="preserve"> Population Genetics and Invasion History of the European Starling Across Aotearoa New Zealand — https://doi.org/10.1111/mec.17579</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group-a53b11f30302d8d4c5c8</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Ex-post impact of first- and second-pillar CAP payments on farm structural change — https://doi.org/10.5281/zenodo.19633685</w:t>
      </w:r>
    </w:p>
    <w:p>
      <w:pPr/>
      <w:r>
        <w:rPr>
          <w:b/>
        </w:rPr>
        <w:t>Later source:</w:t>
      </w:r>
      <w:r>
        <w:t xml:space="preserve"> Monitoring the Environmental Impact of the Bioeconomy: Indicators and Models for Ex-Post and Ex-Ante Evaluation in Agriculture — https://doi.org/10.3390/su172310867</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group-dedbcb54deb67ebe9d52</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A Critical Assessment of the EU’s Digital Omnibus Regulation Proposal and its Impact on the GDPR — https://doi.org/10.1163/15718093-bja10181</w:t>
      </w:r>
    </w:p>
    <w:p>
      <w:pPr/>
      <w:r>
        <w:rPr>
          <w:b/>
        </w:rPr>
        <w:t>Later source:</w:t>
      </w:r>
      <w:r>
        <w:t xml:space="preserve"> Format of emergency department electronic health records in Europe. The European initiative and the eCREAM proposal — https://doi.org/10.3389/femer.2025.1558208</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group-f0146daddc4015afd8a9</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Attainment of Steady State Algebraically: How Constant Coefficients in First and Second Order Differential Equations Reveal the Time Constant — https://doi.org/10.18260/1-2-510-57870</w:t>
      </w:r>
    </w:p>
    <w:p>
      <w:pPr/>
      <w:r>
        <w:rPr>
          <w:b/>
        </w:rPr>
        <w:t>Later source:</w:t>
      </w:r>
      <w:r>
        <w:t xml:space="preserve"> Collaborative effort between fishers and scientists reveals first-time evidence of the smalltooth sandtiger shark (Odontaspis ferox) in Puerto Rico — https://doi.org/10.1017/s0025315425100246</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group-aaf9d33ed27074479fb6</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Air pollution and greenspace exposure disparities revealed by hyperlocal exposure metrics across European cities — https://doi.org/10.1038/s44458-026-00046-6</w:t>
      </w:r>
    </w:p>
    <w:p>
      <w:pPr/>
      <w:r>
        <w:rPr>
          <w:b/>
        </w:rPr>
        <w:t>Later source:</w:t>
      </w:r>
      <w:r>
        <w:t xml:space="preserve"> Air pollution hotspots in the European Union: A city-level risk assessment — https://doi.org/10.18686/cest622</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group-68205caadbc251cf3cb4</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Women's Political Engagement and Empowerment in a Globalized World: The Indian Experience — https://doi.org/10.5281/zenodo.18943598</w:t>
      </w:r>
    </w:p>
    <w:p>
      <w:pPr/>
      <w:r>
        <w:rPr>
          <w:b/>
        </w:rPr>
        <w:t>Later source:</w:t>
      </w:r>
      <w:r>
        <w:t xml:space="preserve"> Ideological Foundations of the Militarization of World Politics in a Multipolar Era — https://doi.org/10.53658/rw2026-4-2(20)-24-34</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group-014cca9ac4a56e361a0c</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Challenges and Opportunities in Single-Sample Network Modeling — https://doi.org/10.64898/2026.02.27.708608</w:t>
      </w:r>
    </w:p>
    <w:p>
      <w:pPr/>
      <w:r>
        <w:rPr>
          <w:b/>
        </w:rPr>
        <w:t>Later source:</w:t>
      </w:r>
      <w:r>
        <w:t xml:space="preserve"> The impacts of virtual try-on for online shopping on consumer purchase intention: the moderating role of technology experience — https://doi.org/10.1080/23311975.2025.2500774</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group-cba14afbde76a7027f5d</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The Current Landscape of Ophthalmology Training in Europe — https://doi.org/10.7759/cureus.103487</w:t>
      </w:r>
    </w:p>
    <w:p>
      <w:pPr/>
      <w:r>
        <w:rPr>
          <w:b/>
        </w:rPr>
        <w:t>Later source:</w:t>
      </w:r>
      <w:r>
        <w:t xml:space="preserve"> A Focus Group Study on Participatory Practices in Early Childhood Education and Care Across Four European Countries — https://doi.org/10.1080/10409289.2024.2360868</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group-a073486a1da6c33f2caa</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From Reaction to Foresight: EUPHA’s vision for health security in Europe — https://doi.org/10.1093/eurpub/ckaf071</w:t>
      </w:r>
    </w:p>
    <w:p>
      <w:pPr/>
      <w:r>
        <w:rPr>
          <w:b/>
        </w:rPr>
        <w:t>Later source:</w:t>
      </w:r>
      <w:r>
        <w:t xml:space="preserve"> Foresight in heritage: fostering future consciousness to proactively face change — https://doi.org/10.1108/jchmsd-12-2024-0298</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group-101a6d10e92bcf32e043</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Social workers in schools: A feasibility study of three local authorities — https://doi.org/10.1177/14680173241258927</w:t>
      </w:r>
    </w:p>
    <w:p>
      <w:pPr/>
      <w:r>
        <w:rPr>
          <w:b/>
        </w:rPr>
        <w:t>Later source:</w:t>
      </w:r>
      <w:r>
        <w:t xml:space="preserve"> A Gender-Informed Smoking Cessation App for Women: Protocol for an Acceptability and Feasibility Study — https://doi.org/10.2196/60677</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group-65a05aa2cf5f090740c9</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Emission Scenarios for Europe under the CATALYSE Project: Beyond the Green Deal — https://openalex.org/W7125621332</w:t>
      </w:r>
    </w:p>
    <w:p>
      <w:pPr/>
      <w:r>
        <w:rPr>
          <w:b/>
        </w:rPr>
        <w:t>Later source:</w:t>
      </w:r>
      <w:r>
        <w:t xml:space="preserve"> Emissions from Light-Duty Vehicles—From Statistics to Emission Regulations and Vehicle Testing in the European Union — https://doi.org/10.3390/en17010209</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group-895e358810be92d01913</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Assessing the economic viability and scalability of carbon capture (CCS) in Louisiana : a comparative analysis of the 45Q tax credit and the EU emissions trading system — https://doi.org/10.26153/tsw/63320</w:t>
      </w:r>
    </w:p>
    <w:p>
      <w:pPr/>
      <w:r>
        <w:rPr>
          <w:b/>
        </w:rPr>
        <w:t>Later source:</w:t>
      </w:r>
      <w:r>
        <w:t xml:space="preserve"> Kickstarting CCS Adoption: Tailoring Subsidies to Emitters' Needs — https://openalex.org/W4400372560</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group-feb9fea8714f5ae7162e</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Fleet renewal and retrofit for emission reductions in offshore logistics — https://doi.org/10.1016/j.martra.2026.100150</w:t>
      </w:r>
    </w:p>
    <w:p>
      <w:pPr/>
      <w:r>
        <w:rPr>
          <w:b/>
        </w:rPr>
        <w:t>Later source:</w:t>
      </w:r>
      <w:r>
        <w:t xml:space="preserve"> When order execution meets informed trading — https://doi.org/10.1080/14697688.2025.2479049</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group-13c25b67ed41d8512348</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Agricultural Development and Industrialisation in South Korea: A Three-level Analysis of Productivity, Inter-sectoral Linkages, and GHGs Emissions — https://doi.org/10.25501/soas.01025535</w:t>
      </w:r>
    </w:p>
    <w:p>
      <w:pPr/>
      <w:r>
        <w:rPr>
          <w:b/>
        </w:rPr>
        <w:t>Later source:</w:t>
      </w:r>
      <w:r>
        <w:t xml:space="preserve"> Nexus between stock market and agricultural sector development in Nigeria and South Africa: Accounting for three-regime marginal-threshold effects — https://doi.org/10.1016/j.sciaf.2025.e02575</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group-c79db56034b7d9c4220d</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Eye of Europe Foresight Training Manual — https://openalex.org/W7220785974</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group-a52812ae21430934dbed</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Famines in medieval and early modern Europe—Connecting climate and society — https://doi.org/10.1002/wcc.859</w:t>
      </w:r>
    </w:p>
    <w:p>
      <w:pPr/>
      <w:r>
        <w:rPr>
          <w:b/>
        </w:rPr>
        <w:t>Later source:</w:t>
      </w:r>
      <w:r>
        <w:t xml:space="preserve"> Emergent vulnerability to climate-driven disturbances in European forests — https://doi.org/10.1038/s41467-021-21399-7</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group-a111d86bf2caa66d0804</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Decarbonization of European Industry: Modelling and Open Science (DEIMOS) — https://doi.org/10.5445/ir/1000196316</w:t>
      </w:r>
    </w:p>
    <w:p>
      <w:pPr/>
      <w:r>
        <w:rPr>
          <w:b/>
        </w:rPr>
        <w:t>Later source:</w:t>
      </w:r>
      <w:r>
        <w:t xml:space="preserve"> Decarbonization, Dematerialization, and Economic Gains in Circular Economy for Construction and Demolition Waste Management in Europe — https://doi.org/10.1021/acs.est.6c02401</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group-90403a95049e086a1a85</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CHANGES IN FRUIT PRODUCTION AND IMPORTS FROM TURKEY TO EUROPEAN UNION COUNTRIES — https://doi.org/10.5604/01.3001.0055.6187</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group-82f987ed33147b1cc019</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A MASS EFFECT CASE STUDY OF MORPHED HUMANITY, FROM INDIVIDUALS TO POPULATIONS IN A BIOTECHNOLOGICAL FUTURIST SOCIETY — https://openalex.org/W7112949524</w:t>
      </w:r>
    </w:p>
    <w:p>
      <w:pPr/>
      <w:r>
        <w:rPr>
          <w:b/>
        </w:rPr>
        <w:t>Later source:</w:t>
      </w:r>
      <w:r>
        <w:t xml:space="preserve"> THE ANTI-THEATER OF FUTURISTS AND DADAISTS AS A REFUTATION OF ARISTOTLE’S CONCEPT OF MIMETIC THEATER — https://doi.org/10.30970/vas.26.2025.206-216</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group-6ef26a012aaef17c2b88</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DRIVERS OF AGILE TRANSFORMATION IN PREDICTIVE PROJECT MANAGEMENT ENVIRONMENTS — https://doi.org/10.32782/bses.100-20</w:t>
      </w:r>
    </w:p>
    <w:p>
      <w:pPr/>
      <w:r>
        <w:rPr>
          <w:b/>
        </w:rPr>
        <w:t>Later source:</w:t>
      </w:r>
      <w:r>
        <w:t xml:space="preserve"> Leading Digital Transformation Project: A Case of NADRA — https://openalex.org/W7213482378</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group-c283ced019c0606ebd63</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Public Acceptance and Socio-Economic Drivers of Renewable District Heating: Evidence from Italy — https://doi.org/10.3390/en19010096</w:t>
      </w:r>
    </w:p>
    <w:p>
      <w:pPr/>
      <w:r>
        <w:rPr>
          <w:b/>
        </w:rPr>
        <w:t>Later source:</w:t>
      </w:r>
      <w:r>
        <w:t xml:space="preserve"> Detecting the socio-economic drivers of confidence in government with eXplainable Artificial Intelligence — https://doi.org/10.1038/s41598-023-28020-5</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group-81d26f7918e4394b5c8a</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Reassessing the benefits of European integration and the European Union's ability to achieve strategic autonomy — https://openalex.org/W7130901115</w:t>
      </w:r>
    </w:p>
    <w:p>
      <w:pPr/>
      <w:r>
        <w:rPr>
          <w:b/>
        </w:rPr>
        <w:t>Later source:</w:t>
      </w:r>
      <w:r>
        <w:t xml:space="preserve"> France's Strategic Gamble for Europe — https://doi.org/10.17613/cdevw-3gx51</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group-fd338f63a084015324c3</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Determinants of Financial Security of European Union Farms—A Factor Analysis Model Approach — https://doi.org/10.3390/agriculture14010119</w:t>
      </w:r>
    </w:p>
    <w:p>
      <w:pPr/>
      <w:r>
        <w:rPr>
          <w:b/>
        </w:rPr>
        <w:t>Later source:</w:t>
      </w:r>
      <w:r>
        <w:t xml:space="preserve"> Factors influencing antimicrobial resistance in the European food system and potential leverage points for intervention: A participatory, One Health study — https://doi.org/10.1371/journal.pone.0263914</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group-b9f56664751457d2483a</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Challenges in digitalization in outdoor recreation: The example of the European pond turtle — https://doi.org/10.1016/j.jort.2026.101095</w:t>
      </w:r>
    </w:p>
    <w:p>
      <w:pPr/>
      <w:r>
        <w:rPr>
          <w:b/>
        </w:rPr>
        <w:t>Later source:</w:t>
      </w:r>
      <w:r>
        <w:t xml:space="preserve"> Future evolution of large floods in Europe — https://doi.org/10.5194/egusphere-egu25-9464</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group-6527a6a69297a0a80dec</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Molecular Epidemiology and Evolution of European Bat Lyssavirus 2 — https://doi.org/10.3390/ijms19010156</w:t>
      </w:r>
    </w:p>
    <w:p>
      <w:pPr/>
      <w:r>
        <w:rPr>
          <w:b/>
        </w:rPr>
        <w:t>Later source:</w:t>
      </w:r>
      <w:r>
        <w:t xml:space="preserve"> Mar de plástico: Masculinity, Whiteness, and Eastern European Migrants in Spanish Prime Time Television — https://doi.org/10.5070/t482041118</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group-a2858903c83f364ce70a</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Performance Evaluation of Concrete with Recycled Waste Polypropylene — https://doi.org/10.6084/m9.figshare.31871653</w:t>
      </w:r>
    </w:p>
    <w:p>
      <w:pPr/>
      <w:r>
        <w:rPr>
          <w:b/>
        </w:rPr>
        <w:t>Later source:</w:t>
      </w:r>
      <w:r>
        <w:t xml:space="preserve"> Integrating equity and productivity in health evaluation — https://openalex.org/W7160458284</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group-8804cde7ba3df6b200e8</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The Carbon Border Adjustment Mechanism: a new european tax to address carbon leakage — https://doi.org/10.4013/rechtd.2025.173.03</w:t>
      </w:r>
    </w:p>
    <w:p>
      <w:pPr/>
      <w:r>
        <w:rPr>
          <w:b/>
        </w:rPr>
        <w:t>Later source:</w:t>
      </w:r>
      <w:r>
        <w:t xml:space="preserve"> Understanding Carbon Leakage — https://doi.org/10.65864/t2cdr13ckm</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group-bb2bf052b8e57473c1d6</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Changes in Agricultural Cooperatives Following Bulgaria’s European Union Integration — https://doi.org/10.37075/isa.2020.4.05</w:t>
      </w:r>
    </w:p>
    <w:p>
      <w:pPr/>
      <w:r>
        <w:rPr>
          <w:b/>
        </w:rPr>
        <w:t>Later source:</w:t>
      </w:r>
      <w:r>
        <w:t xml:space="preserve"> The new ambitions for 2014-2020 European structural and investment funds evaluation: pouring water in a leaking container? — https://openalex.org/W2552820326</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group-a94255afcfec383b616a</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THE APPROACH OF FINLAND TO RUSSIAN OCCUPATION OF UKRAINE: SECURITISATION OF THE PUTIN REGIME / Rusya’nın Ukrayna’yı İşgaline Finlandiya’nın Yaklaşımı: Putin Rejiminin Güvenlikleştirilmesi — https://doi.org/10.29216/ueip.1144817</w:t>
      </w:r>
    </w:p>
    <w:p>
      <w:pPr/>
      <w:r>
        <w:rPr>
          <w:b/>
        </w:rPr>
        <w:t>Later source:</w:t>
      </w:r>
      <w:r>
        <w:t xml:space="preserve"> Vladimir Putin — https://doi.org/10.4324/9781003100508-13</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group-431c38e490408e23ee0a</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The separation of powers and the administrative branch in the European Union — https://doi.org/10.1093/icon/moaf048</w:t>
      </w:r>
    </w:p>
    <w:p>
      <w:pPr/>
      <w:r>
        <w:rPr>
          <w:b/>
        </w:rPr>
        <w:t>Later source:</w:t>
      </w:r>
      <w:r>
        <w:t xml:space="preserve"> Decolonising Solidarity? — https://doi.org/10.31273/an.v11i1.1491</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group-95fab3af285633485a88</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H.C. ANDERSEN’S TRAVEL BOOKS – A FAIRY-TALE VISION OF EUROPE — https://doi.org/10.2307/j.ctvggx29s.22</w:t>
      </w:r>
    </w:p>
    <w:p>
      <w:pPr/>
      <w:r>
        <w:rPr>
          <w:b/>
        </w:rPr>
        <w:t>Later source:</w:t>
      </w:r>
      <w:r>
        <w:t xml:space="preserve"> Conan Fischer. A Vision of Europe: Franco-German Relations during the Great Depression, 1929–1932. — https://doi.org/10.1093/ahr/rhz1012</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group-de160e6a1c66e9ed92bc</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Intercomparison of a Regional Climate Model Ensemble for Selected European Catchments — https://doi.org/10.1002/joc.70554</w:t>
      </w:r>
    </w:p>
    <w:p>
      <w:pPr/>
      <w:r>
        <w:rPr>
          <w:b/>
        </w:rPr>
        <w:t>Later source:</w:t>
      </w:r>
      <w:r>
        <w:t xml:space="preserve"> Investigating the future urban climates of European cities using an ensemble of convection permitting regional climate models — https://doi.org/10.5194/egusphere-egu25-1307</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group-b6c3247c0eaa04a19ca2</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The role of osteopathy in public healthcare in Europe — https://openalex.org/W7154884819</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group-546a56fe8e9433431711</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Reframing the Refugee Rentier State: Turkey in the European Refugee ‘Crisis’ — https://doi.org/10.3390/socsci15070457</w:t>
      </w:r>
    </w:p>
    <w:p>
      <w:pPr/>
      <w:r>
        <w:rPr>
          <w:b/>
        </w:rPr>
        <w:t>Later source:</w:t>
      </w:r>
      <w:r>
        <w:t xml:space="preserve"> Scope for EU–Japan cooperation in decarbonising the global LNG market — https://doi.org/10.26485/spe/2022/124/7</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group-0b9f1b781929f13ceb3a</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Plural Values of Culture in Europe — https://openalex.org/W7137507789</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group-e1a6305d39cce95eaf34</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Non-stationary time series attribution for heatwaves over Europe — https://doi.org/10.5194/ascmo-12-243-2026</w:t>
      </w:r>
    </w:p>
    <w:p>
      <w:pPr/>
      <w:r>
        <w:rPr>
          <w:b/>
        </w:rPr>
        <w:t>Later source:</w:t>
      </w:r>
      <w:r>
        <w:t xml:space="preserve"> The Heritagemonitor: Exploring projects, works and institutions in cultural heritage across Europe — https://doi.org/10.5281/zenodo.20642926</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group-c37c9354973b945ca1d8</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"Biomass crops for sustainable energy in Europe: contributions to bioenergy, environment, and energy security" — https://doi.org/10.1080/17429145.2025.2564839</w:t>
      </w:r>
    </w:p>
    <w:p>
      <w:pPr/>
      <w:r>
        <w:rPr>
          <w:b/>
        </w:rPr>
        <w:t>Later source:</w:t>
      </w:r>
      <w:r>
        <w:t xml:space="preserve"> Efficacy of individual and combined terrestrial and marine carbon dioxide removal — https://doi.org/10.1088/1748-9326/ae2af5</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group-70be76ca117e9d4a3a2b</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Later source:</w:t>
      </w:r>
      <w:r>
        <w:t xml:space="preserve"> Natural Gas Transit from West Africa to Europe (Africa Atlantic Gas Pipeline) to Maximize Energy Security and Transit Revenues by 2050 — https://doi.org/10.62762/jgee.2025.372522</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group-11e9bde4e0e0e0ff6bee</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Regional cooling potential from expansion of perennial grasses in Europe — https://doi.org/10.1038/s43247-024-01923-5</w:t>
      </w:r>
    </w:p>
    <w:p>
      <w:pPr/>
      <w:r>
        <w:rPr>
          <w:b/>
        </w:rPr>
        <w:t>Later source:</w:t>
      </w:r>
      <w:r>
        <w:t xml:space="preserve"> Potential Effects of a Modified Mediterranean Diet on Body Composition in Lipoedema — https://doi.org/10.3390/nu13020358</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group-08526e44f94f9117cb24</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The End of Life of PV Systems: Is Europe Ready for It? — https://doi.org/10.3390/su152316466</w:t>
      </w:r>
    </w:p>
    <w:p>
      <w:pPr/>
      <w:r>
        <w:rPr>
          <w:b/>
        </w:rPr>
        <w:t>Later source:</w:t>
      </w:r>
      <w:r>
        <w:t xml:space="preserve"> Lead contamination in raptors in Europe: A systematic review and meta-analysis — https://doi.org/10.1016/j.scitotenv.2020.141437</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group-fe4ba62db0302d1201b3</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AI literacy for K–12 education: an international Delphi study — https://doi.org/10.1080/10494820.2026.2649553</w:t>
      </w:r>
    </w:p>
    <w:p>
      <w:pPr/>
      <w:r>
        <w:rPr>
          <w:b/>
        </w:rPr>
        <w:t>Later source:</w:t>
      </w:r>
      <w:r>
        <w:t xml:space="preserve"> Developing a Body of Knowledge for Sustainability Engineering Using the Delphi Method: A Work in Progress — https://doi.org/10.18260/1-2--58714</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group-0b101c598f77e3154a4a</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Rethinking food logistics outsourcing: exploring the impact of structural changes in the European supply chain environment — https://doi.org/10.1080/13675567.2026.2654011</w:t>
      </w:r>
    </w:p>
    <w:p>
      <w:pPr/>
      <w:r>
        <w:rPr>
          <w:b/>
        </w:rPr>
        <w:t>Later source:</w:t>
      </w:r>
      <w:r>
        <w:t xml:space="preserve"> The European Food Supplement Project ‐Identification of emerging risks associated with food supplements, other than vitamins and minerals — https://doi.org/10.2903/sp.efsa.2026.en-10226</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group-5c6db31a0daf38c98dd3</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Tailoring the future for the environment, health and security through means of criminal law — https://doi.org/10.56398/ajacieda.00468</w:t>
      </w:r>
    </w:p>
    <w:p>
      <w:pPr/>
      <w:r>
        <w:rPr>
          <w:b/>
        </w:rPr>
        <w:t>Later source:</w:t>
      </w:r>
      <w:r>
        <w:t xml:space="preserve"> Soil Health in Europe: Policy perspectives — https://doi.org/10.5194/egusphere-egu26-12384</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group-232161c3e6647c04536e</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Motivation and perception of farmers on the benefits and challenges of agroforestry in Sweden (Northern Europe) — https://doi.org/10.1007/s10457-024-00964-1</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group-13a837a261c6dc764d43</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European Green Deal within the Scope of European Union Project Funds: The Role of Green Marketing and Green Advertising — https://doi.org/10.58830/ozgur.pub1165.c4874</w:t>
      </w:r>
    </w:p>
    <w:p>
      <w:pPr/>
      <w:r>
        <w:rPr>
          <w:b/>
        </w:rPr>
        <w:t>Later source:</w:t>
      </w:r>
      <w:r>
        <w:t xml:space="preserve"> THE EUROPEAN GREEN DEAL AND ITS IMPLICATIONS TO THE EUROPEAN UNION COOPERATION WITH VIETNAM Case Study: The climate-responsive digital circular economy as a first priority area of action — https://doi.org/10.2139/ssrn.6689058</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group-d1ac2a6b82002a428d3c</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The European Union's policy toward Latin America in the context of renewed strategic competition — https://doi.org/10.5281/zenodo.19131164</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group-5c026fa977342d0b26dc</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Preventing Child Sexual Abuse and Exploitation: Current Efforts and Future Directions in the European Union — https://doi.org/10.1080/15564886.2025.2603478</w:t>
      </w:r>
    </w:p>
    <w:p>
      <w:pPr/>
      <w:r>
        <w:rPr>
          <w:b/>
        </w:rPr>
        <w:t>Later source:</w:t>
      </w:r>
      <w:r>
        <w:t xml:space="preserve"> Development policy directions on climate challenges in selected central and Eastern European countries — https://doi.org/10.29119/1641-3466.2026.247.26</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group-1813242ce0b70b0e96a0</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Later source:</w:t>
      </w:r>
      <w:r>
        <w:t xml:space="preserve"> Convergence of Population Structures of the European Union Member States—The Past and the Future — https://doi.org/10.3390/su14021024</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group-cbacdd88ce9eb3116b32</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Industry 5.0 in the European Union — https://doi.org/10.1201/9781003785590</w:t>
      </w:r>
    </w:p>
    <w:p>
      <w:pPr/>
      <w:r>
        <w:rPr>
          <w:b/>
        </w:rPr>
        <w:t>Later source:</w:t>
      </w:r>
      <w:r>
        <w:t xml:space="preserve"> AGGLOMERATION, NETWORKS &amp; INSTITUTIONAL SUPPORT IN THE INNOVATIVE EUROPEAN AEROSPACE INDUSTRY — https://doi.org/10.31732/2663-2209-2025-80-225-234</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group-a503251dd36ae16c11dd</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Sowing the seeds of change: unveiling farmer types to promote climate-smart agriculture adoption in Europe — https://doi.org/10.1016/j.jrurstud.2026.104043</w:t>
      </w:r>
    </w:p>
    <w:p>
      <w:pPr/>
      <w:r>
        <w:rPr>
          <w:b/>
        </w:rPr>
        <w:t>Later source:</w:t>
      </w:r>
      <w:r>
        <w:t xml:space="preserve"> European runoff drought event types: From historical classification to projected future changes — https://doi.org/10.5194/egusphere-2026-973</w:t>
      </w:r>
    </w:p>
    <w:p>
      <w:pPr>
        <w:pStyle w:val="SourceNote"/>
      </w:pPr>
      <w:r>
        <w:rPr>
          <w:b/>
        </w:rPr>
        <w:t>Review status:</w:t>
      </w:r>
      <w:r>
        <w:t xml:space="preserve"> unchecked — possible relationship only</w:t>
      </w:r>
    </w:p>
    <w:p>
      <w:pPr>
        <w:pStyle w:val="Heading2"/>
      </w:pPr>
      <w:r>
        <w:t>59. Claim + two later sources: Forecasting the Diffusion of Gigabit Home Networking In Europe</w:t>
      </w:r>
    </w:p>
    <w:p>
      <w:pPr>
        <w:pStyle w:val="SourceNote"/>
      </w:pPr>
      <w:r>
        <w:rPr>
          <w:b/>
        </w:rPr>
        <w:t>Group ID:</w:t>
      </w:r>
      <w:r>
        <w:t xml:space="preserve"> group-dc6b7d87e2cad1c5ef9f</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Local flexibility markets in Europe: A critical review of market designs, operational maturity and stakeholder perspectives — https://doi.org/10.1016/j.rser.2025.116434</w:t>
      </w:r>
    </w:p>
    <w:p>
      <w:pPr>
        <w:pStyle w:val="SourceNote"/>
      </w:pPr>
      <w:r>
        <w:rPr>
          <w:b/>
        </w:rPr>
        <w:t>Review status:</w:t>
      </w:r>
      <w:r>
        <w:t xml:space="preserve"> unchecked — possible relationship only</w:t>
      </w:r>
    </w:p>
    <w:p>
      <w:pPr>
        <w:pStyle w:val="Heading2"/>
      </w:pPr>
      <w:r>
        <w:t>60. Claim + two later sources: Using scenarios to assess the future supply of NHS nursing staff in England</w:t>
      </w:r>
    </w:p>
    <w:p>
      <w:pPr>
        <w:pStyle w:val="SourceNote"/>
      </w:pPr>
      <w:r>
        <w:rPr>
          <w:b/>
        </w:rPr>
        <w:t>Group ID:</w:t>
      </w:r>
      <w:r>
        <w:t xml:space="preserve"> group-bbb5de2394ceae1322ce</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Of Important — https://doi.org/10.67224/ioasdjbms.2024.v01i02.001</w:t>
      </w:r>
    </w:p>
    <w:p>
      <w:pPr/>
      <w:r>
        <w:rPr>
          <w:b/>
        </w:rPr>
        <w:t>Later source:</w:t>
      </w:r>
      <w:r>
        <w:t xml:space="preserve"> Ground Based-cloud Classification Based on Comparing Different Classification Models — https://doi.org/10.54254/2755-2721/2/20220541</w:t>
      </w:r>
    </w:p>
    <w:p>
      <w:pPr>
        <w:pStyle w:val="SourceNote"/>
      </w:pPr>
      <w:r>
        <w:rPr>
          <w:b/>
        </w:rPr>
        <w:t>Review status:</w:t>
      </w:r>
      <w:r>
        <w:t xml:space="preserve"> unchecked — possible relationship only</w:t>
      </w:r>
    </w:p>
    <w:p>
      <w:pPr>
        <w:pStyle w:val="Heading2"/>
      </w:pPr>
      <w:r>
        <w:t>61. Claim + two later sources: New system of employment forecasting in Poland</w:t>
      </w:r>
    </w:p>
    <w:p>
      <w:pPr>
        <w:pStyle w:val="SourceNote"/>
      </w:pPr>
      <w:r>
        <w:rPr>
          <w:b/>
        </w:rPr>
        <w:t>Group ID:</w:t>
      </w:r>
      <w:r>
        <w:t xml:space="preserve"> group-9718b882e3ab8727fb8b</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A collaborative analytics framework for artificial intelligence-based demand forecasting in supply chains — https://doi.org/10.1016/j.sca.2026.100235</w:t>
      </w:r>
    </w:p>
    <w:p>
      <w:pPr/>
      <w:r>
        <w:rPr>
          <w:b/>
        </w:rPr>
        <w:t>Later source:</w:t>
      </w:r>
      <w:r>
        <w:t xml:space="preserve"> D5.5 Short-term ecological forecasts in support of the Bioeconomy Strategy and EU citizens — https://doi.org/10.3897/arphapreprints.e119131</w:t>
      </w:r>
    </w:p>
    <w:p>
      <w:pPr>
        <w:pStyle w:val="SourceNote"/>
      </w:pPr>
      <w:r>
        <w:rPr>
          <w:b/>
        </w:rPr>
        <w:t>Review status:</w:t>
      </w:r>
      <w:r>
        <w:t xml:space="preserve"> unchecked — possible relationship only</w:t>
      </w:r>
    </w:p>
    <w:p>
      <w:pPr>
        <w:pStyle w:val="Heading2"/>
      </w:pPr>
      <w:r>
        <w:t>62.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63. Claim + two later sources: Modeling the climatic suitability of leishmaniasis vector species in Europe</w:t>
      </w:r>
    </w:p>
    <w:p>
      <w:pPr>
        <w:pStyle w:val="SourceNote"/>
      </w:pPr>
      <w:r>
        <w:rPr>
          <w:b/>
        </w:rPr>
        <w:t>Group ID:</w:t>
      </w:r>
      <w:r>
        <w:t xml:space="preserve"> group-d5f4f7bade4d679fd76d</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Ash dieback and hydrology affect tree growth patterns under climate change in European floodplain forests — https://doi.org/10.1038/s41598-025-92079-5</w:t>
      </w:r>
    </w:p>
    <w:p>
      <w:pPr/>
      <w:r>
        <w:rPr>
          <w:b/>
        </w:rPr>
        <w:t>Later source:</w:t>
      </w:r>
      <w:r>
        <w:t xml:space="preserve"> Implications for the distributional range of the European bark beetles under future climate change — https://doi.org/10.1038/s41598-025-15546-z</w:t>
      </w:r>
    </w:p>
    <w:p>
      <w:pPr>
        <w:pStyle w:val="SourceNote"/>
      </w:pPr>
      <w:r>
        <w:rPr>
          <w:b/>
        </w:rPr>
        <w:t>Review status:</w:t>
      </w:r>
      <w:r>
        <w:t xml:space="preserve"> unchecked — possible relationship only</w:t>
      </w:r>
    </w:p>
    <w:p>
      <w:pPr>
        <w:pStyle w:val="Heading2"/>
      </w:pPr>
      <w:r>
        <w:t>64. Claim + two later sources: Baltic herring for food: Shades of grey in how backcasting recommendations work across exploratory scenarios</w:t>
      </w:r>
    </w:p>
    <w:p>
      <w:pPr>
        <w:pStyle w:val="SourceNote"/>
      </w:pPr>
      <w:r>
        <w:rPr>
          <w:b/>
        </w:rPr>
        <w:t>Group ID:</w:t>
      </w:r>
      <w:r>
        <w:t xml:space="preserve"> group-0e3247853a5dbc1ea984</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Adherence to dietary recommendations and the risk of developing giant cell arteritis: A nested Case-Control study — https://doi.org/10.1016/j.semarthrit.2026.153003</w:t>
      </w:r>
    </w:p>
    <w:p>
      <w:pPr/>
      <w:r>
        <w:rPr>
          <w:b/>
        </w:rPr>
        <w:t>Later source:</w:t>
      </w:r>
      <w:r>
        <w:t xml:space="preserve"> Emission factors for motorcycles in developing countries: insights and recommendations from a Colombian case study — https://doi.org/10.3389/frsc.2026.1730395</w:t>
      </w:r>
    </w:p>
    <w:p>
      <w:pPr>
        <w:pStyle w:val="SourceNote"/>
      </w:pPr>
      <w:r>
        <w:rPr>
          <w:b/>
        </w:rPr>
        <w:t>Review status:</w:t>
      </w:r>
      <w:r>
        <w:t xml:space="preserve"> unchecked — possible relationship only</w:t>
      </w:r>
    </w:p>
    <w:p>
      <w:pPr>
        <w:pStyle w:val="Heading2"/>
      </w:pPr>
      <w:r>
        <w:t>65. Claim + two later sources: The EU climate and energy policy: what about the new targets for 2030?</w:t>
      </w:r>
    </w:p>
    <w:p>
      <w:pPr>
        <w:pStyle w:val="SourceNote"/>
      </w:pPr>
      <w:r>
        <w:rPr>
          <w:b/>
        </w:rPr>
        <w:t>Group ID:</w:t>
      </w:r>
      <w:r>
        <w:t xml:space="preserve"> group-3187e004eccbeafe8104</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Short-term renewable energy forecast errors in Europe: Spatial dependence and smoothing potential — https://doi.org/10.1016/j.renene.2026.126047</w:t>
      </w:r>
    </w:p>
    <w:p>
      <w:pPr/>
      <w:r>
        <w:rPr>
          <w:b/>
        </w:rPr>
        <w:t>Later source:</w:t>
      </w:r>
      <w:r>
        <w:t xml:space="preserve"> European Energy Vision 2060: Charting Diverse Pathways for Europe's Energy Transition — https://doi.org/10.48550/arxiv.2501.12993</w:t>
      </w:r>
    </w:p>
    <w:p>
      <w:pPr>
        <w:pStyle w:val="SourceNote"/>
      </w:pPr>
      <w:r>
        <w:rPr>
          <w:b/>
        </w:rPr>
        <w:t>Review status:</w:t>
      </w:r>
      <w:r>
        <w:t xml:space="preserve"> unchecked — possible relationship only</w:t>
      </w:r>
    </w:p>
    <w:p>
      <w:pPr>
        <w:pStyle w:val="Heading2"/>
      </w:pPr>
      <w:r>
        <w:t>66.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67.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group-1f61b5d6f4f7012d3240</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Expert perspectives on the requirements for implementing prehospital peripheral nerve blocks: a survey among members of the European Society of Regional Anaesthesia (ESRA) — https://doi.org/10.1186/s12871-026-04093-3</w:t>
      </w:r>
    </w:p>
    <w:p>
      <w:pPr/>
      <w:r>
        <w:rPr>
          <w:b/>
        </w:rPr>
        <w:t>Later source:</w:t>
      </w:r>
      <w:r>
        <w:t xml:space="preserve"> Servitising rural heritage: Social innovation and the social economy in peripheral Europe — https://doi.org/10.24136/eq.4292</w:t>
      </w:r>
    </w:p>
    <w:p>
      <w:pPr>
        <w:pStyle w:val="SourceNote"/>
      </w:pPr>
      <w:r>
        <w:rPr>
          <w:b/>
        </w:rPr>
        <w:t>Review status:</w:t>
      </w:r>
      <w:r>
        <w:t xml:space="preserve"> unchecked — possible relationship only</w:t>
      </w:r>
    </w:p>
    <w:p>
      <w:pPr>
        <w:pStyle w:val="Heading2"/>
      </w:pPr>
      <w:r>
        <w:t>68. Claim + two later sources: Ensemble flood risk assessment in Europe under high end climate scenarios</w:t>
      </w:r>
    </w:p>
    <w:p>
      <w:pPr>
        <w:pStyle w:val="SourceNote"/>
      </w:pPr>
      <w:r>
        <w:rPr>
          <w:b/>
        </w:rPr>
        <w:t>Group ID:</w:t>
      </w:r>
      <w:r>
        <w:t xml:space="preserve"> group-50109adbc07d9ac134dd</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Assessment of Socio-Economic Impacts of Hyperloop Technology on European Trade Routes — https://doi.org/10.3390/economies13030065</w:t>
      </w:r>
    </w:p>
    <w:p>
      <w:pPr>
        <w:pStyle w:val="SourceNote"/>
      </w:pPr>
      <w:r>
        <w:rPr>
          <w:b/>
        </w:rPr>
        <w:t>Review status:</w:t>
      </w:r>
      <w:r>
        <w:t xml:space="preserve"> unchecked — possible relationship only</w:t>
      </w:r>
    </w:p>
    <w:p>
      <w:pPr>
        <w:pStyle w:val="Heading2"/>
      </w:pPr>
      <w:r>
        <w:t>69. Claim + two later sources: Environmental impacts of household appliances in Europe and scenarios for their impact reduction</w:t>
      </w:r>
    </w:p>
    <w:p>
      <w:pPr>
        <w:pStyle w:val="SourceNote"/>
      </w:pPr>
      <w:r>
        <w:rPr>
          <w:b/>
        </w:rPr>
        <w:t>Group ID:</w:t>
      </w:r>
      <w:r>
        <w:t xml:space="preserve"> group-16f9fa96517637f3422e</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European Lepidoptera–Plant Associations: A Species‐Level Interaction Matrix — https://doi.org/10.1002/ece3.73004</w:t>
      </w:r>
    </w:p>
    <w:p>
      <w:pPr/>
      <w:r>
        <w:rPr>
          <w:b/>
        </w:rPr>
        <w:t>Later source:</w:t>
      </w:r>
      <w:r>
        <w:t xml:space="preserve"> Eco-innovation performance in the European Union economies: Perspective on outcomes — https://doi.org/10.15678/ier.2024.1003.02</w:t>
      </w:r>
    </w:p>
    <w:p>
      <w:pPr>
        <w:pStyle w:val="SourceNote"/>
      </w:pPr>
      <w:r>
        <w:rPr>
          <w:b/>
        </w:rPr>
        <w:t>Review status:</w:t>
      </w:r>
      <w:r>
        <w:t xml:space="preserve"> unchecked — possible relationship only</w:t>
      </w:r>
    </w:p>
    <w:p>
      <w:pPr>
        <w:pStyle w:val="Heading2"/>
      </w:pPr>
      <w:r>
        <w:t>70. Claim + two later sources: Future export markets of industrial wood construction – A qualitative backcasting study</w:t>
      </w:r>
    </w:p>
    <w:p>
      <w:pPr>
        <w:pStyle w:val="SourceNote"/>
      </w:pPr>
      <w:r>
        <w:rPr>
          <w:b/>
        </w:rPr>
        <w:t>Group ID:</w:t>
      </w:r>
      <w:r>
        <w:t xml:space="preserve"> group-45e5a63576d3a0e98eed</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Regulatory Barriers to Market Entry: The Impact of EU and Finnish Cosmetic Regulations on Importing Japanese Cosmetics into Finland — https://openalex.org/W7162165616</w:t>
      </w:r>
    </w:p>
    <w:p>
      <w:pPr>
        <w:pStyle w:val="SourceNote"/>
      </w:pPr>
      <w:r>
        <w:rPr>
          <w:b/>
        </w:rPr>
        <w:t>Review status:</w:t>
      </w:r>
      <w:r>
        <w:t xml:space="preserve"> unchecked — possible relationship only</w:t>
      </w:r>
    </w:p>
    <w:p>
      <w:pPr>
        <w:pStyle w:val="Heading2"/>
      </w:pPr>
      <w:r>
        <w:t>71. Claim + two later sources: The implications of demographic and economic projections on public pension spending in the European Union</w:t>
      </w:r>
    </w:p>
    <w:p>
      <w:pPr>
        <w:pStyle w:val="SourceNote"/>
      </w:pPr>
      <w:r>
        <w:rPr>
          <w:b/>
        </w:rPr>
        <w:t>Group ID:</w:t>
      </w:r>
      <w:r>
        <w:t xml:space="preserve"> group-59d2813407bcf76b5f92</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Ageing Europe: Demographic Change, Active Ageing, and EU Legislative Strategies — https://doi.org/10.5281/zenodo.20000812</w:t>
      </w:r>
    </w:p>
    <w:p>
      <w:pPr/>
      <w:r>
        <w:rPr>
          <w:b/>
        </w:rPr>
        <w:t>Later source:</w:t>
      </w:r>
      <w:r>
        <w:t xml:space="preserve"> Australia-European Union Free Trade Agreement negotiations conclude: implications for Australian and EU geographical indications — https://doi.org/10.1093/jiplp/jpag079</w:t>
      </w:r>
    </w:p>
    <w:p>
      <w:pPr>
        <w:pStyle w:val="SourceNote"/>
      </w:pPr>
      <w:r>
        <w:rPr>
          <w:b/>
        </w:rPr>
        <w:t>Review status:</w:t>
      </w:r>
      <w:r>
        <w:t xml:space="preserve"> unchecked — possible relationship only</w:t>
      </w:r>
    </w:p>
    <w:p>
      <w:pPr>
        <w:pStyle w:val="Heading2"/>
      </w:pPr>
      <w:r>
        <w:t>72. Claim + two later sources: Actual and potential development of consumer demand on the organic food market in Europe</w:t>
      </w:r>
    </w:p>
    <w:p>
      <w:pPr>
        <w:pStyle w:val="SourceNote"/>
      </w:pPr>
      <w:r>
        <w:rPr>
          <w:b/>
        </w:rPr>
        <w:t>Group ID:</w:t>
      </w:r>
      <w:r>
        <w:t xml:space="preserve"> group-7afa29da61c97c1d367c</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Energy communities as demand-side innovators? Assessing the potential of European cases to reduce demand and foster flexibility — https://doi.org/10.1016/j.erss.2022.102848</w:t>
      </w:r>
    </w:p>
    <w:p>
      <w:pPr/>
      <w:r>
        <w:rPr>
          <w:b/>
        </w:rPr>
        <w:t>Later source:</w:t>
      </w:r>
      <w:r>
        <w:t xml:space="preserve"> Future area expansion outweighs increasing drought risk for soybean in Europe — https://doi.org/10.1111/gcb.16562</w:t>
      </w:r>
    </w:p>
    <w:p>
      <w:pPr>
        <w:pStyle w:val="SourceNote"/>
      </w:pPr>
      <w:r>
        <w:rPr>
          <w:b/>
        </w:rPr>
        <w:t>Review status:</w:t>
      </w:r>
      <w:r>
        <w:t xml:space="preserve"> unchecked — possible relationship only</w:t>
      </w:r>
    </w:p>
    <w:p>
      <w:pPr>
        <w:pStyle w:val="Heading2"/>
      </w:pPr>
      <w:r>
        <w:t>73. Claim + two later sources: Advancing tools to promote health equity across European Union regions: the EURO-HEALTHY project</w:t>
      </w:r>
    </w:p>
    <w:p>
      <w:pPr>
        <w:pStyle w:val="SourceNote"/>
      </w:pPr>
      <w:r>
        <w:rPr>
          <w:b/>
        </w:rPr>
        <w:t>Group ID:</w:t>
      </w:r>
      <w:r>
        <w:t xml:space="preserve"> group-3a8d42448ca9aa223c7a</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European cloud computing policy: failing in Europe to succeed nationally? — https://doi.org/10.1080/01402382.2025.2491962</w:t>
      </w:r>
    </w:p>
    <w:p>
      <w:pPr>
        <w:pStyle w:val="SourceNote"/>
      </w:pPr>
      <w:r>
        <w:rPr>
          <w:b/>
        </w:rPr>
        <w:t>Review status:</w:t>
      </w:r>
      <w:r>
        <w:t xml:space="preserve"> unchecked — possible relationship only</w:t>
      </w:r>
    </w:p>
    <w:p>
      <w:pPr>
        <w:pStyle w:val="Heading2"/>
      </w:pPr>
      <w:r>
        <w:t>74. Claim + two later sources: The Current Picture of the Transition to a Green Economy in the EU—Trends in Climate and Energy Policy versus State Security</w:t>
      </w:r>
    </w:p>
    <w:p>
      <w:pPr>
        <w:pStyle w:val="SourceNote"/>
      </w:pPr>
      <w:r>
        <w:rPr>
          <w:b/>
        </w:rPr>
        <w:t>Group ID:</w:t>
      </w:r>
      <w:r>
        <w:t xml:space="preserve"> group-90fc26176f8f6aa51d19</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Sustainability in EU Competition Law : An Analysis of Article 102 TFEU in Light of the European Green Deal — https://openalex.org/W7131733282</w:t>
      </w:r>
    </w:p>
    <w:p>
      <w:pPr>
        <w:pStyle w:val="SourceNote"/>
      </w:pPr>
      <w:r>
        <w:rPr>
          <w:b/>
        </w:rPr>
        <w:t>Review status:</w:t>
      </w:r>
      <w:r>
        <w:t xml:space="preserve"> unchecked — possible relationship only</w:t>
      </w:r>
    </w:p>
    <w:p>
      <w:pPr>
        <w:pStyle w:val="Heading2"/>
      </w:pPr>
      <w:r>
        <w:t>75. Claim + two later sources: The European Union and Africa towards 2030: perspectives from transnational civil society organisations</w:t>
      </w:r>
    </w:p>
    <w:p>
      <w:pPr>
        <w:pStyle w:val="SourceNote"/>
      </w:pPr>
      <w:r>
        <w:rPr>
          <w:b/>
        </w:rPr>
        <w:t>Group ID:</w:t>
      </w:r>
      <w:r>
        <w:t xml:space="preserve"> group-f35aa9200ab8fc8e1fe3</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Map and Track the Performance in Education for Sustainable Development across the European Union — https://doi.org/10.3390/su132313185</w:t>
      </w:r>
    </w:p>
    <w:p>
      <w:pPr/>
      <w:r>
        <w:rPr>
          <w:b/>
        </w:rPr>
        <w:t>Later source:</w:t>
      </w:r>
      <w:r>
        <w:t xml:space="preserve"> Urban Food Waste: A Framework to Analyse Policies and Initiatives — https://doi.org/10.3390/resources9090099</w:t>
      </w:r>
    </w:p>
    <w:p>
      <w:pPr>
        <w:pStyle w:val="SourceNote"/>
      </w:pPr>
      <w:r>
        <w:rPr>
          <w:b/>
        </w:rPr>
        <w:t>Review status:</w:t>
      </w:r>
      <w:r>
        <w:t xml:space="preserve"> unchecked — possible relationship only</w:t>
      </w:r>
    </w:p>
    <w:p>
      <w:pPr>
        <w:pStyle w:val="Heading2"/>
      </w:pPr>
      <w:r>
        <w:t>76. Claim + two later sources: European cephalopods distribution under climate-change scenarios</w:t>
      </w:r>
    </w:p>
    <w:p>
      <w:pPr>
        <w:pStyle w:val="SourceNote"/>
      </w:pPr>
      <w:r>
        <w:rPr>
          <w:b/>
        </w:rPr>
        <w:t>Group ID:</w:t>
      </w:r>
      <w:r>
        <w:t xml:space="preserve"> group-59b30a8ff34ee9c83f43</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Climate-induced habitat suitability modelling for pelagic fish in European seas — https://doi.org/10.3389/fmars.2025.1501751</w:t>
      </w:r>
    </w:p>
    <w:p>
      <w:pPr/>
      <w:r>
        <w:rPr>
          <w:b/>
        </w:rPr>
        <w:t>Later source:</w:t>
      </w:r>
      <w:r>
        <w:t xml:space="preserve"> Impact of emerging packaging regulations on international trade and product safety with emphasis on plastic reuse and recycling in Europe and North America — https://doi.org/10.1111/jiec.70079</w:t>
      </w:r>
    </w:p>
    <w:p>
      <w:pPr>
        <w:pStyle w:val="SourceNote"/>
      </w:pPr>
      <w:r>
        <w:rPr>
          <w:b/>
        </w:rPr>
        <w:t>Review status:</w:t>
      </w:r>
      <w:r>
        <w:t xml:space="preserve"> unchecked — possible relationship only</w:t>
      </w:r>
    </w:p>
    <w:p>
      <w:pPr>
        <w:pStyle w:val="Heading2"/>
      </w:pPr>
      <w:r>
        <w:t>77.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78. Claim + two later sources: How much can societal turning points affect forecasts’ accuracy in Europe? Case of post-communistic transformation in Slovakia and the Czech Republic</w:t>
      </w:r>
    </w:p>
    <w:p>
      <w:pPr>
        <w:pStyle w:val="SourceNote"/>
      </w:pPr>
      <w:r>
        <w:rPr>
          <w:b/>
        </w:rPr>
        <w:t>Group ID:</w:t>
      </w:r>
      <w:r>
        <w:t xml:space="preserve"> group-5c5269cba100f24d6d5b</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Population genomics and molecular epidemiology of wheat powdery mildew in Europe — https://doi.org/10.1371/journal.pbio.3003097</w:t>
      </w:r>
    </w:p>
    <w:p>
      <w:pPr/>
      <w:r>
        <w:rPr>
          <w:b/>
        </w:rPr>
        <w:t>Later source:</w:t>
      </w:r>
      <w:r>
        <w:t xml:space="preserve"> Crime and Punishment—Crime Rates and Prison Population in Europe — https://doi.org/10.3390/laws12010019</w:t>
      </w:r>
    </w:p>
    <w:p>
      <w:pPr>
        <w:pStyle w:val="SourceNote"/>
      </w:pPr>
      <w:r>
        <w:rPr>
          <w:b/>
        </w:rPr>
        <w:t>Review status:</w:t>
      </w:r>
      <w:r>
        <w:t xml:space="preserve"> unchecked — possible relationship only</w:t>
      </w:r>
    </w:p>
    <w:p>
      <w:pPr>
        <w:pStyle w:val="Heading2"/>
      </w:pPr>
      <w:r>
        <w:t>79. Claim + two later sources: Macro Study of Global Electric Vehicle Expansion</w:t>
      </w:r>
    </w:p>
    <w:p>
      <w:pPr>
        <w:pStyle w:val="SourceNote"/>
      </w:pPr>
      <w:r>
        <w:rPr>
          <w:b/>
        </w:rPr>
        <w:t>Group ID:</w:t>
      </w:r>
      <w:r>
        <w:t xml:space="preserve"> group-a1f7a08080f4c507d7df</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Global trends in electric vehicle adoption and the impact of environmental awareness, user attributes, and barriers — https://doi.org/10.1016/j.egyr.2024.12.054</w:t>
      </w:r>
    </w:p>
    <w:p>
      <w:pPr/>
      <w:r>
        <w:rPr>
          <w:b/>
        </w:rPr>
        <w:t>Later source:</w:t>
      </w:r>
      <w:r>
        <w:t xml:space="preserve"> What has driven the adoption of BEV and PHEV in the EU? — https://doi.org/10.1016/j.rtbm.2025.101331</w:t>
      </w:r>
    </w:p>
    <w:p>
      <w:pPr>
        <w:pStyle w:val="SourceNote"/>
      </w:pPr>
      <w:r>
        <w:rPr>
          <w:b/>
        </w:rPr>
        <w:t>Review status:</w:t>
      </w:r>
      <w:r>
        <w:t xml:space="preserve"> unchecked — possible relationship only</w:t>
      </w:r>
    </w:p>
    <w:p>
      <w:pPr>
        <w:pStyle w:val="Heading2"/>
      </w:pPr>
      <w:r>
        <w:t>80. Claim + two later sources: The future of direct payments system in the EU agriculture; European Commission scenarios</w:t>
      </w:r>
    </w:p>
    <w:p>
      <w:pPr>
        <w:pStyle w:val="SourceNote"/>
      </w:pPr>
      <w:r>
        <w:rPr>
          <w:b/>
        </w:rPr>
        <w:t>Group ID:</w:t>
      </w:r>
      <w:r>
        <w:t xml:space="preserve"> group-9bb69da1d2f35ecd40bd</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Disinformation regarding COVID-19 in light of the priorities of the European Commission and the legal regulations binding and currently drafted in Poland — https://doi.org/10.31743/recl.13539</w:t>
      </w:r>
    </w:p>
    <w:p>
      <w:pPr/>
      <w:r>
        <w:rPr>
          <w:b/>
        </w:rPr>
        <w:t>Later source:</w:t>
      </w:r>
      <w:r>
        <w:t xml:space="preserve"> Judicial coherence in the current European patent system — https://doi.org/10.4337/9781800880078.00009</w:t>
      </w:r>
    </w:p>
    <w:p>
      <w:pPr>
        <w:pStyle w:val="SourceNote"/>
      </w:pPr>
      <w:r>
        <w:rPr>
          <w:b/>
        </w:rPr>
        <w:t>Review status:</w:t>
      </w:r>
      <w:r>
        <w:t xml:space="preserve"> unchecked — possible relationship only</w:t>
      </w:r>
    </w:p>
    <w:p>
      <w:pPr>
        <w:pStyle w:val="Heading2"/>
      </w:pPr>
      <w:r>
        <w:t>81. Claim + two later sources: Impacts of Scaling up Agroecology on the Sustainability of European Agriculture in 2050</w:t>
      </w:r>
    </w:p>
    <w:p>
      <w:pPr>
        <w:pStyle w:val="SourceNote"/>
      </w:pPr>
      <w:r>
        <w:rPr>
          <w:b/>
        </w:rPr>
        <w:t>Group ID:</w:t>
      </w:r>
      <w:r>
        <w:t xml:space="preserve"> group-3f68a680521e29b6af21</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Climate Change and Vector-Borne Diseases in Europe: Implications for Public Health and Environmental Sanitation Strategies — https://doi.org/10.3390/ijem1030010</w:t>
      </w:r>
    </w:p>
    <w:p>
      <w:pPr>
        <w:pStyle w:val="SourceNote"/>
      </w:pPr>
      <w:r>
        <w:rPr>
          <w:b/>
        </w:rPr>
        <w:t>Review status:</w:t>
      </w:r>
      <w:r>
        <w:t xml:space="preserve"> unchecked — possible relationship only</w:t>
      </w:r>
    </w:p>
    <w:p>
      <w:pPr>
        <w:pStyle w:val="Heading2"/>
      </w:pPr>
      <w:r>
        <w:t>82. Claim + two later sources: How to Achieve a Healthier and More Sustainable Europe by 2040 According to the Public? Results of a Five-Country Questionnaire Survey</w:t>
      </w:r>
    </w:p>
    <w:p>
      <w:pPr>
        <w:pStyle w:val="SourceNote"/>
      </w:pPr>
      <w:r>
        <w:rPr>
          <w:b/>
        </w:rPr>
        <w:t>Group ID:</w:t>
      </w:r>
      <w:r>
        <w:t xml:space="preserve"> group-2f5c77fae25c9ca47505</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Power, inclusion and the role of SMEs in European public procurement — https://doi.org/10.1108/jpbafm-06-2025-0169</w:t>
      </w:r>
    </w:p>
    <w:p>
      <w:pPr/>
      <w:r>
        <w:rPr>
          <w:b/>
        </w:rPr>
        <w:t>Later source:</w:t>
      </w:r>
      <w:r>
        <w:t xml:space="preserve"> CONTEMPORARY EUROPEAN CONCEPTS OF PUBLIC ADMINISTRATION IN THE CONTEXT OF DIGITAL TRANSFORMATION AND THEIR LEGAL FRAMEWORK — https://doi.org/10.36690/2674-5216-2025-1-99-109</w:t>
      </w:r>
    </w:p>
    <w:p>
      <w:pPr>
        <w:pStyle w:val="SourceNote"/>
      </w:pPr>
      <w:r>
        <w:rPr>
          <w:b/>
        </w:rPr>
        <w:t>Review status:</w:t>
      </w:r>
      <w:r>
        <w:t xml:space="preserve"> unchecked — possible relationship only</w:t>
      </w:r>
    </w:p>
    <w:p>
      <w:pPr>
        <w:pStyle w:val="Heading2"/>
      </w:pPr>
      <w:r>
        <w:t>83. Claim + two later sources: Environmental water quantity projections under market-driven and sustainability-driven future scenarios in the Narew basin, Poland</w:t>
      </w:r>
    </w:p>
    <w:p>
      <w:pPr>
        <w:pStyle w:val="SourceNote"/>
      </w:pPr>
      <w:r>
        <w:rPr>
          <w:b/>
        </w:rPr>
        <w:t>Group ID:</w:t>
      </w:r>
      <w:r>
        <w:t xml:space="preserve"> group-301ca16b19ca64fefcfb</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Repertoires of resistance: The right to feel in European radical climate movements — https://doi.org/10.1177/00113921261480606</w:t>
      </w:r>
    </w:p>
    <w:p>
      <w:pPr>
        <w:pStyle w:val="SourceNote"/>
      </w:pPr>
      <w:r>
        <w:rPr>
          <w:b/>
        </w:rPr>
        <w:t>Review status:</w:t>
      </w:r>
      <w:r>
        <w:t xml:space="preserve"> unchecked — possible relationship only</w:t>
      </w:r>
    </w:p>
    <w:p>
      <w:pPr>
        <w:pStyle w:val="Heading2"/>
      </w:pPr>
      <w:r>
        <w:t>84. Claim + two later sources: The geography of megatrends affecting European agriculture</w:t>
      </w:r>
    </w:p>
    <w:p>
      <w:pPr>
        <w:pStyle w:val="SourceNote"/>
      </w:pPr>
      <w:r>
        <w:rPr>
          <w:b/>
        </w:rPr>
        <w:t>Group ID:</w:t>
      </w:r>
      <w:r>
        <w:t xml:space="preserve"> group-26a0c03802b82a916526</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Foresight study for addressing megatrends in information and communication technology (ICT) — https://doi.org/10.1186/s13731-025-00466-z</w:t>
      </w:r>
    </w:p>
    <w:p>
      <w:pPr>
        <w:pStyle w:val="SourceNote"/>
      </w:pPr>
      <w:r>
        <w:rPr>
          <w:b/>
        </w:rPr>
        <w:t>Review status:</w:t>
      </w:r>
      <w:r>
        <w:t xml:space="preserve"> unchecked — possible relationship only</w:t>
      </w:r>
    </w:p>
    <w:p>
      <w:pPr>
        <w:pStyle w:val="Heading2"/>
      </w:pPr>
      <w:r>
        <w:t>85. Claim + two later sources: Towards a sustainable European energy system: Linking optimization models with multi-regional input-output analysis</w:t>
      </w:r>
    </w:p>
    <w:p>
      <w:pPr>
        <w:pStyle w:val="SourceNote"/>
      </w:pPr>
      <w:r>
        <w:rPr>
          <w:b/>
        </w:rPr>
        <w:t>Group ID:</w:t>
      </w:r>
      <w:r>
        <w:t xml:space="preserve"> group-85d79d861ac5129172e5</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Mapping where biodiversity goals meet local values in European land use futures — https://doi.org/10.5194/wbf2026-660</w:t>
      </w:r>
    </w:p>
    <w:p>
      <w:pPr/>
      <w:r>
        <w:rPr>
          <w:b/>
        </w:rPr>
        <w:t>Later source:</w:t>
      </w:r>
      <w:r>
        <w:t xml:space="preserve"> Analysis of Two-Side Wood Joints Using the European Yield Model (EYM) Method Referring to SNI 7973:2013 — https://doi.org/10.38124/ijisrt/25dec821</w:t>
      </w:r>
    </w:p>
    <w:p>
      <w:pPr>
        <w:pStyle w:val="SourceNote"/>
      </w:pPr>
      <w:r>
        <w:rPr>
          <w:b/>
        </w:rPr>
        <w:t>Review status:</w:t>
      </w:r>
      <w:r>
        <w:t xml:space="preserve"> unchecked — possible relationship only</w:t>
      </w:r>
    </w:p>
    <w:p>
      <w:pPr>
        <w:pStyle w:val="Heading2"/>
      </w:pPr>
      <w:r>
        <w:t>86.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87. Claim + two later sources: The feasibility of a European‐wide integrated CO 2 transport network</w:t>
      </w:r>
    </w:p>
    <w:p>
      <w:pPr>
        <w:pStyle w:val="SourceNote"/>
      </w:pPr>
      <w:r>
        <w:rPr>
          <w:b/>
        </w:rPr>
        <w:t>Group ID:</w:t>
      </w:r>
      <w:r>
        <w:t xml:space="preserve"> group-cd1b013ccb3310f5f559</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Climate at what cost? A survey experiment on trade-offs between decarbonization ambitions and socioeconomic costs — https://doi.org/10.1016/j.erss.2026.104877</w:t>
      </w:r>
    </w:p>
    <w:p>
      <w:pPr>
        <w:pStyle w:val="SourceNote"/>
      </w:pPr>
      <w:r>
        <w:rPr>
          <w:b/>
        </w:rPr>
        <w:t>Review status:</w:t>
      </w:r>
      <w:r>
        <w:t xml:space="preserve"> unchecked — possible relationship only</w:t>
      </w:r>
    </w:p>
    <w:p>
      <w:pPr>
        <w:pStyle w:val="Heading2"/>
      </w:pPr>
      <w:r>
        <w:t>88. Claim + two later sources: The future of financial markets and regulation: what strategy for Europe?</w:t>
      </w:r>
    </w:p>
    <w:p>
      <w:pPr>
        <w:pStyle w:val="SourceNote"/>
      </w:pPr>
      <w:r>
        <w:rPr>
          <w:b/>
        </w:rPr>
        <w:t>Group ID:</w:t>
      </w:r>
      <w:r>
        <w:t xml:space="preserve"> group-0d20b41634b760b49d67</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GLAM metadata in museums and university collections: a state-of-the-art (Spain and other European countries) — https://doi.org/10.1108/gkmc-06-2022-0133</w:t>
      </w:r>
    </w:p>
    <w:p>
      <w:pPr>
        <w:pStyle w:val="SourceNote"/>
      </w:pPr>
      <w:r>
        <w:rPr>
          <w:b/>
        </w:rPr>
        <w:t>Review status:</w:t>
      </w:r>
      <w:r>
        <w:t xml:space="preserve"> unchecked — possible relationship only</w:t>
      </w:r>
    </w:p>
    <w:p>
      <w:pPr>
        <w:pStyle w:val="Heading2"/>
      </w:pPr>
      <w:r>
        <w:t>89. Claim + two later sources: Will the real security foresight expert please stand up?</w:t>
      </w:r>
    </w:p>
    <w:p>
      <w:pPr>
        <w:pStyle w:val="SourceNote"/>
      </w:pPr>
      <w:r>
        <w:rPr>
          <w:b/>
        </w:rPr>
        <w:t>Group ID:</w:t>
      </w:r>
      <w:r>
        <w:t xml:space="preserve"> group-682d8cb78d526789bc1d</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A Comparative Review of Healthcare Systems in India, the Middle East, and Europe: Strengths, Weaknesses, and Lessons for Improvement — https://doi.org/10.25258/ijddt.16.38s.65</w:t>
      </w:r>
    </w:p>
    <w:p>
      <w:pPr/>
      <w:r>
        <w:rPr>
          <w:b/>
        </w:rPr>
        <w:t>Later source:</w:t>
      </w:r>
      <w:r>
        <w:t xml:space="preserve"> Language teaching in Europe: A comparative overview of pedagogical, theoretical and decolonial approaches from the region — https://openalex.org/W7208794743</w:t>
      </w:r>
    </w:p>
    <w:p>
      <w:pPr>
        <w:pStyle w:val="SourceNote"/>
      </w:pPr>
      <w:r>
        <w:rPr>
          <w:b/>
        </w:rPr>
        <w:t>Review status:</w:t>
      </w:r>
      <w:r>
        <w:t xml:space="preserve"> unchecked — possible relationship only</w:t>
      </w:r>
    </w:p>
    <w:p>
      <w:pPr>
        <w:pStyle w:val="Heading2"/>
      </w:pPr>
      <w:r>
        <w:t>90. Claim + two later sources: The state of democracy in the European Union in scenarios: federation, empire and Europe à la carte</w:t>
      </w:r>
    </w:p>
    <w:p>
      <w:pPr>
        <w:pStyle w:val="SourceNote"/>
      </w:pPr>
      <w:r>
        <w:rPr>
          <w:b/>
        </w:rPr>
        <w:t>Group ID:</w:t>
      </w:r>
      <w:r>
        <w:t xml:space="preserve"> group-c040f8b733696589f890</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The Communion of Protestant Churches in Europe and European integration — https://doi.org/10.31261/ssht.2025.58.1.05</w:t>
      </w:r>
    </w:p>
    <w:p>
      <w:pPr/>
      <w:r>
        <w:rPr>
          <w:b/>
        </w:rPr>
        <w:t>Later source:</w:t>
      </w:r>
      <w:r>
        <w:t xml:space="preserve"> Beyond dualism: the hybridization of technocracy and democracy in Europe — https://doi.org/10.1017/s1755773926100514</w:t>
      </w:r>
    </w:p>
    <w:p>
      <w:pPr>
        <w:pStyle w:val="SourceNote"/>
      </w:pPr>
      <w:r>
        <w:rPr>
          <w:b/>
        </w:rPr>
        <w:t>Review status:</w:t>
      </w:r>
      <w:r>
        <w:t xml:space="preserve"> unchecked — possible relationship only</w:t>
      </w:r>
    </w:p>
    <w:p>
      <w:pPr>
        <w:pStyle w:val="Heading2"/>
      </w:pPr>
      <w:r>
        <w:t>91. Claim + two later sources: Diverging hydrological drought traits over Europe with global warming</w:t>
      </w:r>
    </w:p>
    <w:p>
      <w:pPr>
        <w:pStyle w:val="SourceNote"/>
      </w:pPr>
      <w:r>
        <w:rPr>
          <w:b/>
        </w:rPr>
        <w:t>Group ID:</w:t>
      </w:r>
      <w:r>
        <w:t xml:space="preserve"> group-eae630dae4be0ac1b23b</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Compounding hazards increase flood economic losses across Europe — https://doi.org/10.1038/s41467-026-73248-0</w:t>
      </w:r>
    </w:p>
    <w:p>
      <w:pPr/>
      <w:r>
        <w:rPr>
          <w:b/>
        </w:rPr>
        <w:t>Later source:</w:t>
      </w:r>
      <w:r>
        <w:t xml:space="preserve"> Continental-scale assessment of hydrological cycle across Europe under anthropogenic warming — https://doi.org/10.5194/egusphere-egu26-862</w:t>
      </w:r>
    </w:p>
    <w:p>
      <w:pPr>
        <w:pStyle w:val="SourceNote"/>
      </w:pPr>
      <w:r>
        <w:rPr>
          <w:b/>
        </w:rPr>
        <w:t>Review status:</w:t>
      </w:r>
      <w:r>
        <w:t xml:space="preserve"> unchecked — possible relationship only</w:t>
      </w:r>
    </w:p>
    <w:p>
      <w:pPr>
        <w:pStyle w:val="Heading2"/>
      </w:pPr>
      <w:r>
        <w:t>92. Claim + two later sources: Climate, Energy – and Environment? Reconciliation of EU Environmental Law with the Implementation Realities of EU Climate Law</w:t>
      </w:r>
    </w:p>
    <w:p>
      <w:pPr>
        <w:pStyle w:val="SourceNote"/>
      </w:pPr>
      <w:r>
        <w:rPr>
          <w:b/>
        </w:rPr>
        <w:t>Group ID:</w:t>
      </w:r>
      <w:r>
        <w:t xml:space="preserve"> group-2caadebc83294bcd3eaa</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Later source:</w:t>
      </w:r>
      <w:r>
        <w:t xml:space="preserve"> Urban Planning and Environmental Protection in the Mirror of the Case Law of the European Court of Human Rights — https://doi.org/10.14207/ejsd.2026.v15n1p903</w:t>
      </w:r>
    </w:p>
    <w:p>
      <w:pPr>
        <w:pStyle w:val="SourceNote"/>
      </w:pPr>
      <w:r>
        <w:rPr>
          <w:b/>
        </w:rPr>
        <w:t>Review status:</w:t>
      </w:r>
      <w:r>
        <w:t xml:space="preserve"> unchecked — possible relationship only</w:t>
      </w:r>
    </w:p>
    <w:p>
      <w:pPr>
        <w:pStyle w:val="Heading2"/>
      </w:pPr>
      <w:r>
        <w:t>93. Claim + two later sources: Population aging, migration, and productivity in Europe</w:t>
      </w:r>
    </w:p>
    <w:p>
      <w:pPr>
        <w:pStyle w:val="SourceNote"/>
      </w:pPr>
      <w:r>
        <w:rPr>
          <w:b/>
        </w:rPr>
        <w:t>Group ID:</w:t>
      </w:r>
      <w:r>
        <w:t xml:space="preserve"> group-8fc22b974ddb9e1f1064</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Policies of Plastic Use in European Countries — https://doi.org/10.1201/9781003387862-3</w:t>
      </w:r>
    </w:p>
    <w:p>
      <w:pPr/>
      <w:r>
        <w:rPr>
          <w:b/>
        </w:rPr>
        <w:t>Later source:</w:t>
      </w:r>
      <w:r>
        <w:t xml:space="preserve"> The value of national defense: Assessing public preferences for defense policy options — https://doi.org/10.1016/j.ejpoleco.2024.102595</w:t>
      </w:r>
    </w:p>
    <w:p>
      <w:pPr>
        <w:pStyle w:val="SourceNote"/>
      </w:pPr>
      <w:r>
        <w:rPr>
          <w:b/>
        </w:rPr>
        <w:t>Review status:</w:t>
      </w:r>
      <w:r>
        <w:t xml:space="preserve"> unchecked — possible relationship only</w:t>
      </w:r>
    </w:p>
    <w:p>
      <w:pPr>
        <w:pStyle w:val="Heading2"/>
      </w:pPr>
      <w:r>
        <w:t>94. Claim + two later sources: Future Scenarios of European Forests</w:t>
      </w:r>
    </w:p>
    <w:p>
      <w:pPr>
        <w:pStyle w:val="SourceNote"/>
      </w:pPr>
      <w:r>
        <w:rPr>
          <w:b/>
        </w:rPr>
        <w:t>Group ID:</w:t>
      </w:r>
      <w:r>
        <w:t xml:space="preserve"> group-b3633ab90d6e3f4897b0</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Worst-case European heat storylines generated using ensemble boosting — https://doi.org/10.1038/s43247-026-03699-2</w:t>
      </w:r>
    </w:p>
    <w:p>
      <w:pPr/>
      <w:r>
        <w:rPr>
          <w:b/>
        </w:rPr>
        <w:t>Later source:</w:t>
      </w:r>
      <w:r>
        <w:t xml:space="preserve"> Contrasting mechanisms driving the northward expansion of African raptors in Europe — https://doi.org/10.1111/jzo.70124</w:t>
      </w:r>
    </w:p>
    <w:p>
      <w:pPr>
        <w:pStyle w:val="SourceNote"/>
      </w:pPr>
      <w:r>
        <w:rPr>
          <w:b/>
        </w:rPr>
        <w:t>Review status:</w:t>
      </w:r>
      <w:r>
        <w:t xml:space="preserve"> unchecked — possible relationship only</w:t>
      </w:r>
    </w:p>
    <w:p>
      <w:pPr>
        <w:pStyle w:val="Heading2"/>
      </w:pPr>
      <w:r>
        <w:t>95. Claim + two later sources: Understanding and enhancing future infrastructure resiliency: a socio‐ecological approach</w:t>
      </w:r>
    </w:p>
    <w:p>
      <w:pPr>
        <w:pStyle w:val="SourceNote"/>
      </w:pPr>
      <w:r>
        <w:rPr>
          <w:b/>
        </w:rPr>
        <w:t>Group ID:</w:t>
      </w:r>
      <w:r>
        <w:t xml:space="preserve"> group-947297109e1cf5b94c95</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Problematising current coaching strategies from a worldview perspective — https://doi.org/10.4102/sajip.v49i0.2034</w:t>
      </w:r>
    </w:p>
    <w:p>
      <w:pPr/>
      <w:r>
        <w:rPr>
          <w:b/>
        </w:rPr>
        <w:t>Later source:</w:t>
      </w:r>
      <w:r>
        <w:t xml:space="preserve"> Problematising philosophical assumptions in EE's Invisible College — https://doi.org/10.1108/ijebr-07-2021-0553</w:t>
      </w:r>
    </w:p>
    <w:p>
      <w:pPr>
        <w:pStyle w:val="SourceNote"/>
      </w:pPr>
      <w:r>
        <w:rPr>
          <w:b/>
        </w:rPr>
        <w:t>Review status:</w:t>
      </w:r>
      <w:r>
        <w:t xml:space="preserve"> unchecked — possible relationship only</w:t>
      </w:r>
    </w:p>
    <w:p>
      <w:pPr>
        <w:pStyle w:val="Heading2"/>
      </w:pPr>
      <w:r>
        <w:t>96. Claim + two later sources: The development of a system of «green» skills in the strategizing of labor resources of industrial enterprises</w:t>
      </w:r>
    </w:p>
    <w:p>
      <w:pPr>
        <w:pStyle w:val="SourceNote"/>
      </w:pPr>
      <w:r>
        <w:rPr>
          <w:b/>
        </w:rPr>
        <w:t>Group ID:</w:t>
      </w:r>
      <w:r>
        <w:t xml:space="preserve"> group-481b163b050d603e7f9f</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Theory and Practice of Gas Consumption Forecasting in Planning the Development of Regional Gas Supply Systems — https://doi.org/10.1134/s1075700725700935</w:t>
      </w:r>
    </w:p>
    <w:p>
      <w:pPr/>
      <w:r>
        <w:rPr>
          <w:b/>
        </w:rPr>
        <w:t>Later source:</w:t>
      </w:r>
      <w:r>
        <w:t xml:space="preserve"> AI Displacement Risk in the Labor Market: Evidence, Exposure, and the Imperative for Adaptive Organizational Strategy — https://doi.org/10.70175/hclreview.2020.33.2.6</w:t>
      </w:r>
    </w:p>
    <w:p>
      <w:pPr>
        <w:pStyle w:val="SourceNote"/>
      </w:pPr>
      <w:r>
        <w:rPr>
          <w:b/>
        </w:rPr>
        <w:t>Review status:</w:t>
      </w:r>
      <w:r>
        <w:t xml:space="preserve"> unchecked — possible relationship only</w:t>
      </w:r>
    </w:p>
    <w:p>
      <w:pPr>
        <w:pStyle w:val="Heading2"/>
      </w:pPr>
      <w:r>
        <w:t>97. Claim + two later sources: Carbon intensity of the Ukrainian industry: current state and foresight</w:t>
      </w:r>
    </w:p>
    <w:p>
      <w:pPr>
        <w:pStyle w:val="SourceNote"/>
      </w:pPr>
      <w:r>
        <w:rPr>
          <w:b/>
        </w:rPr>
        <w:t>Group ID:</w:t>
      </w:r>
      <w:r>
        <w:t xml:space="preserve"> group-0feb5d9f0873273658d9</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DIGITIZATION AS A TOOL FOR ENSURING THE PRESERVATION OF ARCHIVAL COLLECTIONS: CURRENT STATE AND PROSPECTS — https://doi.org/10.31073/istnauka202602-22</w:t>
      </w:r>
    </w:p>
    <w:p>
      <w:pPr/>
      <w:r>
        <w:rPr>
          <w:b/>
        </w:rPr>
        <w:t>Later source:</w:t>
      </w:r>
      <w:r>
        <w:t xml:space="preserve"> Hydrogen: a building block for decarbonization in the future of Mexico — https://doi.org/10.1016/j.ijhydene.2026.157559</w:t>
      </w:r>
    </w:p>
    <w:p>
      <w:pPr>
        <w:pStyle w:val="SourceNote"/>
      </w:pPr>
      <w:r>
        <w:rPr>
          <w:b/>
        </w:rPr>
        <w:t>Review status:</w:t>
      </w:r>
      <w:r>
        <w:t xml:space="preserve"> unchecked — possible relationship only</w:t>
      </w:r>
    </w:p>
    <w:p>
      <w:pPr>
        <w:pStyle w:val="Heading2"/>
      </w:pPr>
      <w:r>
        <w:t>98. Claim + two later sources: Future Trajectories of Renewable Energy Consumption in the European Union</w:t>
      </w:r>
    </w:p>
    <w:p>
      <w:pPr>
        <w:pStyle w:val="SourceNote"/>
      </w:pPr>
      <w:r>
        <w:rPr>
          <w:b/>
        </w:rPr>
        <w:t>Group ID:</w:t>
      </w:r>
      <w:r>
        <w:t xml:space="preserve"> group-f3c1d7b959850276ac9d</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Bayesian Indirect Estimation of Historical Fertility in Europe and US Using Online Genealogical Data — https://doi.org/10.1177/00491241261463559</w:t>
      </w:r>
    </w:p>
    <w:p>
      <w:pPr/>
      <w:r>
        <w:rPr>
          <w:b/>
        </w:rPr>
        <w:t>Later source:</w:t>
      </w:r>
      <w:r>
        <w:t xml:space="preserve"> The Afro-European Energy Diplomacy, a Historical Reconstruction from 1973 to 2007 — https://doi.org/10.59569/jceeas.2023.3.1.137</w:t>
      </w:r>
    </w:p>
    <w:p>
      <w:pPr>
        <w:pStyle w:val="SourceNote"/>
      </w:pPr>
      <w:r>
        <w:rPr>
          <w:b/>
        </w:rPr>
        <w:t>Review status:</w:t>
      </w:r>
      <w:r>
        <w:t xml:space="preserve"> unchecked — possible relationship only</w:t>
      </w:r>
    </w:p>
    <w:p>
      <w:pPr>
        <w:pStyle w:val="Heading2"/>
      </w:pPr>
      <w:r>
        <w:t>99. Claim + two later sources: Polish and Ukrainian foresight into the directions for the innovation of power plants</w:t>
      </w:r>
    </w:p>
    <w:p>
      <w:pPr>
        <w:pStyle w:val="SourceNote"/>
      </w:pPr>
      <w:r>
        <w:rPr>
          <w:b/>
        </w:rPr>
        <w:t>Group ID:</w:t>
      </w:r>
      <w:r>
        <w:t xml:space="preserve"> group-630133c9983606e0fcf6</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Feasibility Model for Establishing and Implementing Smart Insurance Using a Hybrid Approach — https://openalex.org/W7217145713</w:t>
      </w:r>
    </w:p>
    <w:p>
      <w:pPr/>
      <w:r>
        <w:rPr>
          <w:b/>
        </w:rPr>
        <w:t>Later source:</w:t>
      </w:r>
      <w:r>
        <w:t xml:space="preserve"> A comprehensive review of planting approaches used to establish willow for environmental applications — https://doi.org/10.1016/j.ecoleng.2024.107288</w:t>
      </w:r>
    </w:p>
    <w:p>
      <w:pPr>
        <w:pStyle w:val="SourceNote"/>
      </w:pPr>
      <w:r>
        <w:rPr>
          <w:b/>
        </w:rPr>
        <w:t>Review status:</w:t>
      </w:r>
      <w:r>
        <w:t xml:space="preserve"> unchecked — possible relationship only</w:t>
      </w:r>
    </w:p>
    <w:p>
      <w:pPr>
        <w:pStyle w:val="Heading2"/>
      </w:pPr>
      <w:r>
        <w:t>100. Claim + two later sources: European Water Footprint Scenarios for 2050</w:t>
      </w:r>
    </w:p>
    <w:p>
      <w:pPr>
        <w:pStyle w:val="SourceNote"/>
      </w:pPr>
      <w:r>
        <w:rPr>
          <w:b/>
        </w:rPr>
        <w:t>Group ID:</w:t>
      </w:r>
      <w:r>
        <w:t xml:space="preserve"> group-80b2f854bde16e217291</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The water–agriculture–food nexus in Europe: a governance perspective — https://openalex.org/W7205710043</w:t>
      </w:r>
    </w:p>
    <w:p>
      <w:pPr/>
      <w:r>
        <w:rPr>
          <w:b/>
        </w:rPr>
        <w:t>Later source:</w:t>
      </w:r>
      <w:r>
        <w:t xml:space="preserve"> Blue and Green Water Footprint disparities of European households: A spatial structural decomposition analysis approach — https://doi.org/10.5194/egusphere-egu25-18436</w:t>
      </w:r>
    </w:p>
    <w:p>
      <w:pPr>
        <w:pStyle w:val="SourceNote"/>
      </w:pPr>
      <w:r>
        <w:rPr>
          <w:b/>
        </w:rPr>
        <w:t>Review status:</w:t>
      </w:r>
      <w:r>
        <w:t xml:space="preserve"> unchecked — possible relationship only</w:t>
      </w:r>
    </w:p>
    <w:p>
      <w:pPr>
        <w:pStyle w:val="Heading2"/>
      </w:pPr>
      <w:r>
        <w:t>101. Claim + two later sources: Nutrient criteria for surface waters under the European Water Framework Directive: Current state-of-the-art, challenges and future outlook</w:t>
      </w:r>
    </w:p>
    <w:p>
      <w:pPr>
        <w:pStyle w:val="SourceNote"/>
      </w:pPr>
      <w:r>
        <w:rPr>
          <w:b/>
        </w:rPr>
        <w:t>Group ID:</w:t>
      </w:r>
      <w:r>
        <w:t xml:space="preserve"> group-fd767bd9b06094f02624</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Agriculture Contributions to Water Pollution and Sustainable Policy Solutions in Europe — https://doi.org/10.3390/earth7040115</w:t>
      </w:r>
    </w:p>
    <w:p>
      <w:pPr/>
      <w:r>
        <w:rPr>
          <w:b/>
        </w:rPr>
        <w:t>Later source:</w:t>
      </w:r>
      <w:r>
        <w:t xml:space="preserve"> Water governance for good ecological status and water quality in south-western Czechia – an interdisciplinary study — https://doi.org/10.1080/00207233.2025.2568342</w:t>
      </w:r>
    </w:p>
    <w:p>
      <w:pPr>
        <w:pStyle w:val="SourceNote"/>
      </w:pPr>
      <w:r>
        <w:rPr>
          <w:b/>
        </w:rPr>
        <w:t>Review status:</w:t>
      </w:r>
      <w:r>
        <w:t xml:space="preserve"> unchecked — possible relationship only</w:t>
      </w:r>
    </w:p>
    <w:p>
      <w:pPr>
        <w:pStyle w:val="Heading2"/>
      </w:pPr>
      <w:r>
        <w:t>102. Claim + two later sources: Burden of Stroke in Europe</w:t>
      </w:r>
    </w:p>
    <w:p>
      <w:pPr>
        <w:pStyle w:val="SourceNote"/>
      </w:pPr>
      <w:r>
        <w:rPr>
          <w:b/>
        </w:rPr>
        <w:t>Group ID:</w:t>
      </w:r>
      <w:r>
        <w:t xml:space="preserve"> group-f3232a3d97dba49bc84f</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The updated global burden of chronic kidney disease: one death every 20 seconds — https://doi.org/10.1093/ndt/gfag040</w:t>
      </w:r>
    </w:p>
    <w:p>
      <w:pPr/>
      <w:r>
        <w:rPr>
          <w:b/>
        </w:rPr>
        <w:t>Later source:</w:t>
      </w:r>
      <w:r>
        <w:t xml:space="preserve"> Estimating the burden of vitiligo: a systematic review and modelling study — https://doi.org/10.1016/s2468-2667(24)00026-4</w:t>
      </w:r>
    </w:p>
    <w:p>
      <w:pPr>
        <w:pStyle w:val="SourceNote"/>
      </w:pPr>
      <w:r>
        <w:rPr>
          <w:b/>
        </w:rPr>
        <w:t>Review status:</w:t>
      </w:r>
      <w:r>
        <w:t xml:space="preserve"> unchecked — possible relationship only</w:t>
      </w:r>
    </w:p>
    <w:p>
      <w:pPr>
        <w:pStyle w:val="Heading2"/>
      </w:pPr>
      <w:r>
        <w:t>103. Claim + two later sources: Ukrainian Migration Aspirations towards Germany: Analysis and Development Scenarios</w:t>
      </w:r>
    </w:p>
    <w:p>
      <w:pPr>
        <w:pStyle w:val="SourceNote"/>
      </w:pPr>
      <w:r>
        <w:rPr>
          <w:b/>
        </w:rPr>
        <w:t>Group ID:</w:t>
      </w:r>
      <w:r>
        <w:t xml:space="preserve"> group-ddaf8ce813e3adf2dd0b</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Signal-Based Trading Strategy for SPY ETF: A Multiple Linear Regression Approach — https://doi.org/10.70693/rwsk.v1i2.552</w:t>
      </w:r>
    </w:p>
    <w:p>
      <w:pPr/>
      <w:r>
        <w:rPr>
          <w:b/>
        </w:rPr>
        <w:t>Later source:</w:t>
      </w:r>
      <w:r>
        <w:t xml:space="preserve"> The European Approach to the Use of Artificial Intelligence for Sustainable Development — https://doi.org/10.1093/9780198945215.003.0161</w:t>
      </w:r>
    </w:p>
    <w:p>
      <w:pPr>
        <w:pStyle w:val="SourceNote"/>
      </w:pPr>
      <w:r>
        <w:rPr>
          <w:b/>
        </w:rPr>
        <w:t>Review status:</w:t>
      </w:r>
      <w:r>
        <w:t xml:space="preserve"> unchecked — possible relationship only</w:t>
      </w:r>
    </w:p>
    <w:p>
      <w:pPr>
        <w:pStyle w:val="Heading2"/>
      </w:pPr>
      <w:r>
        <w:t>104. Claim + two later sources: Forecasting the Volatility of European Union Allowance Futures with Climate Policy Uncertainty Using the EGARCH-MIDAS Model</w:t>
      </w:r>
    </w:p>
    <w:p>
      <w:pPr>
        <w:pStyle w:val="SourceNote"/>
      </w:pPr>
      <w:r>
        <w:rPr>
          <w:b/>
        </w:rPr>
        <w:t>Group ID:</w:t>
      </w:r>
      <w:r>
        <w:t xml:space="preserve"> group-ed1a448f7b11b2c9a1e7</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Why Grey Room — https://doi.org/10.1162/grey.e.11</w:t>
      </w:r>
    </w:p>
    <w:p>
      <w:pPr/>
      <w:r>
        <w:rPr>
          <w:b/>
        </w:rPr>
        <w:t>Later source:</w:t>
      </w:r>
      <w:r>
        <w:t xml:space="preserve"> EUROPEAN ASSESSMENT OF COASTAL FLOOD HAZARDS — https://doi.org/10.9753/icce.v38.management.202</w:t>
      </w:r>
    </w:p>
    <w:p>
      <w:pPr>
        <w:pStyle w:val="SourceNote"/>
      </w:pPr>
      <w:r>
        <w:rPr>
          <w:b/>
        </w:rPr>
        <w:t>Review status:</w:t>
      </w:r>
      <w:r>
        <w:t xml:space="preserve"> unchecked — possible relationship only</w:t>
      </w:r>
    </w:p>
    <w:p>
      <w:pPr>
        <w:pStyle w:val="Heading2"/>
      </w:pPr>
      <w:r>
        <w:t>105. Claim + two later sources: From flood science to flood policy: the Foresight Future Flooding project seven years on</w:t>
      </w:r>
    </w:p>
    <w:p>
      <w:pPr>
        <w:pStyle w:val="SourceNote"/>
      </w:pPr>
      <w:r>
        <w:rPr>
          <w:b/>
        </w:rPr>
        <w:t>Group ID:</w:t>
      </w:r>
      <w:r>
        <w:t xml:space="preserve"> group-320c2890527e74cdde88</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Eye of Europe Foresight Training Manual — https://openalex.org/W7220785974</w:t>
      </w:r>
    </w:p>
    <w:p>
      <w:pPr/>
      <w:r>
        <w:rPr>
          <w:b/>
        </w:rPr>
        <w:t>Later source:</w:t>
      </w:r>
      <w:r>
        <w:t xml:space="preserve"> Mission-oriented scenarios: a new method for urban foresight — https://doi.org/10.1108/fs-06-2023-0119</w:t>
      </w:r>
    </w:p>
    <w:p>
      <w:pPr>
        <w:pStyle w:val="SourceNote"/>
      </w:pPr>
      <w:r>
        <w:rPr>
          <w:b/>
        </w:rPr>
        <w:t>Review status:</w:t>
      </w:r>
      <w:r>
        <w:t xml:space="preserve"> unchecked — possible relationship only</w:t>
      </w:r>
    </w:p>
    <w:p>
      <w:pPr>
        <w:pStyle w:val="Heading2"/>
      </w:pPr>
      <w:r>
        <w:t>106. Claim + two later sources: Immigration and integration scenarios in global Europe: Forward-looking up to 2050</w:t>
      </w:r>
    </w:p>
    <w:p>
      <w:pPr>
        <w:pStyle w:val="SourceNote"/>
      </w:pPr>
      <w:r>
        <w:rPr>
          <w:b/>
        </w:rPr>
        <w:t>Group ID:</w:t>
      </w:r>
      <w:r>
        <w:t xml:space="preserve"> group-bb66fd488b049262bfba</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A.M. Pankratova on Pan-European tendencies in historical scholarship in Western Europe in the Mid-20th century — https://doi.org/10.55959/msu0130-0083-8-2025-66-5-107-123</w:t>
      </w:r>
    </w:p>
    <w:p>
      <w:pPr>
        <w:pStyle w:val="SourceNote"/>
      </w:pPr>
      <w:r>
        <w:rPr>
          <w:b/>
        </w:rPr>
        <w:t>Review status:</w:t>
      </w:r>
      <w:r>
        <w:t xml:space="preserve"> unchecked — possible relationship only</w:t>
      </w:r>
    </w:p>
    <w:p>
      <w:pPr>
        <w:pStyle w:val="Heading2"/>
      </w:pPr>
      <w:r>
        <w:t>107. Claim + two later sources: Materials for Sustainable Nuclear Energy: A European Strategic Research and Innovation Agenda for All Reactor Generations</w:t>
      </w:r>
    </w:p>
    <w:p>
      <w:pPr>
        <w:pStyle w:val="SourceNote"/>
      </w:pPr>
      <w:r>
        <w:rPr>
          <w:b/>
        </w:rPr>
        <w:t>Group ID:</w:t>
      </w:r>
      <w:r>
        <w:t xml:space="preserve"> group-902177850305d9bad9cb</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MANAGEMENT OF ENERGY TECHNOLOGY SELECTION FOR STRENGTHENING POLAND’S ENERGY SECURITY — https://doi.org/10.29119/1641-3466.2026.244.19</w:t>
      </w:r>
    </w:p>
    <w:p>
      <w:pPr/>
      <w:r>
        <w:rPr>
          <w:b/>
        </w:rPr>
        <w:t>Later source:</w:t>
      </w:r>
      <w:r>
        <w:t xml:space="preserve"> Thorium as an Advanced Nuclear Fuel: Enhancing Supply-Chain Resilience for the Energy Transition — https://doi.org/10.2118/233268-ms</w:t>
      </w:r>
    </w:p>
    <w:p>
      <w:pPr>
        <w:pStyle w:val="SourceNote"/>
      </w:pPr>
      <w:r>
        <w:rPr>
          <w:b/>
        </w:rPr>
        <w:t>Review status:</w:t>
      </w:r>
      <w:r>
        <w:t xml:space="preserve"> unchecked — possible relationship only</w:t>
      </w:r>
    </w:p>
    <w:p>
      <w:pPr>
        <w:pStyle w:val="Heading2"/>
      </w:pPr>
      <w:r>
        <w:t>108. Claim + two later sources: Microgrids: Enhancing the Resilience of the European Megagrid</w:t>
      </w:r>
    </w:p>
    <w:p>
      <w:pPr>
        <w:pStyle w:val="SourceNote"/>
      </w:pPr>
      <w:r>
        <w:rPr>
          <w:b/>
        </w:rPr>
        <w:t>Group ID:</w:t>
      </w:r>
      <w:r>
        <w:t xml:space="preserve"> group-2539ee44188950dd5cf7</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Climate change impacts on European electricity demand and supply until 2100 — https://doi.org/10.1016/j.isci.2026.116818</w:t>
      </w:r>
    </w:p>
    <w:p>
      <w:pPr/>
      <w:r>
        <w:rPr>
          <w:b/>
        </w:rPr>
        <w:t>Later source:</w:t>
      </w:r>
      <w:r>
        <w:t xml:space="preserve"> Future electricity demand for Europe: Unraveling the dynamics of the Temperature Response Function — https://doi.org/10.1016/j.apenergy.2024.123387</w:t>
      </w:r>
    </w:p>
    <w:p>
      <w:pPr>
        <w:pStyle w:val="SourceNote"/>
      </w:pPr>
      <w:r>
        <w:rPr>
          <w:b/>
        </w:rPr>
        <w:t>Review status:</w:t>
      </w:r>
      <w:r>
        <w:t xml:space="preserve"> unchecked — possible relationship only</w:t>
      </w:r>
    </w:p>
    <w:p>
      <w:pPr>
        <w:pStyle w:val="Heading2"/>
      </w:pPr>
      <w:r>
        <w:t>109. Claim + two later sources: Argentinian Energy Landscapes - Case Study of the Neo-Carbon Energy Project</w:t>
      </w:r>
    </w:p>
    <w:p>
      <w:pPr>
        <w:pStyle w:val="SourceNote"/>
      </w:pPr>
      <w:r>
        <w:rPr>
          <w:b/>
        </w:rPr>
        <w:t>Group ID:</w:t>
      </w:r>
      <w:r>
        <w:t xml:space="preserve"> group-048d27e2f9490e5d5988</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Did We Miss Something Important? Studying and Exploring Variable-Aware Log Abstraction — https://doi.org/10.1109/icse48619.2023.00078</w:t>
      </w:r>
    </w:p>
    <w:p>
      <w:pPr>
        <w:pStyle w:val="SourceNote"/>
      </w:pPr>
      <w:r>
        <w:rPr>
          <w:b/>
        </w:rPr>
        <w:t>Review status:</w:t>
      </w:r>
      <w:r>
        <w:t xml:space="preserve"> unchecked — possible relationship only</w:t>
      </w:r>
    </w:p>
    <w:p>
      <w:pPr>
        <w:pStyle w:val="Heading2"/>
      </w:pPr>
      <w:r>
        <w:t>110. Claim + two later sources: Scenario analysis for nutrient emission reduction in the European inland waters</w:t>
      </w:r>
    </w:p>
    <w:p>
      <w:pPr>
        <w:pStyle w:val="SourceNote"/>
      </w:pPr>
      <w:r>
        <w:rPr>
          <w:b/>
        </w:rPr>
        <w:t>Group ID:</w:t>
      </w:r>
      <w:r>
        <w:t xml:space="preserve"> group-7bd53eedeaca0a59e9b0</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Chemical Profile and Bioactivity Evaluation of Salvia Species from Eastern Europe — https://doi.org/10.3390/antiox12081514</w:t>
      </w:r>
    </w:p>
    <w:p>
      <w:pPr/>
      <w:r>
        <w:rPr>
          <w:b/>
        </w:rPr>
        <w:t>Later source:</w:t>
      </w:r>
      <w:r>
        <w:t xml:space="preserve"> Towards an “Evaluation Dilemmas Model” – designing an evaluation scheme for a European capital of culture — https://doi.org/10.1108/aam-09-2021-0046</w:t>
      </w:r>
    </w:p>
    <w:p>
      <w:pPr>
        <w:pStyle w:val="SourceNote"/>
      </w:pPr>
      <w:r>
        <w:rPr>
          <w:b/>
        </w:rPr>
        <w:t>Review status:</w:t>
      </w:r>
      <w:r>
        <w:t xml:space="preserve"> unchecked — possible relationship only</w:t>
      </w:r>
    </w:p>
    <w:p>
      <w:pPr>
        <w:pStyle w:val="Heading2"/>
      </w:pPr>
      <w:r>
        <w:t>111.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group-ccf513cae442fb8eb599</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112. Claim + two later sources: A Foresight Study of European East-West Agrifood Trade Options</w:t>
      </w:r>
    </w:p>
    <w:p>
      <w:pPr>
        <w:pStyle w:val="SourceNote"/>
      </w:pPr>
      <w:r>
        <w:rPr>
          <w:b/>
        </w:rPr>
        <w:t>Group ID:</w:t>
      </w:r>
      <w:r>
        <w:t xml:space="preserve"> group-8b089d8d14083da67a3d</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The European Union Green Deal and Global Trade: A Constructivist Perspective on Sustainability Norms — https://doi.org/10.22146/jwts.v10i1.18729</w:t>
      </w:r>
    </w:p>
    <w:p>
      <w:pPr/>
      <w:r>
        <w:rPr>
          <w:b/>
        </w:rPr>
        <w:t>Later source:</w:t>
      </w:r>
      <w:r>
        <w:t xml:space="preserve"> Portuguese Agrifood Sector Resilience: An Analysis Using Structural Breaks Applied to International Trade — https://doi.org/10.3390/agriculture13091699</w:t>
      </w:r>
    </w:p>
    <w:p>
      <w:pPr>
        <w:pStyle w:val="SourceNote"/>
      </w:pPr>
      <w:r>
        <w:rPr>
          <w:b/>
        </w:rPr>
        <w:t>Review status:</w:t>
      </w:r>
      <w:r>
        <w:t xml:space="preserve"> unchecked — possible relationship only</w:t>
      </w:r>
    </w:p>
    <w:p>
      <w:pPr>
        <w:pStyle w:val="Heading2"/>
      </w:pPr>
      <w:r>
        <w:t>113. Claim + two later sources: Alpine Tundra Contraction under Future Warming Scenarios in Europe</w:t>
      </w:r>
    </w:p>
    <w:p>
      <w:pPr>
        <w:pStyle w:val="SourceNote"/>
      </w:pPr>
      <w:r>
        <w:rPr>
          <w:b/>
        </w:rPr>
        <w:t>Group ID:</w:t>
      </w:r>
      <w:r>
        <w:t xml:space="preserve"> group-6b5dd3a06f057ae5ff6c</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Evaluating Climate Regimes and Their Temporal Evolution in ERA5-Driven EURO-CORDEX CMIP6 Simulations — https://doi.org/10.5194/ems2026-512</w:t>
      </w:r>
    </w:p>
    <w:p>
      <w:pPr/>
      <w:r>
        <w:rPr>
          <w:b/>
        </w:rPr>
        <w:t>Later source:</w:t>
      </w:r>
      <w:r>
        <w:t xml:space="preserve"> Extreme precipitation projections over Europe from the Euro-CORDEX regional climate models — https://doi.org/10.2139/ssrn.7352664</w:t>
      </w:r>
    </w:p>
    <w:p>
      <w:pPr>
        <w:pStyle w:val="SourceNote"/>
      </w:pPr>
      <w:r>
        <w:rPr>
          <w:b/>
        </w:rPr>
        <w:t>Review status:</w:t>
      </w:r>
      <w:r>
        <w:t xml:space="preserve"> unchecked — possible relationship only</w:t>
      </w:r>
    </w:p>
    <w:p>
      <w:pPr>
        <w:pStyle w:val="Heading2"/>
      </w:pPr>
      <w:r>
        <w:t>114. Claim + two later sources: Ocean energy development in Europe: Current status and future perspectives</w:t>
      </w:r>
    </w:p>
    <w:p>
      <w:pPr>
        <w:pStyle w:val="SourceNote"/>
      </w:pPr>
      <w:r>
        <w:rPr>
          <w:b/>
        </w:rPr>
        <w:t>Group ID:</w:t>
      </w:r>
      <w:r>
        <w:t xml:space="preserve"> group-f6e39f6e88315190e031</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Merging modelled and reported flood impacts in Europe in a combined flood event catalogue for 1950–2020 — https://doi.org/10.5194/hess-28-3983-2024</w:t>
      </w:r>
    </w:p>
    <w:p>
      <w:pPr/>
      <w:r>
        <w:rPr>
          <w:b/>
        </w:rPr>
        <w:t>Later source:</w:t>
      </w:r>
      <w:r>
        <w:t xml:space="preserve"> Observations from structural testing of full-scale tidal turbine blades — https://doi.org/10.36688/ewtec-2023-277</w:t>
      </w:r>
    </w:p>
    <w:p>
      <w:pPr>
        <w:pStyle w:val="SourceNote"/>
      </w:pPr>
      <w:r>
        <w:rPr>
          <w:b/>
        </w:rPr>
        <w:t>Review status:</w:t>
      </w:r>
      <w:r>
        <w:t xml:space="preserve"> unchecked — possible relationship only</w:t>
      </w:r>
    </w:p>
    <w:p>
      <w:pPr>
        <w:pStyle w:val="Heading2"/>
      </w:pPr>
      <w:r>
        <w:t>115. Claim + two later sources: Connected and Automated Transport: Research and Innovation Capacity in Europe</w:t>
      </w:r>
    </w:p>
    <w:p>
      <w:pPr>
        <w:pStyle w:val="SourceNote"/>
      </w:pPr>
      <w:r>
        <w:rPr>
          <w:b/>
        </w:rPr>
        <w:t>Group ID:</w:t>
      </w:r>
      <w:r>
        <w:t xml:space="preserve"> group-0f8706f1247366e2e40e</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European cybersecurity standardisation: a tale of two solitudes in view of Europe’s cyber resilience — https://doi.org/10.1080/13511610.2024.2349626</w:t>
      </w:r>
    </w:p>
    <w:p>
      <w:pPr>
        <w:pStyle w:val="SourceNote"/>
      </w:pPr>
      <w:r>
        <w:rPr>
          <w:b/>
        </w:rPr>
        <w:t>Review status:</w:t>
      </w:r>
      <w:r>
        <w:t xml:space="preserve"> unchecked — possible relationship only</w:t>
      </w:r>
    </w:p>
    <w:p>
      <w:pPr>
        <w:pStyle w:val="Heading2"/>
      </w:pPr>
      <w:r>
        <w:t>116. Claim + two later sources: Implications of sustainability constraints on UK bioenergy development: Assessing optimistic and precautionary approaches with UK MARKAL</w:t>
      </w:r>
    </w:p>
    <w:p>
      <w:pPr>
        <w:pStyle w:val="SourceNote"/>
      </w:pPr>
      <w:r>
        <w:rPr>
          <w:b/>
        </w:rPr>
        <w:t>Group ID:</w:t>
      </w:r>
      <w:r>
        <w:t xml:space="preserve"> group-16134ecc92eff33d6705</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CRANIAL STRUCTURE OF †CHONDROSTEUS ACIPENSEROIDES RE-EXAMINED: IMPLICATIONS FOR UPPER JAW HOMOLOGIES IN ACIPENSERIFORM FISHES — https://doi.org/10.7302/28802</w:t>
      </w:r>
    </w:p>
    <w:p>
      <w:pPr/>
      <w:r>
        <w:rPr>
          <w:b/>
        </w:rPr>
        <w:t>Later source:</w:t>
      </w:r>
      <w:r>
        <w:t xml:space="preserve"> Tourism Dynamics at Meenakshi Amman Temple: Examining Implications for Micro-Enterprise Economic Performance — https://doi.org/10.34293/management.v13is1-i2-feb.10387</w:t>
      </w:r>
    </w:p>
    <w:p>
      <w:pPr>
        <w:pStyle w:val="SourceNote"/>
      </w:pPr>
      <w:r>
        <w:rPr>
          <w:b/>
        </w:rPr>
        <w:t>Review status:</w:t>
      </w:r>
      <w:r>
        <w:t xml:space="preserve"> unchecked — possible relationship only</w:t>
      </w:r>
    </w:p>
    <w:p>
      <w:pPr>
        <w:pStyle w:val="Heading2"/>
      </w:pPr>
      <w:r>
        <w:t>117. Claim + two later sources: Testing Scenarios to Achieve Workplace Sustainability Goals Using Backcasting and Agent-Based Modeling</w:t>
      </w:r>
    </w:p>
    <w:p>
      <w:pPr>
        <w:pStyle w:val="SourceNote"/>
      </w:pPr>
      <w:r>
        <w:rPr>
          <w:b/>
        </w:rPr>
        <w:t>Group ID:</w:t>
      </w:r>
      <w:r>
        <w:t xml:space="preserve"> group-433f8575cf4fdeb7dd8a</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Advancing participatory backcasting for climate change adaptation planning using 10 cases from 3 continents — https://doi.org/10.1016/j.crm.2023.100559</w:t>
      </w:r>
    </w:p>
    <w:p>
      <w:pPr/>
      <w:r>
        <w:rPr>
          <w:b/>
        </w:rPr>
        <w:t>Later source:</w:t>
      </w:r>
      <w:r>
        <w:t xml:space="preserve"> How to Create Serious Games? Proposal for a Participatory Methodology — https://doi.org/10.17083/ijsg.v10i4.642</w:t>
      </w:r>
    </w:p>
    <w:p>
      <w:pPr>
        <w:pStyle w:val="SourceNote"/>
      </w:pPr>
      <w:r>
        <w:rPr>
          <w:b/>
        </w:rPr>
        <w:t>Review status:</w:t>
      </w:r>
      <w:r>
        <w:t xml:space="preserve"> unchecked — possible relationship only</w:t>
      </w:r>
    </w:p>
    <w:p>
      <w:pPr>
        <w:pStyle w:val="Heading2"/>
      </w:pPr>
      <w:r>
        <w:t>118. Claim + two later sources: Changing knowledge, changing technology: implications for teacher education futures</w:t>
      </w:r>
    </w:p>
    <w:p>
      <w:pPr>
        <w:pStyle w:val="SourceNote"/>
      </w:pPr>
      <w:r>
        <w:rPr>
          <w:b/>
        </w:rPr>
        <w:t>Group ID:</w:t>
      </w:r>
      <w:r>
        <w:t xml:space="preserve"> group-67cb365fc9f3128c5fd5</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r>
        <w:rPr>
          <w:b/>
        </w:rPr>
        <w:t>Later source:</w:t>
      </w:r>
      <w:r>
        <w:t xml:space="preserve"> Towards a harmonised data framework for design for disassembly in construction — https://doi.org/10.5281/zenodo.22679835</w:t>
      </w:r>
    </w:p>
    <w:p>
      <w:pPr>
        <w:pStyle w:val="SourceNote"/>
      </w:pPr>
      <w:r>
        <w:rPr>
          <w:b/>
        </w:rPr>
        <w:t>Review status:</w:t>
      </w:r>
      <w:r>
        <w:t xml:space="preserve"> unchecked — possible relationship only</w:t>
      </w:r>
    </w:p>
    <w:p>
      <w:pPr>
        <w:pStyle w:val="Heading2"/>
      </w:pPr>
      <w:r>
        <w:t>119. Claim + two later sources: Technopolis, shared resources or controlled mobility? A net-based Delphi-study to explore visions of future urban daily mobility in Norway</w:t>
      </w:r>
    </w:p>
    <w:p>
      <w:pPr>
        <w:pStyle w:val="SourceNote"/>
      </w:pPr>
      <w:r>
        <w:rPr>
          <w:b/>
        </w:rPr>
        <w:t>Group ID:</w:t>
      </w:r>
      <w:r>
        <w:t xml:space="preserve"> group-330e7305fafc3834ab71</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Exploring asylum patterns in Europe: a focus on Italy — https://doi.org/10.71014/sieds.v80i1.522</w:t>
      </w:r>
    </w:p>
    <w:p>
      <w:pPr/>
      <w:r>
        <w:rPr>
          <w:b/>
        </w:rPr>
        <w:t>Later source:</w:t>
      </w:r>
      <w:r>
        <w:t xml:space="preserve"> Principal Component Analysis of Economic Factors Affecting Food Consumption and Labor Market Performance in the European Union — https://doi.org/10.35219/eai15840409587</w:t>
      </w:r>
    </w:p>
    <w:p>
      <w:pPr>
        <w:pStyle w:val="SourceNote"/>
      </w:pPr>
      <w:r>
        <w:rPr>
          <w:b/>
        </w:rPr>
        <w:t>Review status:</w:t>
      </w:r>
      <w:r>
        <w:t xml:space="preserve"> unchecked — possible relationship only</w:t>
      </w:r>
    </w:p>
    <w:p>
      <w:pPr>
        <w:pStyle w:val="Heading2"/>
      </w:pPr>
      <w:r>
        <w:t>120. Claim + two later sources: Hydrogen in the Strategies of the European Union Member States</w:t>
      </w:r>
    </w:p>
    <w:p>
      <w:pPr>
        <w:pStyle w:val="SourceNote"/>
      </w:pPr>
      <w:r>
        <w:rPr>
          <w:b/>
        </w:rPr>
        <w:t>Group ID:</w:t>
      </w:r>
      <w:r>
        <w:t xml:space="preserve"> group-79f341161936febe9ed5</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 critical analysis of national dementia plans: comparison of preventive strategies in five European countries. — https://doi.org/10.7416/ai.2025.2702</w:t>
      </w:r>
    </w:p>
    <w:p>
      <w:pPr/>
      <w:r>
        <w:rPr>
          <w:b/>
        </w:rPr>
        <w:t>Later source:</w:t>
      </w:r>
      <w:r>
        <w:t xml:space="preserve"> Adaptation to Climate Change in Coastal Countries of the European Union—An Evaluation of Plans and Strategies — https://doi.org/10.3390/app15116281</w:t>
      </w:r>
    </w:p>
    <w:p>
      <w:pPr>
        <w:pStyle w:val="SourceNote"/>
      </w:pPr>
      <w:r>
        <w:rPr>
          <w:b/>
        </w:rPr>
        <w:t>Review status:</w:t>
      </w:r>
      <w:r>
        <w:t xml:space="preserve"> unchecked — possible relationship only</w:t>
      </w:r>
    </w:p>
    <w:p>
      <w:pPr>
        <w:pStyle w:val="Heading2"/>
      </w:pPr>
      <w:r>
        <w:t>121. Claim + two later sources: Demographic projections of future pharmaceutical consumption in the Netherlands</w:t>
      </w:r>
    </w:p>
    <w:p>
      <w:pPr>
        <w:pStyle w:val="SourceNote"/>
      </w:pPr>
      <w:r>
        <w:rPr>
          <w:b/>
        </w:rPr>
        <w:t>Group ID:</w:t>
      </w:r>
      <w:r>
        <w:t xml:space="preserve"> group-42f459ab97f81fd948ac</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Modelling Eurasian lynx populations in Western Europe: What prospects for the next 50 years? — https://doi.org/10.24072/pcjournal.543</w:t>
      </w:r>
    </w:p>
    <w:p>
      <w:pPr/>
      <w:r>
        <w:rPr>
          <w:b/>
        </w:rPr>
        <w:t>Later source:</w:t>
      </w:r>
      <w:r>
        <w:t xml:space="preserve"> A sentinel watching over inter-tidal seagrass phenology across Western Europe and North Africa — https://doi.org/10.1038/s43247-024-01543-z</w:t>
      </w:r>
    </w:p>
    <w:p>
      <w:pPr>
        <w:pStyle w:val="SourceNote"/>
      </w:pPr>
      <w:r>
        <w:rPr>
          <w:b/>
        </w:rPr>
        <w:t>Review status:</w:t>
      </w:r>
      <w:r>
        <w:t xml:space="preserve"> unchecked — possible relationship only</w:t>
      </w:r>
    </w:p>
    <w:p>
      <w:pPr>
        <w:pStyle w:val="Heading2"/>
      </w:pPr>
      <w:r>
        <w:t>122. Claim + two later sources: Assessing the Future of Renewable Energy Consumption for United Kingdom, Turkey and Nigeria</w:t>
      </w:r>
    </w:p>
    <w:p>
      <w:pPr>
        <w:pStyle w:val="SourceNote"/>
      </w:pPr>
      <w:r>
        <w:rPr>
          <w:b/>
        </w:rPr>
        <w:t>Group ID:</w:t>
      </w:r>
      <w:r>
        <w:t xml:space="preserve"> group-272981572fed563e3933</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Explainable AI-Based Clinical Decision Support System for Early Prediction of Pathological Findings in Forensic Practice — https://doi.org/10.48175/ijarsct-37846</w:t>
      </w:r>
    </w:p>
    <w:p>
      <w:pPr/>
      <w:r>
        <w:rPr>
          <w:b/>
        </w:rPr>
        <w:t>Later source:</w:t>
      </w:r>
      <w:r>
        <w:t xml:space="preserve"> Support Vector Machines in Stock Price Prediction — https://doi.org/10.1002/9781394311682.ch22</w:t>
      </w:r>
    </w:p>
    <w:p>
      <w:pPr>
        <w:pStyle w:val="SourceNote"/>
      </w:pPr>
      <w:r>
        <w:rPr>
          <w:b/>
        </w:rPr>
        <w:t>Review status:</w:t>
      </w:r>
      <w:r>
        <w:t xml:space="preserve"> unchecked — possible relationship only</w:t>
      </w:r>
    </w:p>
    <w:p>
      <w:pPr>
        <w:pStyle w:val="Heading2"/>
      </w:pPr>
      <w:r>
        <w:t>123.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124. Claim + two later sources: A strategic energy technology policy towards 2050: no-regret strategies for European technology push</w:t>
      </w:r>
    </w:p>
    <w:p>
      <w:pPr>
        <w:pStyle w:val="SourceNote"/>
      </w:pPr>
      <w:r>
        <w:rPr>
          <w:b/>
        </w:rPr>
        <w:t>Group ID:</w:t>
      </w:r>
      <w:r>
        <w:t xml:space="preserve"> group-d35de62f3a2f239c0680</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Renewable energy transition in Europe in the context of renewable energy transition processes in the world. A review — https://doi.org/10.1016/j.heliyon.2024.e40997</w:t>
      </w:r>
    </w:p>
    <w:p>
      <w:pPr/>
      <w:r>
        <w:rPr>
          <w:b/>
        </w:rPr>
        <w:t>Later source:</w:t>
      </w:r>
      <w:r>
        <w:t xml:space="preserve"> Power-to-hydrogen and hydrogen-to-X energy systems for the industry of the future in Europe — https://doi.org/10.1016/j.ijhydene.2023.01.194</w:t>
      </w:r>
    </w:p>
    <w:p>
      <w:pPr>
        <w:pStyle w:val="SourceNote"/>
      </w:pPr>
      <w:r>
        <w:rPr>
          <w:b/>
        </w:rPr>
        <w:t>Review status:</w:t>
      </w:r>
      <w:r>
        <w:t xml:space="preserve"> unchecked — possible relationship only</w:t>
      </w:r>
    </w:p>
    <w:p>
      <w:pPr>
        <w:pStyle w:val="Heading2"/>
      </w:pPr>
      <w:r>
        <w:t>125. Claim + two later sources: A Technological Scenario for a Healthier, More Equitable and Sustainable Europe in 2040: Citizen Perceptions and Policy Implications</w:t>
      </w:r>
    </w:p>
    <w:p>
      <w:pPr>
        <w:pStyle w:val="SourceNote"/>
      </w:pPr>
      <w:r>
        <w:rPr>
          <w:b/>
        </w:rPr>
        <w:t>Group ID:</w:t>
      </w:r>
      <w:r>
        <w:t xml:space="preserve"> group-141fe847dea2d43c15e5</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STRATEGIC AIMS OF UNIVERSITY-BASED MANAGERIAL EDUCATION IN EUROPEAN AND ASIAN COUNTRIES — https://doi.org/10.52058/3041-1572-2026-3(23)-909-923</w:t>
      </w:r>
    </w:p>
    <w:p>
      <w:pPr/>
      <w:r>
        <w:rPr>
          <w:b/>
        </w:rPr>
        <w:t>Later source:</w:t>
      </w:r>
      <w:r>
        <w:t xml:space="preserve"> Exploring the Impact of Digital Transformation on Non-Financial Performance in Central and Eastern European Countries — https://doi.org/10.3390/electronics14061226</w:t>
      </w:r>
    </w:p>
    <w:p>
      <w:pPr>
        <w:pStyle w:val="SourceNote"/>
      </w:pPr>
      <w:r>
        <w:rPr>
          <w:b/>
        </w:rPr>
        <w:t>Review status:</w:t>
      </w:r>
      <w:r>
        <w:t xml:space="preserve"> unchecked — possible relationship only</w:t>
      </w:r>
    </w:p>
    <w:p>
      <w:pPr>
        <w:pStyle w:val="Heading2"/>
      </w:pPr>
      <w:r>
        <w:t>126. Claim + two later sources: Current and Future Issues in BPM Research: A European Perspective from the ERCIS Meeting 2010</w:t>
      </w:r>
    </w:p>
    <w:p>
      <w:pPr>
        <w:pStyle w:val="SourceNote"/>
      </w:pPr>
      <w:r>
        <w:rPr>
          <w:b/>
        </w:rPr>
        <w:t>Group ID:</w:t>
      </w:r>
      <w:r>
        <w:t xml:space="preserve"> group-177c804d87606c585b96</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Digital integration for sustainable competitiveness: the role of BPM, process mining and ERP in accounting automation — https://doi.org/10.52326/csd2025.38</w:t>
      </w:r>
    </w:p>
    <w:p>
      <w:pPr/>
      <w:r>
        <w:rPr>
          <w:b/>
        </w:rPr>
        <w:t>Later source:</w:t>
      </w:r>
      <w:r>
        <w:t xml:space="preserve"> AI implementation and organizational ambidexterity in the context of BPM: Polish service sector experience — https://doi.org/10.33119/jmfs.2024.52.4</w:t>
      </w:r>
    </w:p>
    <w:p>
      <w:pPr>
        <w:pStyle w:val="SourceNote"/>
      </w:pPr>
      <w:r>
        <w:rPr>
          <w:b/>
        </w:rPr>
        <w:t>Review status:</w:t>
      </w:r>
      <w:r>
        <w:t xml:space="preserve"> unchecked — possible relationship only</w:t>
      </w:r>
    </w:p>
    <w:p>
      <w:pPr>
        <w:pStyle w:val="Heading2"/>
      </w:pPr>
      <w:r>
        <w:t>127. Claim + two later sources: Comparison of Water Flows in Four European Lagoon Catchments under a Set of Future Climate Scenarios</w:t>
      </w:r>
    </w:p>
    <w:p>
      <w:pPr>
        <w:pStyle w:val="SourceNote"/>
      </w:pPr>
      <w:r>
        <w:rPr>
          <w:b/>
        </w:rPr>
        <w:t>Group ID:</w:t>
      </w:r>
      <w:r>
        <w:t xml:space="preserve"> group-8c87bd467498b3a2bb28</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Energy storage and climate impacts on the future renewable European energy system — https://openalex.org/W4412222428</w:t>
      </w:r>
    </w:p>
    <w:p>
      <w:pPr/>
      <w:r>
        <w:rPr>
          <w:b/>
        </w:rPr>
        <w:t>Later source:</w:t>
      </w:r>
      <w:r>
        <w:t xml:space="preserve"> The impact of extensive agricultural water drainage on the hydrology of the Kleine Nete watershed, Belgium — https://doi.org/10.1016/j.scitotenv.2023.163903</w:t>
      </w:r>
    </w:p>
    <w:p>
      <w:pPr>
        <w:pStyle w:val="SourceNote"/>
      </w:pPr>
      <w:r>
        <w:rPr>
          <w:b/>
        </w:rPr>
        <w:t>Review status:</w:t>
      </w:r>
      <w:r>
        <w:t xml:space="preserve"> unchecked — possible relationship only</w:t>
      </w:r>
    </w:p>
    <w:p>
      <w:pPr>
        <w:pStyle w:val="Heading2"/>
      </w:pPr>
      <w:r>
        <w:t>128. Claim + two later sources: The European pulp and paper industry in transition to a bio-economy: A Delphi study</w:t>
      </w:r>
    </w:p>
    <w:p>
      <w:pPr>
        <w:pStyle w:val="SourceNote"/>
      </w:pPr>
      <w:r>
        <w:rPr>
          <w:b/>
        </w:rPr>
        <w:t>Group ID:</w:t>
      </w:r>
      <w:r>
        <w:t xml:space="preserve"> group-74426b0d045171f0238a</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Organizational readiness to adopt artificial intelligence in the exhibition sector in Western Europe — https://doi.org/10.1016/j.ijinfomgt.2022.102497</w:t>
      </w:r>
    </w:p>
    <w:p>
      <w:pPr/>
      <w:r>
        <w:rPr>
          <w:b/>
        </w:rPr>
        <w:t>Later source:</w:t>
      </w:r>
      <w:r>
        <w:t xml:space="preserve"> Overview of the DEMO staged design approach in Europe — https://doi.org/10.1088/1741-4326/ab1178</w:t>
      </w:r>
    </w:p>
    <w:p>
      <w:pPr>
        <w:pStyle w:val="SourceNote"/>
      </w:pPr>
      <w:r>
        <w:rPr>
          <w:b/>
        </w:rPr>
        <w:t>Review status:</w:t>
      </w:r>
      <w:r>
        <w:t xml:space="preserve"> unchecked — possible relationship only</w:t>
      </w:r>
    </w:p>
    <w:p>
      <w:pPr>
        <w:pStyle w:val="Heading2"/>
      </w:pPr>
      <w:r>
        <w:t>129. Claim + two later sources: Technology roadmapping in security and defence foresight</w:t>
      </w:r>
    </w:p>
    <w:p>
      <w:pPr>
        <w:pStyle w:val="SourceNote"/>
      </w:pPr>
      <w:r>
        <w:rPr>
          <w:b/>
        </w:rPr>
        <w:t>Group ID:</w:t>
      </w:r>
      <w:r>
        <w:t xml:space="preserve"> group-322c67949f7bdc5a363e</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Methodology of architectural brand integration in public space design — https://doi.org/10.30857/2617-0272.2026.3.3</w:t>
      </w:r>
    </w:p>
    <w:p>
      <w:pPr/>
      <w:r>
        <w:rPr>
          <w:b/>
        </w:rPr>
        <w:t>Later source:</w:t>
      </w:r>
      <w:r>
        <w:t xml:space="preserve"> Optimising Healthcare Integration: Design Methodology Approach to Developing an Integrated Service Delivery Model for Irish Health Service Executive's Health Regions — https://doi.org/10.5334/ijic.icic24232</w:t>
      </w:r>
    </w:p>
    <w:p>
      <w:pPr>
        <w:pStyle w:val="SourceNote"/>
      </w:pPr>
      <w:r>
        <w:rPr>
          <w:b/>
        </w:rPr>
        <w:t>Review status:</w:t>
      </w:r>
      <w:r>
        <w:t xml:space="preserve"> unchecked — possible relationship only</w:t>
      </w:r>
    </w:p>
    <w:p>
      <w:pPr>
        <w:pStyle w:val="Heading2"/>
      </w:pPr>
      <w:r>
        <w:t>130. Claim + two later sources: Projecting Drivers of Human Vulnerability under the Shared Socioeconomic Pathways</w:t>
      </w:r>
    </w:p>
    <w:p>
      <w:pPr>
        <w:pStyle w:val="SourceNote"/>
      </w:pPr>
      <w:r>
        <w:rPr>
          <w:b/>
        </w:rPr>
        <w:t>Group ID:</w:t>
      </w:r>
      <w:r>
        <w:t xml:space="preserve"> group-4da1140879d7ffdb03e4</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A new scenario architecture to capture granularity of governance within and across Shared Socioeconomic Pathways — https://doi.org/10.1016/j.landusepol.2026.107926</w:t>
      </w:r>
    </w:p>
    <w:p>
      <w:pPr/>
      <w:r>
        <w:rPr>
          <w:b/>
        </w:rPr>
        <w:t>Later source:</w:t>
      </w:r>
      <w:r>
        <w:t xml:space="preserve"> Community Scenarios beyond the Shared Socioeconomic Pathways: The Scenario Evolution Process — https://doi.org/10.5194/egusphere-egu26-13481</w:t>
      </w:r>
    </w:p>
    <w:p>
      <w:pPr>
        <w:pStyle w:val="SourceNote"/>
      </w:pPr>
      <w:r>
        <w:rPr>
          <w:b/>
        </w:rPr>
        <w:t>Review status:</w:t>
      </w:r>
      <w:r>
        <w:t xml:space="preserve"> unchecked — possible relationship only</w:t>
      </w:r>
    </w:p>
    <w:p>
      <w:pPr>
        <w:pStyle w:val="Heading2"/>
      </w:pPr>
      <w:r>
        <w:t>131. Claim + two later sources: Modelling Soil Organic Carbon Changes Under Different Maize Cropping Scenarios for Cellulosic Ethanol in Europe</w:t>
      </w:r>
    </w:p>
    <w:p>
      <w:pPr>
        <w:pStyle w:val="SourceNote"/>
      </w:pPr>
      <w:r>
        <w:rPr>
          <w:b/>
        </w:rPr>
        <w:t>Group ID:</w:t>
      </w:r>
      <w:r>
        <w:t xml:space="preserve"> group-0e4a2559f0a7f1c17c57</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Opportunity cost estimates for spatial conservation prioritisation across terrestrial Europe — https://doi.org/10.1038/s41597-025-05837-5</w:t>
      </w:r>
    </w:p>
    <w:p>
      <w:pPr/>
      <w:r>
        <w:rPr>
          <w:b/>
        </w:rPr>
        <w:t>Later source:</w:t>
      </w:r>
      <w:r>
        <w:t xml:space="preserve"> A Global Overview of Aquaculture Food Production with a Focus on the Activity’s Development in Transitional Systems—The Case Study of a South European Country (Portugal) — https://doi.org/10.3390/jmse10030417</w:t>
      </w:r>
    </w:p>
    <w:p>
      <w:pPr>
        <w:pStyle w:val="SourceNote"/>
      </w:pPr>
      <w:r>
        <w:rPr>
          <w:b/>
        </w:rPr>
        <w:t>Review status:</w:t>
      </w:r>
      <w:r>
        <w:t xml:space="preserve"> unchecked — possible relationship only</w:t>
      </w:r>
    </w:p>
    <w:p>
      <w:pPr>
        <w:pStyle w:val="Heading2"/>
      </w:pPr>
      <w:r>
        <w:t>132. Claim + two later sources: PROGNOSTIC MODEL OF THE UKRAINE SYSTEM OF GENERAL SECONDARY EDUCATION DEVELOPMENT: FORECASTING SCENARIOS OF THE DEVELOPMENT</w:t>
      </w:r>
    </w:p>
    <w:p>
      <w:pPr>
        <w:pStyle w:val="SourceNote"/>
      </w:pPr>
      <w:r>
        <w:rPr>
          <w:b/>
        </w:rPr>
        <w:t>Group ID:</w:t>
      </w:r>
      <w:r>
        <w:t xml:space="preserve"> group-8c5bd3a1843e658df459</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influential recent Canadian Medical Education Journal articles presented at the International Congress for Medical Education — https://doi.org/10.36834/cmej.79278</w:t>
      </w:r>
    </w:p>
    <w:p>
      <w:pPr/>
      <w:r>
        <w:rPr>
          <w:b/>
        </w:rPr>
        <w:t>Later source:</w:t>
      </w:r>
      <w:r>
        <w:t xml:space="preserve"> Masonry systems: Past, present and future — https://doi.org/10.1051/matecconf/202440301003</w:t>
      </w:r>
    </w:p>
    <w:p>
      <w:pPr>
        <w:pStyle w:val="SourceNote"/>
      </w:pPr>
      <w:r>
        <w:rPr>
          <w:b/>
        </w:rPr>
        <w:t>Review status:</w:t>
      </w:r>
      <w:r>
        <w:t xml:space="preserve"> unchecked — possible relationship only</w:t>
      </w:r>
    </w:p>
    <w:p>
      <w:pPr>
        <w:pStyle w:val="Heading2"/>
      </w:pPr>
      <w:r>
        <w:t>133.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134. Claim + two later sources: Climate change signal of future climate projections for Aachen, Germany, in terms of temperature and precipitation</w:t>
      </w:r>
    </w:p>
    <w:p>
      <w:pPr>
        <w:pStyle w:val="SourceNote"/>
      </w:pPr>
      <w:r>
        <w:rPr>
          <w:b/>
        </w:rPr>
        <w:t>Group ID:</w:t>
      </w:r>
      <w:r>
        <w:t xml:space="preserve"> group-5b94158a4b120b280928</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The PROMES Regional Climate Model: Three Decades of Development and Contributions to Regional Climate Ensemble Research — https://doi.org/10.3390/geosciences16100423</w:t>
      </w:r>
    </w:p>
    <w:p>
      <w:pPr/>
      <w:r>
        <w:rPr>
          <w:b/>
        </w:rPr>
        <w:t>Later source:</w:t>
      </w:r>
      <w:r>
        <w:t xml:space="preserve"> New gridded large multi-model ensembles of empirical-statistical downscaling results — https://doi.org/10.5194/ems2026-443</w:t>
      </w:r>
    </w:p>
    <w:p>
      <w:pPr>
        <w:pStyle w:val="SourceNote"/>
      </w:pPr>
      <w:r>
        <w:rPr>
          <w:b/>
        </w:rPr>
        <w:t>Review status:</w:t>
      </w:r>
      <w:r>
        <w:t xml:space="preserve"> unchecked — possible relationship only</w:t>
      </w:r>
    </w:p>
    <w:p>
      <w:pPr>
        <w:pStyle w:val="Heading2"/>
      </w:pPr>
      <w:r>
        <w:t>135. Claim + two later sources: Environmental Implications of Dynamic Policies on Food Consumption and Waste Handling in the European Union</w:t>
      </w:r>
    </w:p>
    <w:p>
      <w:pPr>
        <w:pStyle w:val="SourceNote"/>
      </w:pPr>
      <w:r>
        <w:rPr>
          <w:b/>
        </w:rPr>
        <w:t>Group ID:</w:t>
      </w:r>
      <w:r>
        <w:t xml:space="preserve"> group-d5e909b0c5574aae8670</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Double materiality and the shift from non-financial to European sustainability reporting: review, outlook and implications — https://doi.org/10.1108/jaar-04-2021-0114</w:t>
      </w:r>
    </w:p>
    <w:p>
      <w:pPr/>
      <w:r>
        <w:rPr>
          <w:b/>
        </w:rPr>
        <w:t>Later source:</w:t>
      </w:r>
      <w:r>
        <w:t xml:space="preserve"> Mixes of Policy Instruments for the Full Decarbonisation of Energy Systems: A Review — https://doi.org/10.3390/en18010148</w:t>
      </w:r>
    </w:p>
    <w:p>
      <w:pPr>
        <w:pStyle w:val="SourceNote"/>
      </w:pPr>
      <w:r>
        <w:rPr>
          <w:b/>
        </w:rPr>
        <w:t>Review status:</w:t>
      </w:r>
      <w:r>
        <w:t xml:space="preserve"> unchecked — possible relationship only</w:t>
      </w:r>
    </w:p>
    <w:p>
      <w:pPr>
        <w:pStyle w:val="Heading2"/>
      </w:pPr>
      <w:r>
        <w:t>136.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137. Claim + two later sources: Scenarios of water resources development in Poland up to 2030</w:t>
      </w:r>
    </w:p>
    <w:p>
      <w:pPr>
        <w:pStyle w:val="SourceNote"/>
      </w:pPr>
      <w:r>
        <w:rPr>
          <w:b/>
        </w:rPr>
        <w:t>Group ID:</w:t>
      </w:r>
      <w:r>
        <w:t xml:space="preserve"> group-78a50c9557c2d483d261</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Modern Stochastic Techniques for Multifaceted Sensitivity Analysis — https://doi.org/10.3390/engproc2026150036</w:t>
      </w:r>
    </w:p>
    <w:p>
      <w:pPr/>
      <w:r>
        <w:rPr>
          <w:b/>
        </w:rPr>
        <w:t>Later source:</w:t>
      </w:r>
      <w:r>
        <w:t xml:space="preserve"> Use of data mining techniques to explain the primary factors influencing water sensitivity of asphalt mixtures — https://doi.org/10.1016/j.conbuildmat.2022.128039</w:t>
      </w:r>
    </w:p>
    <w:p>
      <w:pPr>
        <w:pStyle w:val="SourceNote"/>
      </w:pPr>
      <w:r>
        <w:rPr>
          <w:b/>
        </w:rPr>
        <w:t>Review status:</w:t>
      </w:r>
      <w:r>
        <w:t xml:space="preserve"> unchecked — possible relationship only</w:t>
      </w:r>
    </w:p>
    <w:p>
      <w:pPr>
        <w:pStyle w:val="Heading2"/>
      </w:pPr>
      <w:r>
        <w:t>138. Claim + two later sources: EFFECTS OF HYDROGEN PRODUCTION ON ECONOMIC GROWTH IN THE EUROPEAN UNION</w:t>
      </w:r>
    </w:p>
    <w:p>
      <w:pPr>
        <w:pStyle w:val="SourceNote"/>
      </w:pPr>
      <w:r>
        <w:rPr>
          <w:b/>
        </w:rPr>
        <w:t>Group ID:</w:t>
      </w:r>
      <w:r>
        <w:t xml:space="preserve"> group-a27553ad3b0c17395a19</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Sources of European Union competition law — https://doi.org/10.24144/2307-3322.2026.93.2.3</w:t>
      </w:r>
    </w:p>
    <w:p>
      <w:pPr/>
      <w:r>
        <w:rPr>
          <w:b/>
        </w:rPr>
        <w:t>Later source:</w:t>
      </w:r>
      <w:r>
        <w:t xml:space="preserve"> Towards European Hydrogen Market Design: Perspectives from Transmission System Operators — https://openalex.org/W7144391439</w:t>
      </w:r>
    </w:p>
    <w:p>
      <w:pPr>
        <w:pStyle w:val="SourceNote"/>
      </w:pPr>
      <w:r>
        <w:rPr>
          <w:b/>
        </w:rPr>
        <w:t>Review status:</w:t>
      </w:r>
      <w:r>
        <w:t xml:space="preserve"> unchecked — possible relationship only</w:t>
      </w:r>
    </w:p>
    <w:p>
      <w:pPr>
        <w:pStyle w:val="Heading2"/>
      </w:pPr>
      <w:r>
        <w:t>139. Claim + two later sources: Shaping science policy in Europe</w:t>
      </w:r>
    </w:p>
    <w:p>
      <w:pPr>
        <w:pStyle w:val="SourceNote"/>
      </w:pPr>
      <w:r>
        <w:rPr>
          <w:b/>
        </w:rPr>
        <w:t>Group ID:</w:t>
      </w:r>
      <w:r>
        <w:t xml:space="preserve"> group-e734b6aab00152dddc89</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Economic, technological and environmental drivers of the circular economy in the European Union: a panel data analysis — https://doi.org/10.1186/s12302-025-01119-4</w:t>
      </w:r>
    </w:p>
    <w:p>
      <w:pPr/>
      <w:r>
        <w:rPr>
          <w:b/>
        </w:rPr>
        <w:t>Later source:</w:t>
      </w:r>
      <w:r>
        <w:t xml:space="preserve"> European Federation of Neurological Societies: parent to the European Academy of Neurology — https://doi.org/10.1111/ene.15680</w:t>
      </w:r>
    </w:p>
    <w:p>
      <w:pPr>
        <w:pStyle w:val="SourceNote"/>
      </w:pPr>
      <w:r>
        <w:rPr>
          <w:b/>
        </w:rPr>
        <w:t>Review status:</w:t>
      </w:r>
      <w:r>
        <w:t xml:space="preserve"> unchecked — possible relationship only</w:t>
      </w:r>
    </w:p>
    <w:p>
      <w:pPr>
        <w:pStyle w:val="Heading2"/>
      </w:pPr>
      <w:r>
        <w:t>140. Claim + two later sources: Predicting Future European Breeding Distributions of British Seabird Species under Climate Change and Unlimited/No Dispersal Scenarios</w:t>
      </w:r>
    </w:p>
    <w:p>
      <w:pPr>
        <w:pStyle w:val="SourceNote"/>
      </w:pPr>
      <w:r>
        <w:rPr>
          <w:b/>
        </w:rPr>
        <w:t>Group ID:</w:t>
      </w:r>
      <w:r>
        <w:t xml:space="preserve"> group-5f5572bdc7b121d11561</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different views on internal climate variability of temperature over Europe — https://doi.org/10.5194/egusphere-egu26-5489</w:t>
      </w:r>
    </w:p>
    <w:p>
      <w:pPr/>
      <w:r>
        <w:rPr>
          <w:b/>
        </w:rPr>
        <w:t>Later source:</w:t>
      </w:r>
      <w:r>
        <w:t xml:space="preserve"> Combining different views on internal climate variability of temperature over Europe — https://doi.org/10.5194/egusphere-2026-1341</w:t>
      </w:r>
    </w:p>
    <w:p>
      <w:pPr>
        <w:pStyle w:val="SourceNote"/>
      </w:pPr>
      <w:r>
        <w:rPr>
          <w:b/>
        </w:rPr>
        <w:t>Review status:</w:t>
      </w:r>
      <w:r>
        <w:t xml:space="preserve"> unchecked — possible relationship only</w:t>
      </w:r>
    </w:p>
    <w:p>
      <w:pPr>
        <w:pStyle w:val="Heading2"/>
      </w:pPr>
      <w:r>
        <w:t>141. Claim + two later sources: PROBLEM OF PROFESSIONAL TRAINING OF FUTURE ECONOMISTS FOR DEVELOPMENT OF NATIONAL ECONOMY UNDER CONDITIONS OF EUROPEAN INTEGRATION</w:t>
      </w:r>
    </w:p>
    <w:p>
      <w:pPr>
        <w:pStyle w:val="SourceNote"/>
      </w:pPr>
      <w:r>
        <w:rPr>
          <w:b/>
        </w:rPr>
        <w:t>Group ID:</w:t>
      </w:r>
      <w:r>
        <w:t xml:space="preserve"> group-ae7ab87b98ccd3f77977</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Competency-based European training requirements for the specialty of ophthalmology. Recommendations from the UEMS section of ophthalmology and the European Board of Ophthalmology — https://openalex.org/W7149229150</w:t>
      </w:r>
    </w:p>
    <w:p>
      <w:pPr/>
      <w:r>
        <w:rPr>
          <w:b/>
        </w:rPr>
        <w:t>Later source:</w:t>
      </w:r>
      <w:r>
        <w:t xml:space="preserve"> Competency-based European training requirements for the specialty of ophthalmology — https://openalex.org/W7155593103</w:t>
      </w:r>
    </w:p>
    <w:p>
      <w:pPr>
        <w:pStyle w:val="SourceNote"/>
      </w:pPr>
      <w:r>
        <w:rPr>
          <w:b/>
        </w:rPr>
        <w:t>Review status:</w:t>
      </w:r>
      <w:r>
        <w:t xml:space="preserve"> unchecked — possible relationship only</w:t>
      </w:r>
    </w:p>
    <w:p>
      <w:pPr>
        <w:pStyle w:val="Heading2"/>
      </w:pPr>
      <w:r>
        <w:t>142. Claim + two later sources: The CIRCE Simulations: Regional Climate Change Projections with Realistic Representation of the Mediterranean Sea</w:t>
      </w:r>
    </w:p>
    <w:p>
      <w:pPr>
        <w:pStyle w:val="SourceNote"/>
      </w:pPr>
      <w:r>
        <w:rPr>
          <w:b/>
        </w:rPr>
        <w:t>Group ID:</w:t>
      </w:r>
      <w:r>
        <w:t xml:space="preserve"> group-9f066b1e98429cc967e3</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Rolling force modeling based on neural network and mechanism model — https://doi.org/10.1007/s12206-025-0118-4</w:t>
      </w:r>
    </w:p>
    <w:p>
      <w:pPr/>
      <w:r>
        <w:rPr>
          <w:b/>
        </w:rPr>
        <w:t>Later source:</w:t>
      </w:r>
      <w:r>
        <w:t xml:space="preserve"> Inter-hemispheric asymmetries in high-latitude electrodynamic forcing and the thermosphere during the October 8–9, 2012, geomagnetic storm: An integrated data–Model investigation — https://doi.org/10.3389/fspas.2023.1062265</w:t>
      </w:r>
    </w:p>
    <w:p>
      <w:pPr>
        <w:pStyle w:val="SourceNote"/>
      </w:pPr>
      <w:r>
        <w:rPr>
          <w:b/>
        </w:rPr>
        <w:t>Review status:</w:t>
      </w:r>
      <w:r>
        <w:t xml:space="preserve"> unchecked — possible relationship only</w:t>
      </w:r>
    </w:p>
    <w:p>
      <w:pPr>
        <w:pStyle w:val="Heading2"/>
      </w:pPr>
      <w:r>
        <w:t>143. Claim + two later sources: Scenarios for the future of the European process industry - the case of the chemical industry</w:t>
      </w:r>
    </w:p>
    <w:p>
      <w:pPr>
        <w:pStyle w:val="SourceNote"/>
      </w:pPr>
      <w:r>
        <w:rPr>
          <w:b/>
        </w:rPr>
        <w:t>Group ID:</w:t>
      </w:r>
      <w:r>
        <w:t xml:space="preserve"> group-e97594de914c7a26dccb</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The impacts of the European chemical industry on the planetary boundaries — https://doi.org/10.1016/j.spc.2023.12.006</w:t>
      </w:r>
    </w:p>
    <w:p>
      <w:pPr/>
      <w:r>
        <w:rPr>
          <w:b/>
        </w:rPr>
        <w:t>Later source:</w:t>
      </w:r>
      <w:r>
        <w:t xml:space="preserve"> Novel foods in the European Union: Scientific requirements and challenges of the risk assessment process by the European Food Safety Authority — https://doi.org/10.1016/j.foodres.2020.109515</w:t>
      </w:r>
    </w:p>
    <w:p>
      <w:pPr>
        <w:pStyle w:val="SourceNote"/>
      </w:pPr>
      <w:r>
        <w:rPr>
          <w:b/>
        </w:rPr>
        <w:t>Review status:</w:t>
      </w:r>
      <w:r>
        <w:t xml:space="preserve"> unchecked — possible relationship only</w:t>
      </w:r>
    </w:p>
    <w:p>
      <w:pPr>
        <w:pStyle w:val="Heading2"/>
      </w:pPr>
      <w:r>
        <w:t>144. Claim + two later sources: The future of global trade and the WTO</w:t>
      </w:r>
    </w:p>
    <w:p>
      <w:pPr>
        <w:pStyle w:val="SourceNote"/>
      </w:pPr>
      <w:r>
        <w:rPr>
          <w:b/>
        </w:rPr>
        <w:t>Group ID:</w:t>
      </w:r>
      <w:r>
        <w:t xml:space="preserve"> group-09afc1d1d1b3baa0251e</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IMPACT OF SHORT-TERM EXTERNAL SHOCKS ON THE WORLD AND EUROPEAN ECONOMIES — https://doi.org/10.35774/jee2025.04.553</w:t>
      </w:r>
    </w:p>
    <w:p>
      <w:pPr/>
      <w:r>
        <w:rPr>
          <w:b/>
        </w:rPr>
        <w:t>Later source:</w:t>
      </w:r>
      <w:r>
        <w:t xml:space="preserve"> The Contested World Economy — https://doi.org/10.1017/9781009337489</w:t>
      </w:r>
    </w:p>
    <w:p>
      <w:pPr>
        <w:pStyle w:val="SourceNote"/>
      </w:pPr>
      <w:r>
        <w:rPr>
          <w:b/>
        </w:rPr>
        <w:t>Review status:</w:t>
      </w:r>
      <w:r>
        <w:t xml:space="preserve"> unchecked — possible relationship only</w:t>
      </w:r>
    </w:p>
    <w:p>
      <w:pPr>
        <w:pStyle w:val="Heading2"/>
      </w:pPr>
      <w:r>
        <w:t>145. Claim + two later sources: EU road vehicle energy consumption and CO2 emissions by 2050 – Expert-based scenarios</w:t>
      </w:r>
    </w:p>
    <w:p>
      <w:pPr>
        <w:pStyle w:val="SourceNote"/>
      </w:pPr>
      <w:r>
        <w:rPr>
          <w:b/>
        </w:rPr>
        <w:t>Group ID:</w:t>
      </w:r>
      <w:r>
        <w:t xml:space="preserve"> group-9fc8c5c013f8c4ec7071</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The economics of Decarbonizing Road Freight Transport – comparing Europe, USA and China — https://doi.org/10.34726/hss.2026.134201</w:t>
      </w:r>
    </w:p>
    <w:p>
      <w:pPr/>
      <w:r>
        <w:rPr>
          <w:b/>
        </w:rPr>
        <w:t>Later source:</w:t>
      </w:r>
      <w:r>
        <w:t xml:space="preserve"> ARTIFICIAL INTELLIGENCE AS A TECHNO-STRATEGIC DOMAIN: A COMPARATIVE ANALYSIS OF THE INFLUENCE OF THINK TANKS ON US AND EUROPEAN AI POLICIES — https://doi.org/10.53443/anadoluibfd.1850103</w:t>
      </w:r>
    </w:p>
    <w:p>
      <w:pPr>
        <w:pStyle w:val="SourceNote"/>
      </w:pPr>
      <w:r>
        <w:rPr>
          <w:b/>
        </w:rPr>
        <w:t>Review status:</w:t>
      </w:r>
      <w:r>
        <w:t xml:space="preserve"> unchecked — possible relationship only</w:t>
      </w:r>
    </w:p>
    <w:p>
      <w:pPr>
        <w:pStyle w:val="Heading2"/>
      </w:pPr>
      <w:r>
        <w:t>146. Claim + two later sources: Foresight as a tool of public administration in the field of science, technology and innovation</w:t>
      </w:r>
    </w:p>
    <w:p>
      <w:pPr>
        <w:pStyle w:val="SourceNote"/>
      </w:pPr>
      <w:r>
        <w:rPr>
          <w:b/>
        </w:rPr>
        <w:t>Group ID:</w:t>
      </w:r>
      <w:r>
        <w:t xml:space="preserve"> group-0522b7cd13d372bb2cca</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Strategic Technology Foresight Certification Assessment — https://doi.org/10.17605/osf.io/tc796</w:t>
      </w:r>
    </w:p>
    <w:p>
      <w:pPr/>
      <w:r>
        <w:rPr>
          <w:b/>
        </w:rPr>
        <w:t>Later source:</w:t>
      </w:r>
      <w:r>
        <w:t xml:space="preserve"> The role of individual characteristics in risk perception in fruit-growing — https://doi.org/10.22620/sciworks.2025.03.011</w:t>
      </w:r>
    </w:p>
    <w:p>
      <w:pPr>
        <w:pStyle w:val="SourceNote"/>
      </w:pPr>
      <w:r>
        <w:rPr>
          <w:b/>
        </w:rPr>
        <w:t>Review status:</w:t>
      </w:r>
      <w:r>
        <w:t xml:space="preserve"> unchecked — possible relationship only</w:t>
      </w:r>
    </w:p>
    <w:p>
      <w:pPr>
        <w:pStyle w:val="Heading2"/>
      </w:pPr>
      <w:r>
        <w:t>147.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148. Claim + two later sources: Scenarios for population health inequalities in 2030 in Europe</w:t>
      </w:r>
    </w:p>
    <w:p>
      <w:pPr>
        <w:pStyle w:val="SourceNote"/>
      </w:pPr>
      <w:r>
        <w:rPr>
          <w:b/>
        </w:rPr>
        <w:t>Group ID:</w:t>
      </w:r>
      <w:r>
        <w:t xml:space="preserve"> group-ccfc764ecd687f326a3a</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Soil degradation in Europe is projected to accelerate under changing land use and climate — https://doi.org/10.1038/s44458-026-00064-4</w:t>
      </w:r>
    </w:p>
    <w:p>
      <w:pPr/>
      <w:r>
        <w:rPr>
          <w:b/>
        </w:rPr>
        <w:t>Later source:</w:t>
      </w:r>
      <w:r>
        <w:t xml:space="preserve"> Revisiting the factor structure of the EURO-D, a depressive symptomatology scale: An exploratory graph analysis in 26 European countries — https://doi.org/10.1017/gmh.2026.10204</w:t>
      </w:r>
    </w:p>
    <w:p>
      <w:pPr>
        <w:pStyle w:val="SourceNote"/>
      </w:pPr>
      <w:r>
        <w:rPr>
          <w:b/>
        </w:rPr>
        <w:t>Review status:</w:t>
      </w:r>
      <w:r>
        <w:t xml:space="preserve"> unchecked — possible relationship only</w:t>
      </w:r>
    </w:p>
    <w:p>
      <w:pPr>
        <w:pStyle w:val="Heading2"/>
      </w:pPr>
      <w:r>
        <w:t>149. Claim + two later sources: REMIND-D: A Hybrid Energy-Economy Model of Germany</w:t>
      </w:r>
    </w:p>
    <w:p>
      <w:pPr>
        <w:pStyle w:val="SourceNote"/>
      </w:pPr>
      <w:r>
        <w:rPr>
          <w:b/>
        </w:rPr>
        <w:t>Group ID:</w:t>
      </w:r>
      <w:r>
        <w:t xml:space="preserve"> group-57f7f2e57d9708f3ce38</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Quantitative sovereign default models and the European debt crisis — https://doi.org/10.1016/j.jinteco.2019.01.011</w:t>
      </w:r>
    </w:p>
    <w:p>
      <w:pPr>
        <w:pStyle w:val="SourceNote"/>
      </w:pPr>
      <w:r>
        <w:rPr>
          <w:b/>
        </w:rPr>
        <w:t>Review status:</w:t>
      </w:r>
      <w:r>
        <w:t xml:space="preserve"> unchecked — possible relationship only</w:t>
      </w:r>
    </w:p>
    <w:p>
      <w:pPr>
        <w:pStyle w:val="Heading2"/>
      </w:pPr>
      <w:r>
        <w:t>150. Claim + two later sources: Pathway Analysis of a Zero-Emission Transition in the Nordic-Baltic Region</w:t>
      </w:r>
    </w:p>
    <w:p>
      <w:pPr>
        <w:pStyle w:val="SourceNote"/>
      </w:pPr>
      <w:r>
        <w:rPr>
          <w:b/>
        </w:rPr>
        <w:t>Group ID:</w:t>
      </w:r>
      <w:r>
        <w:t xml:space="preserve"> group-6502455b5b4eb01c6b70</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Accounting for economic disparity in designing net-zero European energy systems — https://doi.org/10.1088/2753-3751/ae6b8f</w:t>
      </w:r>
    </w:p>
    <w:p>
      <w:pPr>
        <w:pStyle w:val="SourceNote"/>
      </w:pPr>
      <w:r>
        <w:rPr>
          <w:b/>
        </w:rPr>
        <w:t>Review status:</w:t>
      </w:r>
      <w:r>
        <w:t xml:space="preserve"> unchecked — possible relationship only</w:t>
      </w:r>
    </w:p>
    <w:p>
      <w:pPr>
        <w:pStyle w:val="Heading2"/>
      </w:pPr>
      <w:r>
        <w:t>151. Claim + two later sources: Bioenergy futures in Sweden – Modeling integration scenarios for biofuel production</w:t>
      </w:r>
    </w:p>
    <w:p>
      <w:pPr>
        <w:pStyle w:val="SourceNote"/>
      </w:pPr>
      <w:r>
        <w:rPr>
          <w:b/>
        </w:rPr>
        <w:t>Group ID:</w:t>
      </w:r>
      <w:r>
        <w:t xml:space="preserve"> group-09f07f40744cc65e050a</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Increased Holocene Diversity in Europe Linked to Human‐Associated Vegetation Change — https://doi.org/10.1111/geb.70166</w:t>
      </w:r>
    </w:p>
    <w:p>
      <w:pPr/>
      <w:r>
        <w:rPr>
          <w:b/>
        </w:rPr>
        <w:t>Later source:</w:t>
      </w:r>
      <w:r>
        <w:t xml:space="preserve"> Evolution of the European offshore renewable energy resource under multiple climate change scenarios and forecasting horizons via CMIP6 — https://doi.org/10.1016/j.enconman.2023.118058</w:t>
      </w:r>
    </w:p>
    <w:p>
      <w:pPr>
        <w:pStyle w:val="SourceNote"/>
      </w:pPr>
      <w:r>
        <w:rPr>
          <w:b/>
        </w:rPr>
        <w:t>Review status:</w:t>
      </w:r>
      <w:r>
        <w:t xml:space="preserve"> unchecked — possible relationship only</w:t>
      </w:r>
    </w:p>
    <w:p>
      <w:pPr>
        <w:pStyle w:val="Heading2"/>
      </w:pPr>
      <w:r>
        <w:t>152.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153. Claim + two later sources: Fiscal foresighting: analysis of researches</w:t>
      </w:r>
    </w:p>
    <w:p>
      <w:pPr>
        <w:pStyle w:val="SourceNote"/>
      </w:pPr>
      <w:r>
        <w:rPr>
          <w:b/>
        </w:rPr>
        <w:t>Group ID:</w:t>
      </w:r>
      <w:r>
        <w:t xml:space="preserve"> group-e52516fa4f79d284861c</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Navigating the winds of change: strategic foresight and the power of weak signals — https://doi.org/10.1007/s11625-025-01786-5</w:t>
      </w:r>
    </w:p>
    <w:p>
      <w:pPr/>
      <w:r>
        <w:rPr>
          <w:b/>
        </w:rPr>
        <w:t>Later source:</w:t>
      </w:r>
      <w:r>
        <w:t xml:space="preserve"> Theoretical Framework for Analysing Regional Economic Governance: A Comparative Study of African Blocs — https://doi.org/10.5281/zenodo.18934399</w:t>
      </w:r>
    </w:p>
    <w:p>
      <w:pPr>
        <w:pStyle w:val="SourceNote"/>
      </w:pPr>
      <w:r>
        <w:rPr>
          <w:b/>
        </w:rPr>
        <w:t>Review status:</w:t>
      </w:r>
      <w:r>
        <w:t xml:space="preserve"> unchecked — possible relationship only</w:t>
      </w:r>
    </w:p>
    <w:p>
      <w:pPr>
        <w:pStyle w:val="Heading2"/>
      </w:pPr>
      <w:r>
        <w:t>154.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155. Claim + two later sources: Are Carbon Prices Redundant in the 2030 EU Climate and Energy Policy Package?</w:t>
      </w:r>
    </w:p>
    <w:p>
      <w:pPr>
        <w:pStyle w:val="SourceNote"/>
      </w:pPr>
      <w:r>
        <w:rPr>
          <w:b/>
        </w:rPr>
        <w:t>Group ID:</w:t>
      </w:r>
      <w:r>
        <w:t xml:space="preserve"> group-3e41c66ca5ce6d3b1996</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From Policy to Practice: European Funding and the Development of Energy-Efficient Buildings in Romania’s Mountain Regions — https://doi.org/10.3390/buildings16061161</w:t>
      </w:r>
    </w:p>
    <w:p>
      <w:pPr/>
      <w:r>
        <w:rPr>
          <w:b/>
        </w:rPr>
        <w:t>Later source:</w:t>
      </w:r>
      <w:r>
        <w:t xml:space="preserve"> The future of EU tax policy harmonisation: Cost of non-Europe report — https://doi.org/10.2861/8675836</w:t>
      </w:r>
    </w:p>
    <w:p>
      <w:pPr>
        <w:pStyle w:val="SourceNote"/>
      </w:pPr>
      <w:r>
        <w:rPr>
          <w:b/>
        </w:rPr>
        <w:t>Review status:</w:t>
      </w:r>
      <w:r>
        <w:t xml:space="preserve"> unchecked — possible relationship only</w:t>
      </w:r>
    </w:p>
    <w:p>
      <w:pPr>
        <w:pStyle w:val="Heading2"/>
      </w:pPr>
      <w:r>
        <w:t>156. Claim + two later sources: Institutional issues in planning for more uncertain futures</w:t>
      </w:r>
    </w:p>
    <w:p>
      <w:pPr>
        <w:pStyle w:val="SourceNote"/>
      </w:pPr>
      <w:r>
        <w:rPr>
          <w:b/>
        </w:rPr>
        <w:t>Group ID:</w:t>
      </w:r>
      <w:r>
        <w:t xml:space="preserve"> group-4c2fb38a52414c1ba0a4</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Shaping institutional change in skill formation: the role of background ideas in growth strategies — https://doi.org/10.1080/13501763.2025.2490188</w:t>
      </w:r>
    </w:p>
    <w:p>
      <w:pPr/>
      <w:r>
        <w:rPr>
          <w:b/>
        </w:rPr>
        <w:t>Later source:</w:t>
      </w:r>
      <w:r>
        <w:t xml:space="preserve"> Mobility in pandemic times: Exploring changes and long-term effects of COVID-19 on urban mobility behavior — https://doi.org/10.1016/j.trip.2022.100668</w:t>
      </w:r>
    </w:p>
    <w:p>
      <w:pPr>
        <w:pStyle w:val="SourceNote"/>
      </w:pPr>
      <w:r>
        <w:rPr>
          <w:b/>
        </w:rPr>
        <w:t>Review status:</w:t>
      </w:r>
      <w:r>
        <w:t xml:space="preserve"> unchecked — possible relationship only</w:t>
      </w:r>
    </w:p>
    <w:p>
      <w:pPr>
        <w:pStyle w:val="Heading2"/>
      </w:pPr>
      <w:r>
        <w:t>157. Claim + two later sources: La aplicación estratégica por escenarios en el medio natural. El caso del Nature Outlook 2050 del PBL.</w:t>
      </w:r>
    </w:p>
    <w:p>
      <w:pPr>
        <w:pStyle w:val="SourceNote"/>
      </w:pPr>
      <w:r>
        <w:rPr>
          <w:b/>
        </w:rPr>
        <w:t>Group ID:</w:t>
      </w:r>
      <w:r>
        <w:t xml:space="preserve"> group-4f969f75e0f770afa6a0</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Theoretical Explanation of Triguna and Emotional Intelligence — https://doi.org/10.1922/pjs.16.4s.2026.954</w:t>
      </w:r>
    </w:p>
    <w:p>
      <w:pPr/>
      <w:r>
        <w:rPr>
          <w:b/>
        </w:rPr>
        <w:t>Later source:</w:t>
      </w:r>
      <w:r>
        <w:t xml:space="preserve"> GAD-7 Screening Tool Implementation — https://openalex.org/W7112211183</w:t>
      </w:r>
    </w:p>
    <w:p>
      <w:pPr>
        <w:pStyle w:val="SourceNote"/>
      </w:pPr>
      <w:r>
        <w:rPr>
          <w:b/>
        </w:rPr>
        <w:t>Review status:</w:t>
      </w:r>
      <w:r>
        <w:t xml:space="preserve"> unchecked — possible relationship only</w:t>
      </w:r>
    </w:p>
    <w:p>
      <w:pPr>
        <w:pStyle w:val="Heading2"/>
      </w:pPr>
      <w:r>
        <w:t>158. Claim + two later sources: Backcasting for desirable futures in Finnish forest-based firms</w:t>
      </w:r>
    </w:p>
    <w:p>
      <w:pPr>
        <w:pStyle w:val="SourceNote"/>
      </w:pPr>
      <w:r>
        <w:rPr>
          <w:b/>
        </w:rPr>
        <w:t>Group ID:</w:t>
      </w:r>
      <w:r>
        <w:t xml:space="preserve"> group-862712170d0969a36354</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Knowledge and Prizes — https://doi.org/10.1093/9780191976766.003.0012</w:t>
      </w:r>
    </w:p>
    <w:p>
      <w:pPr/>
      <w:r>
        <w:rPr>
          <w:b/>
        </w:rPr>
        <w:t>Later source:</w:t>
      </w:r>
      <w:r>
        <w:t xml:space="preserve"> Technology‐Driven Business Ethics — https://doi.org/10.1002/9781394234028.ch20</w:t>
      </w:r>
    </w:p>
    <w:p>
      <w:pPr>
        <w:pStyle w:val="SourceNote"/>
      </w:pPr>
      <w:r>
        <w:rPr>
          <w:b/>
        </w:rPr>
        <w:t>Review status:</w:t>
      </w:r>
      <w:r>
        <w:t xml:space="preserve"> unchecked — possible relationship only</w:t>
      </w:r>
    </w:p>
    <w:p>
      <w:pPr>
        <w:pStyle w:val="Heading2"/>
      </w:pPr>
      <w:r>
        <w:t>159. Claim + two later sources: Climate, competition and connectivity affect future migration and ranges of European trees</w:t>
      </w:r>
    </w:p>
    <w:p>
      <w:pPr>
        <w:pStyle w:val="SourceNote"/>
      </w:pPr>
      <w:r>
        <w:rPr>
          <w:b/>
        </w:rPr>
        <w:t>Group ID:</w:t>
      </w:r>
      <w:r>
        <w:t xml:space="preserve"> group-7d0e8ad430cc1afd24c8</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Many Plant Species in Europe Have Limited Capacity to Track Climate Change — https://doi.org/10.1111/ddi.70115</w:t>
      </w:r>
    </w:p>
    <w:p>
      <w:pPr/>
      <w:r>
        <w:rPr>
          <w:b/>
        </w:rPr>
        <w:t>Later source:</w:t>
      </w:r>
      <w:r>
        <w:t xml:space="preserve"> Lecanora hybocarpa and similar European species — https://doi.org/10.1017/s0024282925101291</w:t>
      </w:r>
    </w:p>
    <w:p>
      <w:pPr>
        <w:pStyle w:val="SourceNote"/>
      </w:pPr>
      <w:r>
        <w:rPr>
          <w:b/>
        </w:rPr>
        <w:t>Review status:</w:t>
      </w:r>
      <w:r>
        <w:t xml:space="preserve"> unchecked — possible relationship only</w:t>
      </w:r>
    </w:p>
    <w:p>
      <w:pPr>
        <w:pStyle w:val="Heading2"/>
      </w:pPr>
      <w:r>
        <w:t>160. Claim + two later sources: The July 2019 European Heat Wave in a Warmer Climate: Storyline Scenarios with a Coupled Model Using Spectral Nudging</w:t>
      </w:r>
    </w:p>
    <w:p>
      <w:pPr>
        <w:pStyle w:val="SourceNote"/>
      </w:pPr>
      <w:r>
        <w:rPr>
          <w:b/>
        </w:rPr>
        <w:t>Group ID:</w:t>
      </w:r>
      <w:r>
        <w:t xml:space="preserve"> group-47182beb163055fc5dbf</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Biodiversity Integration in the European Banking: Theoretical Background &amp; Empirical Evidence — https://openalex.org/W7197300685</w:t>
      </w:r>
    </w:p>
    <w:p>
      <w:pPr>
        <w:pStyle w:val="SourceNote"/>
      </w:pPr>
      <w:r>
        <w:rPr>
          <w:b/>
        </w:rPr>
        <w:t>Review status:</w:t>
      </w:r>
      <w:r>
        <w:t xml:space="preserve"> unchecked — possible relationship only</w:t>
      </w:r>
    </w:p>
    <w:p>
      <w:pPr>
        <w:pStyle w:val="Heading2"/>
      </w:pPr>
      <w:r>
        <w:t>161. Claim + two later sources: Futures of science with and for society: towards transformative policy orientations</w:t>
      </w:r>
    </w:p>
    <w:p>
      <w:pPr>
        <w:pStyle w:val="SourceNote"/>
      </w:pPr>
      <w:r>
        <w:rPr>
          <w:b/>
        </w:rPr>
        <w:t>Group ID:</w:t>
      </w:r>
      <w:r>
        <w:t xml:space="preserve"> group-5340fe4fccd71aeb4c78</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Innovations in Methodology for Analyzing Automotive Engine Vibration Signals Based on Wavelet Transform Techniques to Determine Maintenance Needs — https://doi.org/10.70917/ijcisim-2026-0063</w:t>
      </w:r>
    </w:p>
    <w:p>
      <w:pPr/>
      <w:r>
        <w:rPr>
          <w:b/>
        </w:rPr>
        <w:t>Later source:</w:t>
      </w:r>
      <w:r>
        <w:t xml:space="preserve"> Beyond the "black box": Neil Postman's concept as a methodological basis for analyzing the ethical issues of artificial intelligence — https://doi.org/10.18287/2782-2966-2026-6-1-8-15</w:t>
      </w:r>
    </w:p>
    <w:p>
      <w:pPr>
        <w:pStyle w:val="SourceNote"/>
      </w:pPr>
      <w:r>
        <w:rPr>
          <w:b/>
        </w:rPr>
        <w:t>Review status:</w:t>
      </w:r>
      <w:r>
        <w:t xml:space="preserve"> unchecked — possible relationship only</w:t>
      </w:r>
    </w:p>
    <w:p>
      <w:pPr>
        <w:pStyle w:val="Heading2"/>
      </w:pPr>
      <w:r>
        <w:t>162. Claim + two later sources: Population Projections and Demographic Knowledge in France and Great Britain in the Postwar Period</w:t>
      </w:r>
    </w:p>
    <w:p>
      <w:pPr>
        <w:pStyle w:val="SourceNote"/>
      </w:pPr>
      <w:r>
        <w:rPr>
          <w:b/>
        </w:rPr>
        <w:t>Group ID:</w:t>
      </w:r>
      <w:r>
        <w:t xml:space="preserve"> group-bb6868ecc79d9bc018ee</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163. Claim + two later sources: Conducting pre-foresight research: organizational aspect</w:t>
      </w:r>
    </w:p>
    <w:p>
      <w:pPr>
        <w:pStyle w:val="SourceNote"/>
      </w:pPr>
      <w:r>
        <w:rPr>
          <w:b/>
        </w:rPr>
        <w:t>Group ID:</w:t>
      </w:r>
      <w:r>
        <w:t xml:space="preserve"> group-bffc80b4c82adaf17ef8</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CGT TECHNICAL DISCLOSURE BULLETIN V1 - Prior Art Publication for Inventions Derived from Conscious Geometry Theory — https://doi.org/10.5281/zenodo.18772630</w:t>
      </w:r>
    </w:p>
    <w:p>
      <w:pPr/>
      <w:r>
        <w:rPr>
          <w:b/>
        </w:rPr>
        <w:t>Later source:</w:t>
      </w:r>
      <w:r>
        <w:t xml:space="preserve"> FAIRsharing record for: FAIR Metric - R1.2 - Metadata - Linked Publications — https://doi.org/10.25504/fairsharing.653df6</w:t>
      </w:r>
    </w:p>
    <w:p>
      <w:pPr>
        <w:pStyle w:val="SourceNote"/>
      </w:pPr>
      <w:r>
        <w:rPr>
          <w:b/>
        </w:rPr>
        <w:t>Review status:</w:t>
      </w:r>
      <w:r>
        <w:t xml:space="preserve"> unchecked — possible relationship only</w:t>
      </w:r>
    </w:p>
    <w:p>
      <w:pPr>
        <w:pStyle w:val="Heading2"/>
      </w:pPr>
      <w:r>
        <w:t>164. Claim + two later sources: Where is the EU headed given its current climate policy? A stakeholder-driven model inter-comparison</w:t>
      </w:r>
    </w:p>
    <w:p>
      <w:pPr>
        <w:pStyle w:val="SourceNote"/>
      </w:pPr>
      <w:r>
        <w:rPr>
          <w:b/>
        </w:rPr>
        <w:t>Group ID:</w:t>
      </w:r>
      <w:r>
        <w:t xml:space="preserve"> group-2838e535c63e3414d5f6</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Tracking Loop Current Eddies in the Gulf of Mexico Using Satellite-Derived Chlorophyll-a — https://doi.org/10.3390/rs16122234</w:t>
      </w:r>
    </w:p>
    <w:p>
      <w:pPr/>
      <w:r>
        <w:rPr>
          <w:b/>
        </w:rPr>
        <w:t>Later source:</w:t>
      </w:r>
      <w:r>
        <w:t xml:space="preserve"> Portfolio Performance of European Target Prices — https://doi.org/10.3390/jrfm16080347</w:t>
      </w:r>
    </w:p>
    <w:p>
      <w:pPr>
        <w:pStyle w:val="SourceNote"/>
      </w:pPr>
      <w:r>
        <w:rPr>
          <w:b/>
        </w:rPr>
        <w:t>Review status:</w:t>
      </w:r>
      <w:r>
        <w:t xml:space="preserve"> unchecked — possible relationship only</w:t>
      </w:r>
    </w:p>
    <w:p>
      <w:pPr>
        <w:pStyle w:val="Heading2"/>
      </w:pPr>
      <w:r>
        <w:t>165. Claim + two later sources: A threat to climate-secure European futures? Exploring racial logics and climate-induced migration in US and EU climate security discourses</w:t>
      </w:r>
    </w:p>
    <w:p>
      <w:pPr>
        <w:pStyle w:val="SourceNote"/>
      </w:pPr>
      <w:r>
        <w:rPr>
          <w:b/>
        </w:rPr>
        <w:t>Group ID:</w:t>
      </w:r>
      <w:r>
        <w:t xml:space="preserve"> group-6ed3dad5df118e85d57f</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Reconceptualizing Interregionalism through Asia-Europe Meeting (ASEM): A Corpus-Assisted Critical Discourse Analysis — https://openalex.org/W4414920263</w:t>
      </w:r>
    </w:p>
    <w:p>
      <w:pPr>
        <w:pStyle w:val="SourceNote"/>
      </w:pPr>
      <w:r>
        <w:rPr>
          <w:b/>
        </w:rPr>
        <w:t>Review status:</w:t>
      </w:r>
      <w:r>
        <w:t xml:space="preserve"> unchecked — possible relationship only</w:t>
      </w:r>
    </w:p>
    <w:p>
      <w:pPr>
        <w:pStyle w:val="Heading2"/>
      </w:pPr>
      <w:r>
        <w:t>166. Claim + two later sources: Animal health aspects of adaptation to climate change: beating the heat and parasites in a warming Europe</w:t>
      </w:r>
    </w:p>
    <w:p>
      <w:pPr>
        <w:pStyle w:val="SourceNote"/>
      </w:pPr>
      <w:r>
        <w:rPr>
          <w:b/>
        </w:rPr>
        <w:t>Group ID:</w:t>
      </w:r>
      <w:r>
        <w:t xml:space="preserve"> group-e953a0591ad9c440e9c0</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Epidemiology and Economic Burden of Sleep Disorders in Europe — https://doi.org/10.1111/ene.70463</w:t>
      </w:r>
    </w:p>
    <w:p>
      <w:pPr/>
      <w:r>
        <w:rPr>
          <w:b/>
        </w:rPr>
        <w:t>Later source:</w:t>
      </w:r>
      <w:r>
        <w:t xml:space="preserve"> Direct and Indirect Regulations for Medical Devices in Europe and Germany — https://doi.org/10.1007/978-3-032-03577-6_14</w:t>
      </w:r>
    </w:p>
    <w:p>
      <w:pPr>
        <w:pStyle w:val="SourceNote"/>
      </w:pPr>
      <w:r>
        <w:rPr>
          <w:b/>
        </w:rPr>
        <w:t>Review status:</w:t>
      </w:r>
      <w:r>
        <w:t xml:space="preserve"> unchecked — possible relationship only</w:t>
      </w:r>
    </w:p>
    <w:p>
      <w:pPr>
        <w:pStyle w:val="Heading2"/>
      </w:pPr>
      <w:r>
        <w:t>167. Claim + two later sources: The pitfalls of ecological forecasting</w:t>
      </w:r>
    </w:p>
    <w:p>
      <w:pPr>
        <w:pStyle w:val="SourceNote"/>
      </w:pPr>
      <w:r>
        <w:rPr>
          <w:b/>
        </w:rPr>
        <w:t>Group ID:</w:t>
      </w:r>
      <w:r>
        <w:t xml:space="preserve"> group-af81a6e887609bc61a6e</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Biocompatible Lubricant-Coated Flexible Neural Probes with Enhanced Long-Term Recording Stability — https://doi.org/10.1021/acsabm.5c02232</w:t>
      </w:r>
    </w:p>
    <w:p>
      <w:pPr>
        <w:pStyle w:val="SourceNote"/>
      </w:pPr>
      <w:r>
        <w:rPr>
          <w:b/>
        </w:rPr>
        <w:t>Review status:</w:t>
      </w:r>
      <w:r>
        <w:t xml:space="preserve"> unchecked — possible relationship only</w:t>
      </w:r>
    </w:p>
    <w:p>
      <w:pPr>
        <w:pStyle w:val="Heading2"/>
      </w:pPr>
      <w:r>
        <w:t>168. Claim + two later sources: Climate Change Effects on Heat- and Cold-Related Mortality in the Netherlands: A Scenario-Based Integrated Environmental Health Impact Assessment</w:t>
      </w:r>
    </w:p>
    <w:p>
      <w:pPr>
        <w:pStyle w:val="SourceNote"/>
      </w:pPr>
      <w:r>
        <w:rPr>
          <w:b/>
        </w:rPr>
        <w:t>Group ID:</w:t>
      </w:r>
      <w:r>
        <w:t xml:space="preserve"> group-83b585d52255fc9b4455</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Exploring decarbonisation strategies in the Southern-European region of Catalonia through a multi-scenario assessment — https://doi.org/10.1016/j.esr.2026.102184</w:t>
      </w:r>
    </w:p>
    <w:p>
      <w:pPr/>
      <w:r>
        <w:rPr>
          <w:b/>
        </w:rPr>
        <w:t>Later source:</w:t>
      </w:r>
      <w:r>
        <w:t xml:space="preserve"> Heat-related health impacts across national mitigation and urban adaptation scenarios in European cities - Data — https://doi.org/10.5281/zenodo.20666093</w:t>
      </w:r>
    </w:p>
    <w:p>
      <w:pPr>
        <w:pStyle w:val="SourceNote"/>
      </w:pPr>
      <w:r>
        <w:rPr>
          <w:b/>
        </w:rPr>
        <w:t>Review status:</w:t>
      </w:r>
      <w:r>
        <w:t xml:space="preserve"> unchecked — possible relationship only</w:t>
      </w:r>
    </w:p>
    <w:p>
      <w:pPr>
        <w:pStyle w:val="Heading2"/>
      </w:pPr>
      <w:r>
        <w:t>169. Claim + two later sources: Scenario planning: An alternative approach to European Commission for combating antimicrobial resistance by 2050</w:t>
      </w:r>
    </w:p>
    <w:p>
      <w:pPr>
        <w:pStyle w:val="SourceNote"/>
      </w:pPr>
      <w:r>
        <w:rPr>
          <w:b/>
        </w:rPr>
        <w:t>Group ID:</w:t>
      </w:r>
      <w:r>
        <w:t xml:space="preserve"> group-891bc6c63eb44b232f4f</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Four leaders, four decades: leadership and European parliament's secretaries-general — https://doi.org/10.4324/9781003753483-10</w:t>
      </w:r>
    </w:p>
    <w:p>
      <w:pPr>
        <w:pStyle w:val="SourceNote"/>
      </w:pPr>
      <w:r>
        <w:rPr>
          <w:b/>
        </w:rPr>
        <w:t>Review status:</w:t>
      </w:r>
      <w:r>
        <w:t xml:space="preserve"> unchecked — possible relationship only</w:t>
      </w:r>
    </w:p>
    <w:p>
      <w:pPr>
        <w:pStyle w:val="Heading2"/>
      </w:pPr>
      <w:r>
        <w:t>170.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group-54b708e097a1f57caf72</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Sea Level Rise in Europe: Adaptation measures and decision-making principles — https://doi.org/10.5194/sp-3-slre1-6-2024</w:t>
      </w:r>
    </w:p>
    <w:p>
      <w:pPr>
        <w:pStyle w:val="SourceNote"/>
      </w:pPr>
      <w:r>
        <w:rPr>
          <w:b/>
        </w:rPr>
        <w:t>Review status:</w:t>
      </w:r>
      <w:r>
        <w:t xml:space="preserve"> unchecked — possible relationship only</w:t>
      </w:r>
    </w:p>
    <w:p>
      <w:pPr>
        <w:pStyle w:val="Heading2"/>
      </w:pPr>
      <w:r>
        <w:t>171. Claim + two later sources: Are the EU climate ambitions reflected on member-state level for greenhouse gas reductions and renewable energy consumption shares?</w:t>
      </w:r>
    </w:p>
    <w:p>
      <w:pPr>
        <w:pStyle w:val="SourceNote"/>
      </w:pPr>
      <w:r>
        <w:rPr>
          <w:b/>
        </w:rPr>
        <w:t>Group ID:</w:t>
      </w:r>
      <w:r>
        <w:t xml:space="preserve"> group-ec77748f54e6c2e474b3</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Accessible Tourism After the European Accessibility Act: Signalling in Hotels and Private Accommodation Across Four European Union Countries — https://doi.org/10.3390/tourhosp7100343</w:t>
      </w:r>
    </w:p>
    <w:p>
      <w:pPr>
        <w:pStyle w:val="SourceNote"/>
      </w:pPr>
      <w:r>
        <w:rPr>
          <w:b/>
        </w:rPr>
        <w:t>Review status:</w:t>
      </w:r>
      <w:r>
        <w:t xml:space="preserve"> unchecked — possible relationship only</w:t>
      </w:r>
    </w:p>
    <w:p>
      <w:pPr>
        <w:pStyle w:val="Heading2"/>
      </w:pPr>
      <w:r>
        <w:t>172. Claim + two later sources: How climate, migration ability and habitat fragmentation affect the projected future distribution of European beech</w:t>
      </w:r>
    </w:p>
    <w:p>
      <w:pPr>
        <w:pStyle w:val="SourceNote"/>
      </w:pPr>
      <w:r>
        <w:rPr>
          <w:b/>
        </w:rPr>
        <w:t>Group ID:</w:t>
      </w:r>
      <w:r>
        <w:t xml:space="preserve"> group-6909c21c5f5e4d85722b</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Marine fish ranges are expanding and shifting deeper across the European continental shelf — https://doi.org/10.1038/s41467-026-74371-8</w:t>
      </w:r>
    </w:p>
    <w:p>
      <w:pPr/>
      <w:r>
        <w:rPr>
          <w:b/>
        </w:rPr>
        <w:t>Later source:</w:t>
      </w:r>
      <w:r>
        <w:t xml:space="preserve"> Taxus tree-ring chronologies from southern England reveal western European hydroclimate changes over the past three centuries — https://doi.org/10.1007/s00382-025-07601-2</w:t>
      </w:r>
    </w:p>
    <w:p>
      <w:pPr>
        <w:pStyle w:val="SourceNote"/>
      </w:pPr>
      <w:r>
        <w:rPr>
          <w:b/>
        </w:rPr>
        <w:t>Review status:</w:t>
      </w:r>
      <w:r>
        <w:t xml:space="preserve"> unchecked — possible relationship only</w:t>
      </w:r>
    </w:p>
    <w:p>
      <w:pPr>
        <w:pStyle w:val="Heading2"/>
      </w:pPr>
      <w:r>
        <w:t>173. Claim + two later sources: Least cost energy system pathways towards 100% renewable energy in Ireland by 2050</w:t>
      </w:r>
    </w:p>
    <w:p>
      <w:pPr>
        <w:pStyle w:val="SourceNote"/>
      </w:pPr>
      <w:r>
        <w:rPr>
          <w:b/>
        </w:rPr>
        <w:t>Group ID:</w:t>
      </w:r>
      <w:r>
        <w:t xml:space="preserve"> group-59c744adbd474ba854ae</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Oncoplastic breast surgery in Europe — https://doi.org/10.21037/gs-23-380</w:t>
      </w:r>
    </w:p>
    <w:p>
      <w:pPr>
        <w:pStyle w:val="SourceNote"/>
      </w:pPr>
      <w:r>
        <w:rPr>
          <w:b/>
        </w:rPr>
        <w:t>Review status:</w:t>
      </w:r>
      <w:r>
        <w:t xml:space="preserve"> unchecked — possible relationship only</w:t>
      </w:r>
    </w:p>
    <w:p>
      <w:pPr>
        <w:pStyle w:val="Heading2"/>
      </w:pPr>
      <w:r>
        <w:t>174. Claim + two later sources: The Deliberative Practice of Vision Mobility 2050: Vision-making for Sustainable Mobility in the Region of Munich?</w:t>
      </w:r>
    </w:p>
    <w:p>
      <w:pPr>
        <w:pStyle w:val="SourceNote"/>
      </w:pPr>
      <w:r>
        <w:rPr>
          <w:b/>
        </w:rPr>
        <w:t>Group ID:</w:t>
      </w:r>
      <w:r>
        <w:t xml:space="preserve"> group-f89859003642ab279bf2</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Monitoring the Screens: Current Challenges of Minority Language Media in the Context of the Council of Europe — https://doi.org/10.1163/15718115-bja10260</w:t>
      </w:r>
    </w:p>
    <w:p>
      <w:pPr/>
      <w:r>
        <w:rPr>
          <w:b/>
        </w:rPr>
        <w:t>Later source:</w:t>
      </w:r>
      <w:r>
        <w:t xml:space="preserve"> Learning in European Administrative Networks: a process to all or only to a few? — https://doi.org/10.1017/s0143814x24000011</w:t>
      </w:r>
    </w:p>
    <w:p>
      <w:pPr>
        <w:pStyle w:val="SourceNote"/>
      </w:pPr>
      <w:r>
        <w:rPr>
          <w:b/>
        </w:rPr>
        <w:t>Review status:</w:t>
      </w:r>
      <w:r>
        <w:t xml:space="preserve"> unchecked — possible relationship only</w:t>
      </w:r>
    </w:p>
    <w:p>
      <w:pPr>
        <w:pStyle w:val="Heading2"/>
      </w:pPr>
      <w:r>
        <w:t>175. Claim + two later sources: The role of district heating systems to provide balancing services in the European Union</w:t>
      </w:r>
    </w:p>
    <w:p>
      <w:pPr>
        <w:pStyle w:val="SourceNote"/>
      </w:pPr>
      <w:r>
        <w:rPr>
          <w:b/>
        </w:rPr>
        <w:t>Group ID:</w:t>
      </w:r>
      <w:r>
        <w:t xml:space="preserve"> group-31fcda2d0d72e7c726d6</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Smart Energy and Energy Communities: A Review of Innovation Proposals for Global and Local Sustainability — https://doi.org/10.15446/sicel.v12.121196</w:t>
      </w:r>
    </w:p>
    <w:p>
      <w:pPr/>
      <w:r>
        <w:rPr>
          <w:b/>
        </w:rPr>
        <w:t>Later source:</w:t>
      </w:r>
      <w:r>
        <w:t xml:space="preserve"> SARIMA models for power evolution in photovoltaic systems — https://doi.org/10.56294/saludcyt20251971</w:t>
      </w:r>
    </w:p>
    <w:p>
      <w:pPr>
        <w:pStyle w:val="SourceNote"/>
      </w:pPr>
      <w:r>
        <w:rPr>
          <w:b/>
        </w:rPr>
        <w:t>Review status:</w:t>
      </w:r>
      <w:r>
        <w:t xml:space="preserve"> unchecked — possible relationship only</w:t>
      </w:r>
    </w:p>
    <w:p>
      <w:pPr>
        <w:pStyle w:val="Heading2"/>
      </w:pPr>
      <w:r>
        <w:t>176. Claim + two later sources: Scenario‐based fertility projections incorporating impacts of COVID‐19</w:t>
      </w:r>
    </w:p>
    <w:p>
      <w:pPr>
        <w:pStyle w:val="SourceNote"/>
      </w:pPr>
      <w:r>
        <w:rPr>
          <w:b/>
        </w:rPr>
        <w:t>Group ID:</w:t>
      </w:r>
      <w:r>
        <w:t xml:space="preserve"> group-19b9ed186cd6d03d66ec</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The Inevitability of Projection: The Three-Term Equation as the Mother Equation of the Quantum Blueprint Formalism — https://doi.org/10.5281/zenodo.18527042</w:t>
      </w:r>
    </w:p>
    <w:p>
      <w:pPr/>
      <w:r>
        <w:rPr>
          <w:b/>
        </w:rPr>
        <w:t>Later source:</w:t>
      </w:r>
      <w:r>
        <w:t xml:space="preserve"> Geometry, Sound, and Time as Three Projections of One Contact Band — https://doi.org/10.5281/zenodo.19593317</w:t>
      </w:r>
    </w:p>
    <w:p>
      <w:pPr>
        <w:pStyle w:val="SourceNote"/>
      </w:pPr>
      <w:r>
        <w:rPr>
          <w:b/>
        </w:rPr>
        <w:t>Review status:</w:t>
      </w:r>
      <w:r>
        <w:t xml:space="preserve"> unchecked — possible relationship only</w:t>
      </w:r>
    </w:p>
    <w:p>
      <w:pPr>
        <w:pStyle w:val="Heading2"/>
      </w:pPr>
      <w:r>
        <w:t>177. Claim + two later sources: Scenarios for selected maritime economic functions</w:t>
      </w:r>
    </w:p>
    <w:p>
      <w:pPr>
        <w:pStyle w:val="SourceNote"/>
      </w:pPr>
      <w:r>
        <w:rPr>
          <w:b/>
        </w:rPr>
        <w:t>Group ID:</w:t>
      </w:r>
      <w:r>
        <w:t xml:space="preserve"> group-26d4eaeaeec17f2475e7</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The Blue Beret — https://doi.org/10.5204/mcj.2969</w:t>
      </w:r>
    </w:p>
    <w:p>
      <w:pPr>
        <w:pStyle w:val="SourceNote"/>
      </w:pPr>
      <w:r>
        <w:rPr>
          <w:b/>
        </w:rPr>
        <w:t>Review status:</w:t>
      </w:r>
      <w:r>
        <w:t xml:space="preserve"> unchecked — possible relationship only</w:t>
      </w:r>
    </w:p>
    <w:p>
      <w:pPr>
        <w:pStyle w:val="Heading2"/>
      </w:pPr>
      <w:r>
        <w:t>178. Claim + two later sources: Towards Europe 2035 - In Search of the Archimedean Screw: FOCUS in Perspective</w:t>
      </w:r>
    </w:p>
    <w:p>
      <w:pPr>
        <w:pStyle w:val="SourceNote"/>
      </w:pPr>
      <w:r>
        <w:rPr>
          <w:b/>
        </w:rPr>
        <w:t>Group ID:</w:t>
      </w:r>
      <w:r>
        <w:t xml:space="preserve"> group-77a7721aa449a175fd30</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EUROPEAN STRATEGIES FOR CROSS-SECTORAL COOPERATION THROUGH A PROJECT-BASED APPROACH IN PUBLIC ADMINISTRATION — https://doi.org/10.30838/ep.197.187-192</w:t>
      </w:r>
    </w:p>
    <w:p>
      <w:pPr/>
      <w:r>
        <w:rPr>
          <w:b/>
        </w:rPr>
        <w:t>Later source:</w:t>
      </w:r>
      <w:r>
        <w:t xml:space="preserve"> Safe and Sound: Governance for Planning Public Space in a Security-by-Design Paradigm — https://doi.org/10.3390/urbansci9070241</w:t>
      </w:r>
    </w:p>
    <w:p>
      <w:pPr>
        <w:pStyle w:val="SourceNote"/>
      </w:pPr>
      <w:r>
        <w:rPr>
          <w:b/>
        </w:rPr>
        <w:t>Review status:</w:t>
      </w:r>
      <w:r>
        <w:t xml:space="preserve"> unchecked — possible relationship only</w:t>
      </w:r>
    </w:p>
    <w:p>
      <w:pPr>
        <w:pStyle w:val="Heading2"/>
      </w:pPr>
      <w:r>
        <w:t>179. Claim + two later sources: Towards an assessment of adaptive capacity of the European agricultural sector to droughts</w:t>
      </w:r>
    </w:p>
    <w:p>
      <w:pPr>
        <w:pStyle w:val="SourceNote"/>
      </w:pPr>
      <w:r>
        <w:rPr>
          <w:b/>
        </w:rPr>
        <w:t>Group ID:</w:t>
      </w:r>
      <w:r>
        <w:t xml:space="preserve"> group-26503cf10387e0eaa652</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EMULATION OF A NUMERICAL URBAN MODEL TO CREATE HIGH-RESOLUTION NEAR SURFACE AIR TEMPERATURE OVER EUROPEAN CITIES — https://doi.org/10.22541/essoar.173671231.11835703/v1</w:t>
      </w:r>
    </w:p>
    <w:p>
      <w:pPr/>
      <w:r>
        <w:rPr>
          <w:b/>
        </w:rPr>
        <w:t>Later source:</w:t>
      </w:r>
      <w:r>
        <w:t xml:space="preserve"> High resolution maps of European agricultural indicators — https://doi.org/10.5194/egusphere-egu25-16510</w:t>
      </w:r>
    </w:p>
    <w:p>
      <w:pPr>
        <w:pStyle w:val="SourceNote"/>
      </w:pPr>
      <w:r>
        <w:rPr>
          <w:b/>
        </w:rPr>
        <w:t>Review status:</w:t>
      </w:r>
      <w:r>
        <w:t xml:space="preserve"> unchecked — possible relationship only</w:t>
      </w:r>
    </w:p>
    <w:p>
      <w:pPr>
        <w:pStyle w:val="Heading2"/>
      </w:pPr>
      <w:r>
        <w:t>180.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group-911b95d9d7cb41b170f6</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Predictive divergence in machine learning models for clinical mortality risk: A multicohort study of covid-19 patients — https://doi.org/10.1371/journal.pone.0344354</w:t>
      </w:r>
    </w:p>
    <w:p>
      <w:pPr/>
      <w:r>
        <w:rPr>
          <w:b/>
        </w:rPr>
        <w:t>Later source:</w:t>
      </w:r>
      <w:r>
        <w:t xml:space="preserve"> Precise Editing of Indolines at Different Positions via SET and CMD Pathways — https://doi.org/10.1021/jacsau.6c00050</w:t>
      </w:r>
    </w:p>
    <w:p>
      <w:pPr>
        <w:pStyle w:val="SourceNote"/>
      </w:pPr>
      <w:r>
        <w:rPr>
          <w:b/>
        </w:rPr>
        <w:t>Review status:</w:t>
      </w:r>
      <w:r>
        <w:t xml:space="preserve"> unchecked — possible relationship only</w:t>
      </w:r>
    </w:p>
    <w:p>
      <w:pPr>
        <w:pStyle w:val="Heading2"/>
      </w:pPr>
      <w:r>
        <w:t>181. Claim + two later sources: One step ahead? The use of foresight by Czech and Slovak non-governmental organizations</w:t>
      </w:r>
    </w:p>
    <w:p>
      <w:pPr>
        <w:pStyle w:val="SourceNote"/>
      </w:pPr>
      <w:r>
        <w:rPr>
          <w:b/>
        </w:rPr>
        <w:t>Group ID:</w:t>
      </w:r>
      <w:r>
        <w:t xml:space="preserve"> group-3e79d95166ca90b1f236</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The End of Bourgeois Humanism and the Mindfulness of Nature in Adorno’s Writings of the 1950s and 1960s — https://doi.org/10.65272/978-88-6977-570-3_5</w:t>
      </w:r>
    </w:p>
    <w:p>
      <w:pPr/>
      <w:r>
        <w:rPr>
          <w:b/>
        </w:rPr>
        <w:t>Later source:</w:t>
      </w:r>
      <w:r>
        <w:t xml:space="preserve"> Principles for evidence-informed policymaking in fast-changing technology contexts : September 2026 — https://openalex.org/W7215313559</w:t>
      </w:r>
    </w:p>
    <w:p>
      <w:pPr>
        <w:pStyle w:val="SourceNote"/>
      </w:pPr>
      <w:r>
        <w:rPr>
          <w:b/>
        </w:rPr>
        <w:t>Review status:</w:t>
      </w:r>
      <w:r>
        <w:t xml:space="preserve"> unchecked — possible relationship only</w:t>
      </w:r>
    </w:p>
    <w:p>
      <w:pPr>
        <w:pStyle w:val="Heading2"/>
      </w:pPr>
      <w:r>
        <w:t>182.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183.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184. Claim + two later sources: A comparison of three transformation pathways towards a sustainable European society - An integrated analysis from an energy system perspective</w:t>
      </w:r>
    </w:p>
    <w:p>
      <w:pPr>
        <w:pStyle w:val="SourceNote"/>
      </w:pPr>
      <w:r>
        <w:rPr>
          <w:b/>
        </w:rPr>
        <w:t>Group ID:</w:t>
      </w:r>
      <w:r>
        <w:t xml:space="preserve"> group-fc2cef96811a3c2da4fb</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A Comprehensive Review of Solar Photovoltaic Systems: Scope, Technologies, Applications, Progress, Challenges, and Recommendations — https://doi.org/10.1109/access.2025.3558539</w:t>
      </w:r>
    </w:p>
    <w:p>
      <w:pPr>
        <w:pStyle w:val="SourceNote"/>
      </w:pPr>
      <w:r>
        <w:rPr>
          <w:b/>
        </w:rPr>
        <w:t>Review status:</w:t>
      </w:r>
      <w:r>
        <w:t xml:space="preserve"> unchecked — possible relationship only</w:t>
      </w:r>
    </w:p>
    <w:p>
      <w:pPr>
        <w:pStyle w:val="Heading2"/>
      </w:pPr>
      <w:r>
        <w:t>185. Claim + two later sources: How much does climate change threaten European forest tree species distributions?</w:t>
      </w:r>
    </w:p>
    <w:p>
      <w:pPr>
        <w:pStyle w:val="SourceNote"/>
      </w:pPr>
      <w:r>
        <w:rPr>
          <w:b/>
        </w:rPr>
        <w:t>Group ID:</w:t>
      </w:r>
      <w:r>
        <w:t xml:space="preserve"> group-feb7e4bb6a708d81f38d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Shamonda virus in Europe: an emerging threat, the potential role of Culicoides and the need for preparedness. — https://doi.org/10.12834/vetit.4095.42263.1</w:t>
      </w:r>
    </w:p>
    <w:p>
      <w:pPr/>
      <w:r>
        <w:rPr>
          <w:b/>
        </w:rPr>
        <w:t>Later source:</w:t>
      </w:r>
      <w:r>
        <w:t xml:space="preserve"> A scoping review of human health co-benefits of forest-based climate change mitigation in Europe — https://doi.org/10.1016/j.envint.2024.108593</w:t>
      </w:r>
    </w:p>
    <w:p>
      <w:pPr>
        <w:pStyle w:val="SourceNote"/>
      </w:pPr>
      <w:r>
        <w:rPr>
          <w:b/>
        </w:rPr>
        <w:t>Review status:</w:t>
      </w:r>
      <w:r>
        <w:t xml:space="preserve"> unchecked — possible relationship only</w:t>
      </w:r>
    </w:p>
    <w:p>
      <w:pPr>
        <w:pStyle w:val="Heading2"/>
      </w:pPr>
      <w:r>
        <w:t>186. Claim + two later sources: European Road Safety Policy 2016-2020: A Forecast on Topics and Activities</w:t>
      </w:r>
    </w:p>
    <w:p>
      <w:pPr>
        <w:pStyle w:val="SourceNote"/>
      </w:pPr>
      <w:r>
        <w:rPr>
          <w:b/>
        </w:rPr>
        <w:t>Group ID:</w:t>
      </w:r>
      <w:r>
        <w:t xml:space="preserve"> group-344d2c1aae1d9c232bf8</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LEGISLATIVE DEVELOPMENTS AND THE EUROPEAN GREEN DEAL: LESSONS LEARNED — https://doi.org/10.36007/5383.2026.289</w:t>
      </w:r>
    </w:p>
    <w:p>
      <w:pPr>
        <w:pStyle w:val="SourceNote"/>
      </w:pPr>
      <w:r>
        <w:rPr>
          <w:b/>
        </w:rPr>
        <w:t>Review status:</w:t>
      </w:r>
      <w:r>
        <w:t xml:space="preserve"> unchecked — possible relationship only</w:t>
      </w:r>
    </w:p>
    <w:p>
      <w:pPr>
        <w:pStyle w:val="Heading2"/>
      </w:pPr>
      <w:r>
        <w:t>187. Claim + two later sources: ECONOMIC GROWTH PROJECTION FOR EUROPEAN UNION BY 2030</w:t>
      </w:r>
    </w:p>
    <w:p>
      <w:pPr>
        <w:pStyle w:val="SourceNote"/>
      </w:pPr>
      <w:r>
        <w:rPr>
          <w:b/>
        </w:rPr>
        <w:t>Group ID:</w:t>
      </w:r>
      <w:r>
        <w:t xml:space="preserve"> group-1ab59b5fc2ec53420851</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The Development of Energy Policy in the European Union — https://doi.org/10.4324/9781003298403</w:t>
      </w:r>
    </w:p>
    <w:p>
      <w:pPr/>
      <w:r>
        <w:rPr>
          <w:b/>
        </w:rPr>
        <w:t>Later source:</w:t>
      </w:r>
      <w:r>
        <w:t xml:space="preserve"> Exploring how Europeans understand solidarity in the EU — https://doi.org/10.4324/9781032690902-3</w:t>
      </w:r>
    </w:p>
    <w:p>
      <w:pPr>
        <w:pStyle w:val="SourceNote"/>
      </w:pPr>
      <w:r>
        <w:rPr>
          <w:b/>
        </w:rPr>
        <w:t>Review status:</w:t>
      </w:r>
      <w:r>
        <w:t xml:space="preserve"> unchecked — possible relationship only</w:t>
      </w:r>
    </w:p>
    <w:p>
      <w:pPr>
        <w:pStyle w:val="Heading2"/>
      </w:pPr>
      <w:r>
        <w:t>188. Claim + two later sources: Which way to net zero? a comparative analysis of seven UK 2050 decarbonisation pathways</w:t>
      </w:r>
    </w:p>
    <w:p>
      <w:pPr>
        <w:pStyle w:val="SourceNote"/>
      </w:pPr>
      <w:r>
        <w:rPr>
          <w:b/>
        </w:rPr>
        <w:t>Group ID:</w:t>
      </w:r>
      <w:r>
        <w:t xml:space="preserve"> group-89103bd310664a4c5bf0</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Persistent Identifiers in Germany: Key Findings of a Nationwide Survey — https://doi.org/10.5334/dsj-2026-028</w:t>
      </w:r>
    </w:p>
    <w:p>
      <w:pPr/>
      <w:r>
        <w:rPr>
          <w:b/>
        </w:rPr>
        <w:t>Later source:</w:t>
      </w:r>
      <w:r>
        <w:t xml:space="preserve"> Should Firms Avoid Relying on Key Employees? Evidence From Inventors — https://doi.org/10.1111/eufm.70014</w:t>
      </w:r>
    </w:p>
    <w:p>
      <w:pPr>
        <w:pStyle w:val="SourceNote"/>
      </w:pPr>
      <w:r>
        <w:rPr>
          <w:b/>
        </w:rPr>
        <w:t>Review status:</w:t>
      </w:r>
      <w:r>
        <w:t xml:space="preserve"> unchecked — possible relationship only</w:t>
      </w:r>
    </w:p>
    <w:p>
      <w:pPr>
        <w:pStyle w:val="Heading2"/>
      </w:pPr>
      <w:r>
        <w:t>189. Claim + two later sources: Interpreting long-term energy scenarios and the role of bioenergy in Germany</w:t>
      </w:r>
    </w:p>
    <w:p>
      <w:pPr>
        <w:pStyle w:val="SourceNote"/>
      </w:pPr>
      <w:r>
        <w:rPr>
          <w:b/>
        </w:rPr>
        <w:t>Group ID:</w:t>
      </w:r>
      <w:r>
        <w:t xml:space="preserve"> group-a702f960c49d22128771</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The Securitization of Islam in the Context of European Identityand the Attitudes of Europeans Towards Muslim Immigrants and Refugees — https://doi.org/10.34739/dsd.2024.02.02</w:t>
      </w:r>
    </w:p>
    <w:p>
      <w:pPr/>
      <w:r>
        <w:rPr>
          <w:b/>
        </w:rPr>
        <w:t>Later source:</w:t>
      </w:r>
      <w:r>
        <w:t xml:space="preserve"> LITERATURE REVIEW AND ANALYSIS OF RESEARCH CONDUCTED IN EUROPE ON HEALTH LITERACY — https://doi.org/10.34739/zn.2023.61.13</w:t>
      </w:r>
    </w:p>
    <w:p>
      <w:pPr>
        <w:pStyle w:val="SourceNote"/>
      </w:pPr>
      <w:r>
        <w:rPr>
          <w:b/>
        </w:rPr>
        <w:t>Review status:</w:t>
      </w:r>
      <w:r>
        <w:t xml:space="preserve"> unchecked — possible relationship only</w:t>
      </w:r>
    </w:p>
    <w:p>
      <w:pPr>
        <w:pStyle w:val="Heading2"/>
      </w:pPr>
      <w:r>
        <w:t>190. Claim + two later sources: Czech Republic as A Deferring Factor for European Union to Achieve Climate Change Measures</w:t>
      </w:r>
    </w:p>
    <w:p>
      <w:pPr>
        <w:pStyle w:val="SourceNote"/>
      </w:pPr>
      <w:r>
        <w:rPr>
          <w:b/>
        </w:rPr>
        <w:t>Group ID:</w:t>
      </w:r>
      <w:r>
        <w:t xml:space="preserve"> group-f858b0b5aba565cf8d21</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Evidence Based Education in Europe: A Comparative Study — https://doi.org/10.5281/zenodo.23238746</w:t>
      </w:r>
    </w:p>
    <w:p>
      <w:pPr>
        <w:pStyle w:val="SourceNote"/>
      </w:pPr>
      <w:r>
        <w:rPr>
          <w:b/>
        </w:rPr>
        <w:t>Review status:</w:t>
      </w:r>
      <w:r>
        <w:t xml:space="preserve"> unchecked — possible relationship only</w:t>
      </w:r>
    </w:p>
    <w:p>
      <w:pPr>
        <w:pStyle w:val="Heading2"/>
      </w:pPr>
      <w:r>
        <w:t>191. Claim + two later sources: Potential stocks and increments of woody biomass in the European Union under different management and climate scenarios</w:t>
      </w:r>
    </w:p>
    <w:p>
      <w:pPr>
        <w:pStyle w:val="SourceNote"/>
      </w:pPr>
      <w:r>
        <w:rPr>
          <w:b/>
        </w:rPr>
        <w:t>Group ID:</w:t>
      </w:r>
      <w:r>
        <w:t xml:space="preserve"> group-cc6d86980148089b5962</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Effect of forest stand thinning on tree biomass carbon stock — https://doi.org/10.22616/erdev.2024.23.tf009</w:t>
      </w:r>
    </w:p>
    <w:p>
      <w:pPr/>
      <w:r>
        <w:rPr>
          <w:b/>
        </w:rPr>
        <w:t>Later source:</w:t>
      </w:r>
      <w:r>
        <w:t xml:space="preserve"> Changes in Organic Carbon Stock in Soil and Whole Tree Biomass in Afforested Areas in Latvia — https://doi.org/10.3390/plants12122264</w:t>
      </w:r>
    </w:p>
    <w:p>
      <w:pPr>
        <w:pStyle w:val="SourceNote"/>
      </w:pPr>
      <w:r>
        <w:rPr>
          <w:b/>
        </w:rPr>
        <w:t>Review status:</w:t>
      </w:r>
      <w:r>
        <w:t xml:space="preserve"> unchecked — possible relationship only</w:t>
      </w:r>
    </w:p>
    <w:p>
      <w:pPr>
        <w:pStyle w:val="Heading2"/>
      </w:pPr>
      <w:r>
        <w:t>192. Claim + two later sources: Foresight on the future of public research metrology in Europe</w:t>
      </w:r>
    </w:p>
    <w:p>
      <w:pPr>
        <w:pStyle w:val="SourceNote"/>
      </w:pPr>
      <w:r>
        <w:rPr>
          <w:b/>
        </w:rPr>
        <w:t>Group ID:</w:t>
      </w:r>
      <w:r>
        <w:t xml:space="preserve"> group-e30dac9086e0620366b5</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Characteristics of special purpose acquisition companies as a new challenge in European markets — https://doi.org/10.5937/bizinfo2401089d</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193. Claim + two later sources: Crisis futures: The affects and temporalities of economic collapse in Iceland</w:t>
      </w:r>
    </w:p>
    <w:p>
      <w:pPr>
        <w:pStyle w:val="SourceNote"/>
      </w:pPr>
      <w:r>
        <w:rPr>
          <w:b/>
        </w:rPr>
        <w:t>Group ID:</w:t>
      </w:r>
      <w:r>
        <w:t xml:space="preserve"> group-9da3e04e661f3dd734f1</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"Happy those for whom the fold of ...": Intention and interpretation in the unfinished Romantic poetic text — https://openalex.org/W7135642000</w:t>
      </w:r>
    </w:p>
    <w:p>
      <w:pPr/>
      <w:r>
        <w:rPr>
          <w:b/>
        </w:rPr>
        <w:t>Later source:</w:t>
      </w:r>
      <w:r>
        <w:t xml:space="preserve"> The Role of Humor in Work Group Dynamics in Times of Crisis — https://doi.org/10.1177/10464964231173335</w:t>
      </w:r>
    </w:p>
    <w:p>
      <w:pPr>
        <w:pStyle w:val="SourceNote"/>
      </w:pPr>
      <w:r>
        <w:rPr>
          <w:b/>
        </w:rPr>
        <w:t>Review status:</w:t>
      </w:r>
      <w:r>
        <w:t xml:space="preserve"> unchecked — possible relationship only</w:t>
      </w:r>
    </w:p>
    <w:p>
      <w:pPr>
        <w:pStyle w:val="Heading2"/>
      </w:pPr>
      <w:r>
        <w:t>194. Claim + two later sources: The perspectives of development of high-speed rail network in the European Union till</w:t>
        <w:br/>
        <w:t>the year 2050</w:t>
      </w:r>
    </w:p>
    <w:p>
      <w:pPr>
        <w:pStyle w:val="SourceNote"/>
      </w:pPr>
      <w:r>
        <w:rPr>
          <w:b/>
        </w:rPr>
        <w:t>Group ID:</w:t>
      </w:r>
      <w:r>
        <w:t xml:space="preserve"> group-d520c1b887a937c5400e</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Clinical heterogeneity and outcome of acquired PRCA: a multicenter European study — https://doi.org/10.1182/bloodadvances.2025019525</w:t>
      </w:r>
    </w:p>
    <w:p>
      <w:pPr/>
      <w:r>
        <w:rPr>
          <w:b/>
        </w:rPr>
        <w:t>Later source:</w:t>
      </w:r>
      <w:r>
        <w:t xml:space="preserve"> Selecting and analysing climate change adaptation measures at six research sites across Europe — https://doi.org/10.5194/nhess-21-2145-2021</w:t>
      </w:r>
    </w:p>
    <w:p>
      <w:pPr>
        <w:pStyle w:val="SourceNote"/>
      </w:pPr>
      <w:r>
        <w:rPr>
          <w:b/>
        </w:rPr>
        <w:t>Review status:</w:t>
      </w:r>
      <w:r>
        <w:t xml:space="preserve"> unchecked — possible relationship only</w:t>
      </w:r>
    </w:p>
    <w:p>
      <w:pPr>
        <w:pStyle w:val="Heading2"/>
      </w:pPr>
      <w:r>
        <w:t>195. Claim + two later sources: Long-term vision of rural areas in Hungary, focusing on foresights</w:t>
      </w:r>
    </w:p>
    <w:p>
      <w:pPr>
        <w:pStyle w:val="SourceNote"/>
      </w:pPr>
      <w:r>
        <w:rPr>
          <w:b/>
        </w:rPr>
        <w:t>Group ID:</w:t>
      </w:r>
      <w:r>
        <w:t xml:space="preserve"> group-90902704aa1bd201f4c5</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Central And Eastern European Companies in Africa. The Case of Hungarian Businesses — https://doi.org/10.18267/pr.2026.vol.2587.3</w:t>
      </w:r>
    </w:p>
    <w:p>
      <w:pPr/>
      <w:r>
        <w:rPr>
          <w:b/>
        </w:rPr>
        <w:t>Later source:</w:t>
      </w:r>
      <w:r>
        <w:t xml:space="preserve"> The European dimension in education in Hungarian primary school geography textbooks — https://doi.org/10.1177/14788047251318025</w:t>
      </w:r>
    </w:p>
    <w:p>
      <w:pPr>
        <w:pStyle w:val="SourceNote"/>
      </w:pPr>
      <w:r>
        <w:rPr>
          <w:b/>
        </w:rPr>
        <w:t>Review status:</w:t>
      </w:r>
      <w:r>
        <w:t xml:space="preserve"> unchecked — possible relationship only</w:t>
      </w:r>
    </w:p>
    <w:p>
      <w:pPr>
        <w:pStyle w:val="Heading2"/>
      </w:pPr>
      <w:r>
        <w:t>196. Claim + two later sources: European human‐dominated landscapes provide ample space for the recolonization of large carnivore populations under future land change scenarios</w:t>
      </w:r>
    </w:p>
    <w:p>
      <w:pPr>
        <w:pStyle w:val="SourceNote"/>
      </w:pPr>
      <w:r>
        <w:rPr>
          <w:b/>
        </w:rPr>
        <w:t>Group ID:</w:t>
      </w:r>
      <w:r>
        <w:t xml:space="preserve"> group-3086d43b3ef92fbe4f7f</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Tipping points and farmer decision-making in European permanent grassland (PG) agricultural systems — https://doi.org/10.1016/j.jrurstud.2024.103364</w:t>
      </w:r>
    </w:p>
    <w:p>
      <w:pPr/>
      <w:r>
        <w:rPr>
          <w:b/>
        </w:rPr>
        <w:t>Later source:</w:t>
      </w:r>
      <w:r>
        <w:t xml:space="preserve"> Land surface phenology for the characterization of Mediterranean permanent grasslands — https://doi.org/10.1007/s11119-024-10215-z</w:t>
      </w:r>
    </w:p>
    <w:p>
      <w:pPr>
        <w:pStyle w:val="SourceNote"/>
      </w:pPr>
      <w:r>
        <w:rPr>
          <w:b/>
        </w:rPr>
        <w:t>Review status:</w:t>
      </w:r>
      <w:r>
        <w:t xml:space="preserve"> unchecked — possible relationship only</w:t>
      </w:r>
    </w:p>
    <w:p>
      <w:pPr>
        <w:pStyle w:val="Heading2"/>
      </w:pPr>
      <w:r>
        <w:t>197. Claim + two later sources: Quantifying the sensitivity of european power systems to energy scenarios and climate change projections</w:t>
      </w:r>
    </w:p>
    <w:p>
      <w:pPr>
        <w:pStyle w:val="SourceNote"/>
      </w:pPr>
      <w:r>
        <w:rPr>
          <w:b/>
        </w:rPr>
        <w:t>Group ID:</w:t>
      </w:r>
      <w:r>
        <w:t xml:space="preserve"> group-dd3a07990fc19c68c16c</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Stability Rules: Succession Institutions, Conflict, and Divergent Paths of State Development — https://openalex.org/W7164271797</w:t>
      </w:r>
    </w:p>
    <w:p>
      <w:pPr/>
      <w:r>
        <w:rPr>
          <w:b/>
        </w:rPr>
        <w:t>Later source:</w:t>
      </w:r>
      <w:r>
        <w:t xml:space="preserve"> Spatial shifts of seasonal vegetation cycles in Europe over time — https://doi.org/10.5194/egusphere-egu25-11953</w:t>
      </w:r>
    </w:p>
    <w:p>
      <w:pPr>
        <w:pStyle w:val="SourceNote"/>
      </w:pPr>
      <w:r>
        <w:rPr>
          <w:b/>
        </w:rPr>
        <w:t>Review status:</w:t>
      </w:r>
      <w:r>
        <w:t xml:space="preserve"> unchecked — possible relationship only</w:t>
      </w:r>
    </w:p>
    <w:p>
      <w:pPr>
        <w:pStyle w:val="Heading2"/>
      </w:pPr>
      <w:r>
        <w:t>198. Claim + two later sources: After-crisis Scenarios for the European Regions</w:t>
      </w:r>
    </w:p>
    <w:p>
      <w:pPr>
        <w:pStyle w:val="SourceNote"/>
      </w:pPr>
      <w:r>
        <w:rPr>
          <w:b/>
        </w:rPr>
        <w:t>Group ID:</w:t>
      </w:r>
      <w:r>
        <w:t xml:space="preserve"> group-61b0e6bf761f9752e8cb</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Built environment and childhood obesity: A systematic review of the European literature — https://doi.org/10.29333/jconseph/17944</w:t>
      </w:r>
    </w:p>
    <w:p>
      <w:pPr/>
      <w:r>
        <w:rPr>
          <w:b/>
        </w:rPr>
        <w:t>Later source:</w:t>
      </w:r>
      <w:r>
        <w:t xml:space="preserve"> The New European Bauhaus Academy: a novel skills, knowledge and innovation platform to boost sustainable construction within the built environment — https://doi.org/10.5281/zenodo.20586709</w:t>
      </w:r>
    </w:p>
    <w:p>
      <w:pPr>
        <w:pStyle w:val="SourceNote"/>
      </w:pPr>
      <w:r>
        <w:rPr>
          <w:b/>
        </w:rPr>
        <w:t>Review status:</w:t>
      </w:r>
      <w:r>
        <w:t xml:space="preserve"> unchecked — possible relationship only</w:t>
      </w:r>
    </w:p>
    <w:p>
      <w:pPr>
        <w:pStyle w:val="Heading2"/>
      </w:pPr>
      <w:r>
        <w:t>199. Claim + two later sources: Proposals of European Citizens for Reviving the Future of Shrinking Areas</w:t>
      </w:r>
    </w:p>
    <w:p>
      <w:pPr>
        <w:pStyle w:val="SourceNote"/>
      </w:pPr>
      <w:r>
        <w:rPr>
          <w:b/>
        </w:rPr>
        <w:t>Group ID:</w:t>
      </w:r>
      <w:r>
        <w:t xml:space="preserve"> group-c1a5108ff84447ffa0f5</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Tourism in Depopulation Contexts: A Hybrid Bibliometric and Narrative Systematic Review — https://doi.org/10.3390/world7030040</w:t>
      </w:r>
    </w:p>
    <w:p>
      <w:pPr/>
      <w:r>
        <w:rPr>
          <w:b/>
        </w:rPr>
        <w:t>Later source:</w:t>
      </w:r>
      <w:r>
        <w:t xml:space="preserve"> Analysis of housing in depopulated rural areas: a transnational comparison — https://doi.org/10.4995/vlc.2026.25269</w:t>
      </w:r>
    </w:p>
    <w:p>
      <w:pPr>
        <w:pStyle w:val="SourceNote"/>
      </w:pPr>
      <w:r>
        <w:rPr>
          <w:b/>
        </w:rPr>
        <w:t>Review status:</w:t>
      </w:r>
      <w:r>
        <w:t xml:space="preserve"> unchecked — possible relationship only</w:t>
      </w:r>
    </w:p>
    <w:p>
      <w:pPr>
        <w:pStyle w:val="Heading2"/>
      </w:pPr>
      <w:r>
        <w:t>200. Claim + two later sources: Analytical support to foresighting EU roles as a Global Security Actor</w:t>
      </w:r>
    </w:p>
    <w:p>
      <w:pPr>
        <w:pStyle w:val="SourceNote"/>
      </w:pPr>
      <w:r>
        <w:rPr>
          <w:b/>
        </w:rPr>
        <w:t>Group ID:</w:t>
      </w:r>
      <w:r>
        <w:t xml:space="preserve"> group-0b336c41a06ad6fe26cb</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Biomarkers for neurodegenerative diseases in regulatory decision‐making by the European Medicines Agency — https://doi.org/10.1002/trc2.70072</w:t>
      </w:r>
    </w:p>
    <w:p>
      <w:pPr>
        <w:pStyle w:val="SourceNote"/>
      </w:pPr>
      <w:r>
        <w:rPr>
          <w:b/>
        </w:rPr>
        <w:t>Review status:</w:t>
      </w:r>
      <w:r>
        <w:t xml:space="preserve"> unchecked — possible relationship only</w:t>
      </w:r>
    </w:p>
    <w:p>
      <w:pPr>
        <w:pStyle w:val="Heading2"/>
      </w:pPr>
      <w:r>
        <w:t>201. Claim + two later sources: Scenarios for European agricultural policymaking in the era of digitalisation</w:t>
      </w:r>
    </w:p>
    <w:p>
      <w:pPr>
        <w:pStyle w:val="SourceNote"/>
      </w:pPr>
      <w:r>
        <w:rPr>
          <w:b/>
        </w:rPr>
        <w:t>Group ID:</w:t>
      </w:r>
      <w:r>
        <w:t xml:space="preserve"> group-07ec5ec97c351affaf84</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The Lifecycle of Inequality : Childhood Neighborhoods, Redistribution, and Lifetime Pensions in Finland and Europe — https://openalex.org/W7197944645</w:t>
      </w:r>
    </w:p>
    <w:p>
      <w:pPr>
        <w:pStyle w:val="SourceNote"/>
      </w:pPr>
      <w:r>
        <w:rPr>
          <w:b/>
        </w:rPr>
        <w:t>Review status:</w:t>
      </w:r>
      <w:r>
        <w:t xml:space="preserve"> unchecked — possible relationship only</w:t>
      </w:r>
    </w:p>
    <w:p>
      <w:pPr>
        <w:pStyle w:val="Heading2"/>
      </w:pPr>
      <w:r>
        <w:t>202. Claim + two later sources: STRATEGIC DIRECTIONS OF DEVELOPMENT OF THE POLISH POWER SECTOR IN THE LIGHT OF CLIMATE AND ENERGY POLICY OF THE EUROPEAN UNION</w:t>
      </w:r>
    </w:p>
    <w:p>
      <w:pPr>
        <w:pStyle w:val="SourceNote"/>
      </w:pPr>
      <w:r>
        <w:rPr>
          <w:b/>
        </w:rPr>
        <w:t>Group ID:</w:t>
      </w:r>
      <w:r>
        <w:t xml:space="preserve"> group-bdd335acd105b496ce33</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Analysis of Demand-Driven Operation in an Existing Biogas Plant Under Polish Electricity Market Conditions — https://doi.org/10.3390/en19133119</w:t>
      </w:r>
    </w:p>
    <w:p>
      <w:pPr>
        <w:pStyle w:val="SourceNote"/>
      </w:pPr>
      <w:r>
        <w:rPr>
          <w:b/>
        </w:rPr>
        <w:t>Review status:</w:t>
      </w:r>
      <w:r>
        <w:t xml:space="preserve"> unchecked — possible relationship only</w:t>
      </w:r>
    </w:p>
    <w:p>
      <w:pPr>
        <w:pStyle w:val="Heading2"/>
      </w:pPr>
      <w:r>
        <w:t>203. Claim + two later sources: MARKET DRIVEN POWER PLANT INVESTMENT PERSPECTIVES IN EUROPE: CLIMATE POLICY AND TECHNOLOGY SCENARIOS UNTIL 2050 IN THE MODEL EMELIE-ESY</w:t>
      </w:r>
    </w:p>
    <w:p>
      <w:pPr>
        <w:pStyle w:val="SourceNote"/>
      </w:pPr>
      <w:r>
        <w:rPr>
          <w:b/>
        </w:rPr>
        <w:t>Group ID:</w:t>
      </w:r>
      <w:r>
        <w:t xml:space="preserve"> group-93d9c2b3190b2dacf5f7</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Stochastic Models of Electricity Consumption — https://doi.org/10.17150/2713-1734.2024.6(1).31-46</w:t>
      </w:r>
    </w:p>
    <w:p>
      <w:pPr>
        <w:pStyle w:val="SourceNote"/>
      </w:pPr>
      <w:r>
        <w:rPr>
          <w:b/>
        </w:rPr>
        <w:t>Review status:</w:t>
      </w:r>
      <w:r>
        <w:t xml:space="preserve"> unchecked — possible relationship only</w:t>
      </w:r>
    </w:p>
    <w:p>
      <w:pPr>
        <w:pStyle w:val="Heading2"/>
      </w:pPr>
      <w:r>
        <w:t>204.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group-8271259b72fce10a6694</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Empowering energy consumers in the EU : legal pathways for promoting renewable electricity through demand-side management — https://openalex.org/W7125460656</w:t>
      </w:r>
    </w:p>
    <w:p>
      <w:pPr/>
      <w:r>
        <w:rPr>
          <w:b/>
        </w:rPr>
        <w:t>Later source:</w:t>
      </w:r>
      <w:r>
        <w:t xml:space="preserve"> Pathways to meeting growing electricity demand through expanding customer choice: a review of emerging hybrid power choice policies and practices — https://doi.org/10.3389/fsuep.2026.1766514</w:t>
      </w:r>
    </w:p>
    <w:p>
      <w:pPr>
        <w:pStyle w:val="SourceNote"/>
      </w:pPr>
      <w:r>
        <w:rPr>
          <w:b/>
        </w:rPr>
        <w:t>Review status:</w:t>
      </w:r>
      <w:r>
        <w:t xml:space="preserve"> unchecked — possible relationship only</w:t>
      </w:r>
    </w:p>
    <w:p>
      <w:pPr>
        <w:pStyle w:val="Heading2"/>
      </w:pPr>
      <w:r>
        <w:t>205. Claim + two later sources: Policy Modelling for Ambitious Energy Efficiency Investment in the EU Residential Buildings</w:t>
      </w:r>
    </w:p>
    <w:p>
      <w:pPr>
        <w:pStyle w:val="SourceNote"/>
      </w:pPr>
      <w:r>
        <w:rPr>
          <w:b/>
        </w:rPr>
        <w:t>Group ID:</w:t>
      </w:r>
      <w:r>
        <w:t xml:space="preserve"> group-dae865c6550900b77f2f</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The Geopolitical Shift and the Challenge to European Integration — https://doi.org/10.1007/978-3-032-18648-5_1</w:t>
      </w:r>
    </w:p>
    <w:p>
      <w:pPr/>
      <w:r>
        <w:rPr>
          <w:b/>
        </w:rPr>
        <w:t>Later source:</w:t>
      </w:r>
      <w:r>
        <w:t xml:space="preserve"> The Future of European Integration : Challenges and Opportunities — https://openalex.org/W7221381007</w:t>
      </w:r>
    </w:p>
    <w:p>
      <w:pPr>
        <w:pStyle w:val="SourceNote"/>
      </w:pPr>
      <w:r>
        <w:rPr>
          <w:b/>
        </w:rPr>
        <w:t>Review status:</w:t>
      </w:r>
      <w:r>
        <w:t xml:space="preserve"> unchecked — possible relationship only</w:t>
      </w:r>
    </w:p>
    <w:p>
      <w:pPr>
        <w:pStyle w:val="Heading2"/>
      </w:pPr>
      <w:r>
        <w:t>206. Claim + two later sources: A New Climate for Europe: 2030 Climate Targets Must Be More Ambitious</w:t>
      </w:r>
    </w:p>
    <w:p>
      <w:pPr>
        <w:pStyle w:val="SourceNote"/>
      </w:pPr>
      <w:r>
        <w:rPr>
          <w:b/>
        </w:rPr>
        <w:t>Group ID:</w:t>
      </w:r>
      <w:r>
        <w:t xml:space="preserve"> group-2c85a88d49125f30593b</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The 2026 Europe report of the Lancet Countdown on health and climate change: narrowing window for decisive health action — https://doi.org/10.1016/s2468-2667(26)00025-3</w:t>
      </w:r>
    </w:p>
    <w:p>
      <w:pPr/>
      <w:r>
        <w:rPr>
          <w:b/>
        </w:rPr>
        <w:t>Later source:</w:t>
      </w:r>
      <w:r>
        <w:t xml:space="preserve"> Simulating Nature Futures Pathways for Europe using a Nexus Modelling Framework — https://doi.org/10.5281/zenodo.22918966</w:t>
      </w:r>
    </w:p>
    <w:p>
      <w:pPr>
        <w:pStyle w:val="SourceNote"/>
      </w:pPr>
      <w:r>
        <w:rPr>
          <w:b/>
        </w:rPr>
        <w:t>Review status:</w:t>
      </w:r>
      <w:r>
        <w:t xml:space="preserve"> unchecked — possible relationship only</w:t>
      </w:r>
    </w:p>
    <w:p>
      <w:pPr>
        <w:pStyle w:val="Heading2"/>
      </w:pPr>
      <w:r>
        <w:t>207. Claim + two later sources: Dutch Public health Foresight study 2018/20</w:t>
      </w:r>
    </w:p>
    <w:p>
      <w:pPr>
        <w:pStyle w:val="SourceNote"/>
      </w:pPr>
      <w:r>
        <w:rPr>
          <w:b/>
        </w:rPr>
        <w:t>Group ID:</w:t>
      </w:r>
      <w:r>
        <w:t xml:space="preserve"> group-9fdc4a8c5981653a93ab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Global burden of disease due to young-onset dementia and the forecast for 2050: update from global burden of disease study 2021 — https://doi.org/10.1080/13696998.2026.2646088</w:t>
      </w:r>
    </w:p>
    <w:p>
      <w:pPr>
        <w:pStyle w:val="SourceNote"/>
      </w:pPr>
      <w:r>
        <w:rPr>
          <w:b/>
        </w:rPr>
        <w:t>Review status:</w:t>
      </w:r>
      <w:r>
        <w:t xml:space="preserve"> unchecked — possible relationship only</w:t>
      </w:r>
    </w:p>
    <w:p>
      <w:pPr>
        <w:pStyle w:val="Heading2"/>
      </w:pPr>
      <w:r>
        <w:t>208. Claim + two later sources: Constructing Resilient Futures: Integrating UK multi-stakeholder transport and energy resilience for 2050</w:t>
      </w:r>
    </w:p>
    <w:p>
      <w:pPr>
        <w:pStyle w:val="SourceNote"/>
      </w:pPr>
      <w:r>
        <w:rPr>
          <w:b/>
        </w:rPr>
        <w:t>Group ID:</w:t>
      </w:r>
      <w:r>
        <w:t xml:space="preserve"> group-f8eb019d0aa5c3ab4503</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Online Interest in Radical Islam and Terrorist Attacks — https://doi.org/10.1515/peps-2024-0054</w:t>
      </w:r>
    </w:p>
    <w:p>
      <w:pPr/>
      <w:r>
        <w:rPr>
          <w:b/>
        </w:rPr>
        <w:t>Later source:</w:t>
      </w:r>
      <w:r>
        <w:t xml:space="preserve"> PREVENTION OF TERRORIST ATTACKS ON CRITICAL INFRASTRUCTURE ON THE EXAMPLE OF AN AIRPORT — https://doi.org/10.29119/1641-3466.2025.216.13</w:t>
      </w:r>
    </w:p>
    <w:p>
      <w:pPr>
        <w:pStyle w:val="SourceNote"/>
      </w:pPr>
      <w:r>
        <w:rPr>
          <w:b/>
        </w:rPr>
        <w:t>Review status:</w:t>
      </w:r>
      <w:r>
        <w:t xml:space="preserve"> unchecked — possible relationship only</w:t>
      </w:r>
    </w:p>
    <w:p>
      <w:pPr>
        <w:pStyle w:val="Heading2"/>
      </w:pPr>
      <w:r>
        <w:t>209. Claim + two later sources: An Agent-Based Assessment of Land Use and Ecosystem Changes in Traditional Agricultural Landscape of Portugal</w:t>
      </w:r>
    </w:p>
    <w:p>
      <w:pPr>
        <w:pStyle w:val="SourceNote"/>
      </w:pPr>
      <w:r>
        <w:rPr>
          <w:b/>
        </w:rPr>
        <w:t>Group ID:</w:t>
      </w:r>
      <w:r>
        <w:t xml:space="preserve"> group-d03c5a9787b14893d8ce</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Spatiotemporal analysis of montado land cover dynamics in southern Portugal: the influence of anthropogenic and natural disturbances — https://doi.org/10.1007/s10457-026-01564-x</w:t>
      </w:r>
    </w:p>
    <w:p>
      <w:pPr/>
      <w:r>
        <w:rPr>
          <w:b/>
        </w:rPr>
        <w:t>Later source:</w:t>
      </w:r>
      <w:r>
        <w:t xml:space="preserve"> MAPPING SOIL MOISTURE AND CARBON HOTSPOTS IN A MONTADO ECOSYSTEM: A CASE STUDY IN COMPANHIA DAS LEZÍRIAS, PORTUGAL — https://doi.org/10.26471/cjees/2026/021/382</w:t>
      </w:r>
    </w:p>
    <w:p>
      <w:pPr>
        <w:pStyle w:val="SourceNote"/>
      </w:pPr>
      <w:r>
        <w:rPr>
          <w:b/>
        </w:rPr>
        <w:t>Review status:</w:t>
      </w:r>
      <w:r>
        <w:t xml:space="preserve"> unchecked — possible relationship only</w:t>
      </w:r>
    </w:p>
    <w:p>
      <w:pPr>
        <w:pStyle w:val="Heading2"/>
      </w:pPr>
      <w:r>
        <w:t>210. Claim + two later sources: A history of futures: A review of scenario use in water policy studies in the Netherlands</w:t>
      </w:r>
    </w:p>
    <w:p>
      <w:pPr>
        <w:pStyle w:val="SourceNote"/>
      </w:pPr>
      <w:r>
        <w:rPr>
          <w:b/>
        </w:rPr>
        <w:t>Group ID:</w:t>
      </w:r>
      <w:r>
        <w:t xml:space="preserve"> group-8889d41ca620b5c8970b</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Proposal for revised criteria for daylight provision in the European daylight standard based on calculations for Swedish multifamily residential buildings — https://doi.org/10.1177/14771535241306970</w:t>
      </w:r>
    </w:p>
    <w:p>
      <w:pPr/>
      <w:r>
        <w:rPr>
          <w:b/>
        </w:rPr>
        <w:t>Later source:</w:t>
      </w:r>
      <w:r>
        <w:t xml:space="preserve"> Lyme Borreliosis Incidence Across Europe, 2015–2023: A Surveillance-Based Review and Analysis — https://doi.org/10.1177/15303667251363125</w:t>
      </w:r>
    </w:p>
    <w:p>
      <w:pPr>
        <w:pStyle w:val="SourceNote"/>
      </w:pPr>
      <w:r>
        <w:rPr>
          <w:b/>
        </w:rPr>
        <w:t>Review status:</w:t>
      </w:r>
      <w:r>
        <w:t xml:space="preserve"> unchecked — possible relationship only</w:t>
      </w:r>
    </w:p>
    <w:p>
      <w:pPr>
        <w:pStyle w:val="Heading2"/>
      </w:pPr>
      <w:r>
        <w:t>211. Claim + two later sources: Anticipatory governance for newcomers: lessons learned from the UK, the Netherlands, Finland, and Korea</w:t>
      </w:r>
    </w:p>
    <w:p>
      <w:pPr>
        <w:pStyle w:val="SourceNote"/>
      </w:pPr>
      <w:r>
        <w:rPr>
          <w:b/>
        </w:rPr>
        <w:t>Group ID:</w:t>
      </w:r>
      <w:r>
        <w:t xml:space="preserve"> group-5228ef36a75bacd38125</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Educating and raising public awareness about floods with uniformed high-water marks — https://doi.org/10.5194/ems2025-48</w:t>
      </w:r>
    </w:p>
    <w:p>
      <w:pPr/>
      <w:r>
        <w:rPr>
          <w:b/>
        </w:rPr>
        <w:t>Later source:</w:t>
      </w:r>
      <w:r>
        <w:t xml:space="preserve"> Right to be Forgotten vs. Public Information Disclosure to Public Officials in Indonesia — https://doi.org/10.30996/mk.v19i1.132922</w:t>
      </w:r>
    </w:p>
    <w:p>
      <w:pPr>
        <w:pStyle w:val="SourceNote"/>
      </w:pPr>
      <w:r>
        <w:rPr>
          <w:b/>
        </w:rPr>
        <w:t>Review status:</w:t>
      </w:r>
      <w:r>
        <w:t xml:space="preserve"> unchecked — possible relationship only</w:t>
      </w:r>
    </w:p>
    <w:p>
      <w:pPr>
        <w:pStyle w:val="Heading2"/>
      </w:pPr>
      <w:r>
        <w:t>212. Claim + two later sources: Foresight and “grand challenges” within research and innovation policies</w:t>
      </w:r>
    </w:p>
    <w:p>
      <w:pPr>
        <w:pStyle w:val="SourceNote"/>
      </w:pPr>
      <w:r>
        <w:rPr>
          <w:b/>
        </w:rPr>
        <w:t>Group ID:</w:t>
      </w:r>
      <w:r>
        <w:t xml:space="preserve"> group-b79aa7e1225ef33b95d5</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Meaning, Purpose, and Leadership Thriving — https://doi.org/10.1002/jls.70045</w:t>
      </w:r>
    </w:p>
    <w:p>
      <w:pPr/>
      <w:r>
        <w:rPr>
          <w:b/>
        </w:rPr>
        <w:t>Later source:</w:t>
      </w:r>
      <w:r>
        <w:t xml:space="preserve"> The Authenticity of Purpose Claims: Firm Capacity and Job Seeker Responses to Recruitment Efforts — https://doi.org/10.1287/mnsc.2023.03931</w:t>
      </w:r>
    </w:p>
    <w:p>
      <w:pPr>
        <w:pStyle w:val="SourceNote"/>
      </w:pPr>
      <w:r>
        <w:rPr>
          <w:b/>
        </w:rPr>
        <w:t>Review status:</w:t>
      </w:r>
      <w:r>
        <w:t xml:space="preserve"> unchecked — possible relationship only</w:t>
      </w:r>
    </w:p>
    <w:p>
      <w:pPr>
        <w:pStyle w:val="Heading2"/>
      </w:pPr>
      <w:r>
        <w:t>213. Claim + two later sources: Governance barriers to sustainable energy transitions – Assessing Ireland's capacity towards marine energy futures</w:t>
      </w:r>
    </w:p>
    <w:p>
      <w:pPr>
        <w:pStyle w:val="SourceNote"/>
      </w:pPr>
      <w:r>
        <w:rPr>
          <w:b/>
        </w:rPr>
        <w:t>Group ID:</w:t>
      </w:r>
      <w:r>
        <w:t xml:space="preserve"> group-a0ffc18e9d6d9ceef432</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The Governance Context for Adaptive Heritage Reuse: A Review and Typology of Fifteen European Countries — https://doi.org/10.1080/17567505.2022.2153201</w:t>
      </w:r>
    </w:p>
    <w:p>
      <w:pPr/>
      <w:r>
        <w:rPr>
          <w:b/>
        </w:rPr>
        <w:t>Later source:</w:t>
      </w:r>
      <w:r>
        <w:t xml:space="preserve"> Offshore outsourcing of innovation by SMEs: a 4F perspective of governance — https://doi.org/10.1108/scm-09-2020-0486</w:t>
      </w:r>
    </w:p>
    <w:p>
      <w:pPr>
        <w:pStyle w:val="SourceNote"/>
      </w:pPr>
      <w:r>
        <w:rPr>
          <w:b/>
        </w:rPr>
        <w:t>Review status:</w:t>
      </w:r>
      <w:r>
        <w:t xml:space="preserve"> unchecked — possible relationship only</w:t>
      </w:r>
    </w:p>
    <w:p>
      <w:pPr>
        <w:pStyle w:val="Heading2"/>
      </w:pPr>
      <w:r>
        <w:t>214. Claim + two later sources: Developments in Energy use for Transport in 27 European Union Countries through 2030</w:t>
      </w:r>
    </w:p>
    <w:p>
      <w:pPr>
        <w:pStyle w:val="SourceNote"/>
      </w:pPr>
      <w:r>
        <w:rPr>
          <w:b/>
        </w:rPr>
        <w:t>Group ID:</w:t>
      </w:r>
      <w:r>
        <w:t xml:space="preserve"> group-cbb1f22acf7fcc8804af</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Global value chains and the redistribution of GHG emissions: The case of Czechia — https://doi.org/10.1016/j.rspp.2026.100338</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215. Claim + two later sources: Impact of Quasi‐Idealized Future Land Cover Scenarios at High Latitudes in Complex Terrain</w:t>
      </w:r>
    </w:p>
    <w:p>
      <w:pPr>
        <w:pStyle w:val="SourceNote"/>
      </w:pPr>
      <w:r>
        <w:rPr>
          <w:b/>
        </w:rPr>
        <w:t>Group ID:</w:t>
      </w:r>
      <w:r>
        <w:t xml:space="preserve"> group-e83284bd25cfcaf99e1b</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Human West Nile Virus infections in Europe: weather or climate? — https://doi.org/10.5194/egusphere-egu26-18547</w:t>
      </w:r>
    </w:p>
    <w:p>
      <w:pPr>
        <w:pStyle w:val="SourceNote"/>
      </w:pPr>
      <w:r>
        <w:rPr>
          <w:b/>
        </w:rPr>
        <w:t>Review status:</w:t>
      </w:r>
      <w:r>
        <w:t xml:space="preserve"> unchecked — possible relationship only</w:t>
      </w:r>
    </w:p>
    <w:p>
      <w:pPr>
        <w:pStyle w:val="Heading2"/>
      </w:pPr>
      <w:r>
        <w:t>216. Claim + two later sources: International migration by 2030: impact of immigration policies scenarios on growth and employment</w:t>
      </w:r>
    </w:p>
    <w:p>
      <w:pPr>
        <w:pStyle w:val="SourceNote"/>
      </w:pPr>
      <w:r>
        <w:rPr>
          <w:b/>
        </w:rPr>
        <w:t>Group ID:</w:t>
      </w:r>
      <w:r>
        <w:t xml:space="preserve"> group-bb8f3ee8f49ffe0d8b14</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Economic Assimilation of Women and Families in the Age of Mass Migration — https://doi.org/10.3386/w35332</w:t>
      </w:r>
    </w:p>
    <w:p>
      <w:pPr/>
      <w:r>
        <w:rPr>
          <w:b/>
        </w:rPr>
        <w:t>Later source:</w:t>
      </w:r>
      <w:r>
        <w:t xml:space="preserve"> Listening, Learning, and Letting Go: History and Impact of Fund for Shared Insight, 2014-2026 — https://openalex.org/W7220885628</w:t>
      </w:r>
    </w:p>
    <w:p>
      <w:pPr>
        <w:pStyle w:val="SourceNote"/>
      </w:pPr>
      <w:r>
        <w:rPr>
          <w:b/>
        </w:rPr>
        <w:t>Review status:</w:t>
      </w:r>
      <w:r>
        <w:t xml:space="preserve"> unchecked — possible relationship only</w:t>
      </w:r>
    </w:p>
    <w:p>
      <w:pPr>
        <w:pStyle w:val="Heading2"/>
      </w:pPr>
      <w:r>
        <w:t>217. Claim + two later sources: Will climate change affect the electricity production sector? A European study</w:t>
      </w:r>
    </w:p>
    <w:p>
      <w:pPr>
        <w:pStyle w:val="SourceNote"/>
      </w:pPr>
      <w:r>
        <w:rPr>
          <w:b/>
        </w:rPr>
        <w:t>Group ID:</w:t>
      </w:r>
      <w:r>
        <w:t xml:space="preserve"> group-822f6e2d29298993c5a1</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A data-driven framework for the temporal extrapolation of annual water withdrawals for hydrological modelling — https://doi.org/10.5194/egusphere-egu25-11405</w:t>
      </w:r>
    </w:p>
    <w:p>
      <w:pPr/>
      <w:r>
        <w:rPr>
          <w:b/>
        </w:rPr>
        <w:t>Later source:</w:t>
      </w:r>
      <w:r>
        <w:t xml:space="preserve"> Perspectives of Electricity Production from Biogas in the European Union — https://doi.org/10.3390/en17051169</w:t>
      </w:r>
    </w:p>
    <w:p>
      <w:pPr>
        <w:pStyle w:val="SourceNote"/>
      </w:pPr>
      <w:r>
        <w:rPr>
          <w:b/>
        </w:rPr>
        <w:t>Review status:</w:t>
      </w:r>
      <w:r>
        <w:t xml:space="preserve"> unchecked — possible relationship only</w:t>
      </w:r>
    </w:p>
    <w:p>
      <w:pPr>
        <w:pStyle w:val="Heading2"/>
      </w:pPr>
      <w:r>
        <w:t>218. Claim + two later sources: Animal Health Surveillance in Scotland in 2030: Using Scenario Planning to Develop Strategies in the Context of “Brexit”</w:t>
      </w:r>
    </w:p>
    <w:p>
      <w:pPr>
        <w:pStyle w:val="SourceNote"/>
      </w:pPr>
      <w:r>
        <w:rPr>
          <w:b/>
        </w:rPr>
        <w:t>Group ID:</w:t>
      </w:r>
      <w:r>
        <w:t xml:space="preserve"> group-b2e5fc76aac7d3931f36</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Overview of the Use of Co-creation Tools for the Design of Sustainable Buildings — https://doi.org/10.1007/978-3-032-09040-9_12</w:t>
      </w:r>
    </w:p>
    <w:p>
      <w:pPr>
        <w:pStyle w:val="SourceNote"/>
      </w:pPr>
      <w:r>
        <w:rPr>
          <w:b/>
        </w:rPr>
        <w:t>Review status:</w:t>
      </w:r>
      <w:r>
        <w:t xml:space="preserve"> unchecked — possible relationship only</w:t>
      </w:r>
    </w:p>
    <w:p>
      <w:pPr>
        <w:pStyle w:val="Heading2"/>
      </w:pPr>
      <w:r>
        <w:t>219. Claim + two later sources: Superconductivity and the environment: a Roadmap</w:t>
      </w:r>
    </w:p>
    <w:p>
      <w:pPr>
        <w:pStyle w:val="SourceNote"/>
      </w:pPr>
      <w:r>
        <w:rPr>
          <w:b/>
        </w:rPr>
        <w:t>Group ID:</w:t>
      </w:r>
      <w:r>
        <w:t xml:space="preserve"> group-f805ac064e4b865abea3</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Dynamic MIPS Rate Stabilization for Complex Processors — https://doi.org/10.1145/2714575</w:t>
      </w:r>
    </w:p>
    <w:p>
      <w:pPr/>
      <w:r>
        <w:rPr>
          <w:b/>
        </w:rPr>
        <w:t>Later source:</w:t>
      </w:r>
      <w:r>
        <w:t xml:space="preserve"> Diabetic retinopathy stabilization after renal transplantation — https://doi.org/10.4103/0301-4738.136303</w:t>
      </w:r>
    </w:p>
    <w:p>
      <w:pPr>
        <w:pStyle w:val="SourceNote"/>
      </w:pPr>
      <w:r>
        <w:rPr>
          <w:b/>
        </w:rPr>
        <w:t>Review status:</w:t>
      </w:r>
      <w:r>
        <w:t xml:space="preserve"> unchecked — possible relationship only</w:t>
      </w:r>
    </w:p>
    <w:p>
      <w:pPr>
        <w:pStyle w:val="Heading2"/>
      </w:pPr>
      <w:r>
        <w:t>220. Claim + two later sources: Foresight in Public Administration: Methods and Perspectives of Implementation in Ukraine</w:t>
      </w:r>
    </w:p>
    <w:p>
      <w:pPr>
        <w:pStyle w:val="SourceNote"/>
      </w:pPr>
      <w:r>
        <w:rPr>
          <w:b/>
        </w:rPr>
        <w:t>Group ID:</w:t>
      </w:r>
      <w:r>
        <w:t xml:space="preserve"> group-b7aa2778cea047eaf4da</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Methodological guidelines for practical works in the "System software" academic discipline — https://openalex.org/W7199565614</w:t>
      </w:r>
    </w:p>
    <w:p>
      <w:pPr>
        <w:pStyle w:val="SourceNote"/>
      </w:pPr>
      <w:r>
        <w:rPr>
          <w:b/>
        </w:rPr>
        <w:t>Review status:</w:t>
      </w:r>
      <w:r>
        <w:t xml:space="preserve"> unchecked — possible relationship only</w:t>
      </w:r>
    </w:p>
    <w:p>
      <w:pPr>
        <w:pStyle w:val="Heading2"/>
      </w:pPr>
      <w:r>
        <w:t>221. Claim + two later sources: Energy Efficiency Vision 2050: How will new societal trends influence future energy demand in the European countries?</w:t>
      </w:r>
    </w:p>
    <w:p>
      <w:pPr>
        <w:pStyle w:val="SourceNote"/>
      </w:pPr>
      <w:r>
        <w:rPr>
          <w:b/>
        </w:rPr>
        <w:t>Group ID:</w:t>
      </w:r>
      <w:r>
        <w:t xml:space="preserve"> group-d47a35578b28d6e723f2</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The (worst) laws of the land: the concept of legislative basket cases, legislative backsliding and public administration in Central-Eastern Europe — https://doi.org/10.1080/01442872.2025.2501741</w:t>
      </w:r>
    </w:p>
    <w:p>
      <w:pPr/>
      <w:r>
        <w:rPr>
          <w:b/>
        </w:rPr>
        <w:t>Later source:</w:t>
      </w:r>
      <w:r>
        <w:t xml:space="preserve"> A new approach for national-scale Building Energy Models based on Energy Performance Certificates in European countries: The case of Spain — https://doi.org/10.1016/j.heliyon.2024.e25473</w:t>
      </w:r>
    </w:p>
    <w:p>
      <w:pPr>
        <w:pStyle w:val="SourceNote"/>
      </w:pPr>
      <w:r>
        <w:rPr>
          <w:b/>
        </w:rPr>
        <w:t>Review status:</w:t>
      </w:r>
      <w:r>
        <w:t xml:space="preserve"> unchecked — possible relationship only</w:t>
      </w:r>
    </w:p>
    <w:p>
      <w:pPr>
        <w:pStyle w:val="Heading2"/>
      </w:pPr>
      <w:r>
        <w:t>222. Claim + two later sources: Energy system transition and macroeconomic impacts of a European decarbonization action towards a below 2 °C climate stabilization</w:t>
      </w:r>
    </w:p>
    <w:p>
      <w:pPr>
        <w:pStyle w:val="SourceNote"/>
      </w:pPr>
      <w:r>
        <w:rPr>
          <w:b/>
        </w:rPr>
        <w:t>Group ID:</w:t>
      </w:r>
      <w:r>
        <w:t xml:space="preserve"> group-5bf8475b92b76e1df209</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Can a wealth tax reduce CO2 emissions in Europe? — https://doi.org/10.1016/j.ecolecon.2026.109231</w:t>
      </w:r>
    </w:p>
    <w:p>
      <w:pPr/>
      <w:r>
        <w:rPr>
          <w:b/>
        </w:rPr>
        <w:t>Later source:</w:t>
      </w:r>
      <w:r>
        <w:t xml:space="preserve"> Research and innovation towards zero-emission road transport and European automotive sector competitiveness — https://doi.org/10.2760/4220161</w:t>
      </w:r>
    </w:p>
    <w:p>
      <w:pPr>
        <w:pStyle w:val="SourceNote"/>
      </w:pPr>
      <w:r>
        <w:rPr>
          <w:b/>
        </w:rPr>
        <w:t>Review status:</w:t>
      </w:r>
      <w:r>
        <w:t xml:space="preserve"> unchecked — possible relationship only</w:t>
      </w:r>
    </w:p>
    <w:p>
      <w:pPr>
        <w:pStyle w:val="Heading2"/>
      </w:pPr>
      <w:r>
        <w:t>223. Claim + two later sources: Burden of pancreatic cancer along with attributable risk factors in Europe between 1990 and 2019, and projections until 2039</w:t>
      </w:r>
    </w:p>
    <w:p>
      <w:pPr>
        <w:pStyle w:val="SourceNote"/>
      </w:pPr>
      <w:r>
        <w:rPr>
          <w:b/>
        </w:rPr>
        <w:t>Group ID:</w:t>
      </w:r>
      <w:r>
        <w:t xml:space="preserve"> group-707c50505f31905ab998</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Biological data derived from European weather radars — https://doi.org/10.1038/s41597-025-04641-5</w:t>
      </w:r>
    </w:p>
    <w:p>
      <w:pPr/>
      <w:r>
        <w:rPr>
          <w:b/>
        </w:rPr>
        <w:t>Later source:</w:t>
      </w:r>
      <w:r>
        <w:t xml:space="preserve"> High resolution assessment of air quality and health in Europe under different climate mitigation scenarios — https://doi.org/10.1038/s41467-025-60449-2</w:t>
      </w:r>
    </w:p>
    <w:p>
      <w:pPr>
        <w:pStyle w:val="SourceNote"/>
      </w:pPr>
      <w:r>
        <w:rPr>
          <w:b/>
        </w:rPr>
        <w:t>Review status:</w:t>
      </w:r>
      <w:r>
        <w:t xml:space="preserve"> unchecked — possible relationship only</w:t>
      </w:r>
    </w:p>
    <w:p>
      <w:pPr>
        <w:pStyle w:val="Heading2"/>
      </w:pPr>
      <w:r>
        <w:t>224. Claim + two later sources: Securing a bioenergy future without imports</w:t>
      </w:r>
    </w:p>
    <w:p>
      <w:pPr>
        <w:pStyle w:val="SourceNote"/>
      </w:pPr>
      <w:r>
        <w:rPr>
          <w:b/>
        </w:rPr>
        <w:t>Group ID:</w:t>
      </w:r>
      <w:r>
        <w:t xml:space="preserve"> group-122ac9d522098a981556</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TRANSFORMATIVE EMBODIMENT IN INDIGENOUS DANCES: TOWARDS A PERFORMATIVE SUSTAINABILITY MODEL — https://doi.org/10.52152/7cnmbj06</w:t>
      </w:r>
    </w:p>
    <w:p>
      <w:pPr/>
      <w:r>
        <w:rPr>
          <w:b/>
        </w:rPr>
        <w:t>Later source:</w:t>
      </w:r>
      <w:r>
        <w:t xml:space="preserve"> Environmental Conservation Policy Model Based on the Protection of Indigenous Peoples in Indonesia — https://doi.org/10.47268/sasi.v29i1.1274</w:t>
      </w:r>
    </w:p>
    <w:p>
      <w:pPr>
        <w:pStyle w:val="SourceNote"/>
      </w:pPr>
      <w:r>
        <w:rPr>
          <w:b/>
        </w:rPr>
        <w:t>Review status:</w:t>
      </w:r>
      <w:r>
        <w:t xml:space="preserve"> unchecked — possible relationship only</w:t>
      </w:r>
    </w:p>
    <w:p>
      <w:pPr>
        <w:pStyle w:val="Heading2"/>
      </w:pPr>
      <w:r>
        <w:t>225. Claim + two later sources: Shifts, turning points and inertia exploring long-term industry trends in European transport</w:t>
      </w:r>
    </w:p>
    <w:p>
      <w:pPr>
        <w:pStyle w:val="SourceNote"/>
      </w:pPr>
      <w:r>
        <w:rPr>
          <w:b/>
        </w:rPr>
        <w:t>Group ID:</w:t>
      </w:r>
      <w:r>
        <w:t xml:space="preserve"> group-14d340874eef4e6c231c</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The European Union and Strategic Autonomy: Political, Economic and Technological Challenges — https://doi.org/10.47459/cndcgs.2026.42</w:t>
      </w:r>
    </w:p>
    <w:p>
      <w:pPr/>
      <w:r>
        <w:rPr>
          <w:b/>
        </w:rPr>
        <w:t>Later source:</w:t>
      </w:r>
      <w:r>
        <w:t xml:space="preserve"> Economic, technological and environmental drivers of the circular economy in the European Union: a panel data analysis — https://doi.org/10.1186/s12302-025-01119-4</w:t>
      </w:r>
    </w:p>
    <w:p>
      <w:pPr>
        <w:pStyle w:val="SourceNote"/>
      </w:pPr>
      <w:r>
        <w:rPr>
          <w:b/>
        </w:rPr>
        <w:t>Review status:</w:t>
      </w:r>
      <w:r>
        <w:t xml:space="preserve"> unchecked — possible relationship only</w:t>
      </w:r>
    </w:p>
    <w:p>
      <w:pPr>
        <w:pStyle w:val="Heading2"/>
      </w:pPr>
      <w:r>
        <w:t>226. Claim + two later sources: Electricity Spot Market Design 2030-2050</w:t>
      </w:r>
    </w:p>
    <w:p>
      <w:pPr>
        <w:pStyle w:val="SourceNote"/>
      </w:pPr>
      <w:r>
        <w:rPr>
          <w:b/>
        </w:rPr>
        <w:t>Group ID:</w:t>
      </w:r>
      <w:r>
        <w:t xml:space="preserve"> group-74c193924342f8d08cca</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Political knowledge and perceptions of minority governments in Europe — https://doi.org/10.1017/s147567652510025x</w:t>
      </w:r>
    </w:p>
    <w:p>
      <w:pPr/>
      <w:r>
        <w:rPr>
          <w:b/>
        </w:rPr>
        <w:t>Later source:</w:t>
      </w:r>
      <w:r>
        <w:t xml:space="preserve"> Urban Nature Plans: Strategic Tool for Integrated Biodiversity and Climate Planning in German Cities — https://doi.org/10.2148/benv.51.4.569</w:t>
      </w:r>
    </w:p>
    <w:p>
      <w:pPr>
        <w:pStyle w:val="SourceNote"/>
      </w:pPr>
      <w:r>
        <w:rPr>
          <w:b/>
        </w:rPr>
        <w:t>Review status:</w:t>
      </w:r>
      <w:r>
        <w:t xml:space="preserve"> unchecked — possible relationship only</w:t>
      </w:r>
    </w:p>
    <w:p>
      <w:pPr>
        <w:pStyle w:val="Heading2"/>
      </w:pPr>
      <w:r>
        <w:t>227. Claim + two later sources: Centre-Periphery Relations in Europe: Demographic Aspect</w:t>
      </w:r>
    </w:p>
    <w:p>
      <w:pPr>
        <w:pStyle w:val="SourceNote"/>
      </w:pPr>
      <w:r>
        <w:rPr>
          <w:b/>
        </w:rPr>
        <w:t>Group ID:</w:t>
      </w:r>
      <w:r>
        <w:t xml:space="preserve"> group-653aa1c1e0687c47693b</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Osteoporosis in Europe: a compendium of country-specific reports — https://doi.org/10.1007/s11657-021-00969-8</w:t>
      </w:r>
    </w:p>
    <w:p>
      <w:pPr/>
      <w:r>
        <w:rPr>
          <w:b/>
        </w:rPr>
        <w:t>Later source:</w:t>
      </w:r>
      <w:r>
        <w:t xml:space="preserve"> COVID-19 in Europe: from outbreak to vaccination — https://doi.org/10.1186/s12889-022-14454-5</w:t>
      </w:r>
    </w:p>
    <w:p>
      <w:pPr>
        <w:pStyle w:val="SourceNote"/>
      </w:pPr>
      <w:r>
        <w:rPr>
          <w:b/>
        </w:rPr>
        <w:t>Review status:</w:t>
      </w:r>
      <w:r>
        <w:t xml:space="preserve"> unchecked — possible relationship only</w:t>
      </w:r>
    </w:p>
    <w:p>
      <w:pPr>
        <w:pStyle w:val="Heading2"/>
      </w:pPr>
      <w:r>
        <w:t>228. Claim + two later sources: Designing health system scenarios at the national level</w:t>
      </w:r>
    </w:p>
    <w:p>
      <w:pPr>
        <w:pStyle w:val="SourceNote"/>
      </w:pPr>
      <w:r>
        <w:rPr>
          <w:b/>
        </w:rPr>
        <w:t>Group ID:</w:t>
      </w:r>
      <w:r>
        <w:t xml:space="preserve"> group-82b9b6940eb295fa3c07</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Optimizing coating materials and processes for controlled release coated urea fertilizer: review of bio-based coating materials and encapsulation methods — https://doi.org/10.15480/882.17571</w:t>
      </w:r>
    </w:p>
    <w:p>
      <w:pPr/>
      <w:r>
        <w:rPr>
          <w:b/>
        </w:rPr>
        <w:t>Later source:</w:t>
      </w:r>
      <w:r>
        <w:t xml:space="preserve"> Measuring the Confidence Architecture of Indo-European Claims: findings, code and reproduction materials. — https://doi.org/10.5281/zenodo.22880450</w:t>
      </w:r>
    </w:p>
    <w:p>
      <w:pPr>
        <w:pStyle w:val="SourceNote"/>
      </w:pPr>
      <w:r>
        <w:rPr>
          <w:b/>
        </w:rPr>
        <w:t>Review status:</w:t>
      </w:r>
      <w:r>
        <w:t xml:space="preserve"> unchecked — possible relationship only</w:t>
      </w:r>
    </w:p>
    <w:p>
      <w:pPr>
        <w:pStyle w:val="Heading2"/>
      </w:pPr>
      <w:r>
        <w:t>229. Claim + two later sources: Assessing the future medical cost burden for the European health systems under alternative exposure-to-risks scenarios</w:t>
      </w:r>
    </w:p>
    <w:p>
      <w:pPr>
        <w:pStyle w:val="SourceNote"/>
      </w:pPr>
      <w:r>
        <w:rPr>
          <w:b/>
        </w:rPr>
        <w:t>Group ID:</w:t>
      </w:r>
      <w:r>
        <w:t xml:space="preserve"> group-7d18eca47b0d4cc8b80f</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Has the agricultural productivity increased after European Union enlargements in Central European countries? Evidence from four countries' cereal production — https://doi.org/10.17221/156/2023-agricecon</w:t>
      </w:r>
    </w:p>
    <w:p>
      <w:pPr/>
      <w:r>
        <w:rPr>
          <w:b/>
        </w:rPr>
        <w:t>Later source:</w:t>
      </w:r>
      <w:r>
        <w:t xml:space="preserve"> Association between healthcare resources, healthcare systems, and population health in European countries — https://doi.org/10.1186/s12913-024-11743-0</w:t>
      </w:r>
    </w:p>
    <w:p>
      <w:pPr>
        <w:pStyle w:val="SourceNote"/>
      </w:pPr>
      <w:r>
        <w:rPr>
          <w:b/>
        </w:rPr>
        <w:t>Review status:</w:t>
      </w:r>
      <w:r>
        <w:t xml:space="preserve"> unchecked — possible relationship only</w:t>
      </w:r>
    </w:p>
    <w:p>
      <w:pPr>
        <w:pStyle w:val="Heading2"/>
      </w:pPr>
      <w:r>
        <w:t>230. Claim + two later sources: FRESHER: Challenges and opportunities for building Health/Healthy futures</w:t>
      </w:r>
    </w:p>
    <w:p>
      <w:pPr>
        <w:pStyle w:val="SourceNote"/>
      </w:pPr>
      <w:r>
        <w:rPr>
          <w:b/>
        </w:rPr>
        <w:t>Group ID:</w:t>
      </w:r>
      <w:r>
        <w:t xml:space="preserve"> group-22251209852aab315ae5</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Techno-economic evaluation of an elastic composite phase change material for building envelopes — https://doi.org/10.1016/j.tsep.2026.104727</w:t>
      </w:r>
    </w:p>
    <w:p>
      <w:pPr/>
      <w:r>
        <w:rPr>
          <w:b/>
        </w:rPr>
        <w:t>Later source:</w:t>
      </w:r>
      <w:r>
        <w:t xml:space="preserve"> Experimental characterization of the thermophysical properties of some selected phase change materials for building applications: Critical input data for numerical simulations — https://doi.org/10.1016/j.est.2025.115463</w:t>
      </w:r>
    </w:p>
    <w:p>
      <w:pPr>
        <w:pStyle w:val="SourceNote"/>
      </w:pPr>
      <w:r>
        <w:rPr>
          <w:b/>
        </w:rPr>
        <w:t>Review status:</w:t>
      </w:r>
      <w:r>
        <w:t xml:space="preserve"> unchecked — possible relationship only</w:t>
      </w:r>
    </w:p>
    <w:p>
      <w:pPr>
        <w:pStyle w:val="Heading2"/>
      </w:pPr>
      <w:r>
        <w:t>231. Claim + two later sources: The implications of regional and national demographic projections for future GMS costs in Ireland through to 2026</w:t>
      </w:r>
    </w:p>
    <w:p>
      <w:pPr>
        <w:pStyle w:val="SourceNote"/>
      </w:pPr>
      <w:r>
        <w:rPr>
          <w:b/>
        </w:rPr>
        <w:t>Group ID:</w:t>
      </w:r>
      <w:r>
        <w:t xml:space="preserve"> group-02f6d63b0bd980e02677</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Later source:</w:t>
      </w:r>
      <w:r>
        <w:t xml:space="preserve"> Monte Carlo Greeks for European Pandemic Options under Stochastic SIS Model — https://openalex.org/W7167764542</w:t>
      </w:r>
    </w:p>
    <w:p>
      <w:pPr>
        <w:pStyle w:val="SourceNote"/>
      </w:pPr>
      <w:r>
        <w:rPr>
          <w:b/>
        </w:rPr>
        <w:t>Review status:</w:t>
      </w:r>
      <w:r>
        <w:t xml:space="preserve"> unchecked — possible relationship only</w:t>
      </w:r>
    </w:p>
    <w:p>
      <w:pPr>
        <w:pStyle w:val="Heading2"/>
      </w:pPr>
      <w:r>
        <w:t>232. Claim + two later sources: A scenario-planning approach to human resources for health: the case of community pharmacists in Portugal</w:t>
      </w:r>
    </w:p>
    <w:p>
      <w:pPr>
        <w:pStyle w:val="SourceNote"/>
      </w:pPr>
      <w:r>
        <w:rPr>
          <w:b/>
        </w:rPr>
        <w:t>Group ID:</w:t>
      </w:r>
      <w:r>
        <w:t xml:space="preserve"> group-4f2e8f0d2068a9ab6b9c</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Adverse drug reaction reporting by New Zealand pharmacists: a cross-sectional investigation of community and hospital pharmacists — https://doi.org/10.1093/ijpp/riaf017</w:t>
      </w:r>
    </w:p>
    <w:p>
      <w:pPr/>
      <w:r>
        <w:rPr>
          <w:b/>
        </w:rPr>
        <w:t>Later source:</w:t>
      </w:r>
      <w:r>
        <w:t xml:space="preserve"> Humility, autonomy, and simplicity: three principles for humanitarian design — https://doi.org/10.1080/01436597.2025.2491094</w:t>
      </w:r>
    </w:p>
    <w:p>
      <w:pPr>
        <w:pStyle w:val="SourceNote"/>
      </w:pPr>
      <w:r>
        <w:rPr>
          <w:b/>
        </w:rPr>
        <w:t>Review status:</w:t>
      </w:r>
      <w:r>
        <w:t xml:space="preserve"> unchecked — possible relationship only</w:t>
      </w:r>
    </w:p>
    <w:p>
      <w:pPr>
        <w:pStyle w:val="Heading2"/>
      </w:pPr>
      <w:r>
        <w:t>233. Claim + two later sources: The northern hemisphere circumglobal teleconnection in a seasonal forecast model and its relationship to European summer forecast skill</w:t>
      </w:r>
    </w:p>
    <w:p>
      <w:pPr>
        <w:pStyle w:val="SourceNote"/>
      </w:pPr>
      <w:r>
        <w:rPr>
          <w:b/>
        </w:rPr>
        <w:t>Group ID:</w:t>
      </w:r>
      <w:r>
        <w:t xml:space="preserve"> group-e805c40646ce91ed2def</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Predicting current and future distribution of the common waxbill using a mechanistic modelling approach — https://doi.org/10.1101/2025.11.16.688699</w:t>
      </w:r>
    </w:p>
    <w:p>
      <w:pPr/>
      <w:r>
        <w:rPr>
          <w:b/>
        </w:rPr>
        <w:t>Later source:</w:t>
      </w:r>
      <w:r>
        <w:t xml:space="preserve"> The evolving story of Borrelia burgdorferi sensu lato transmission in Europe — https://doi.org/10.1007/s00436-022-07445-3</w:t>
      </w:r>
    </w:p>
    <w:p>
      <w:pPr>
        <w:pStyle w:val="SourceNote"/>
      </w:pPr>
      <w:r>
        <w:rPr>
          <w:b/>
        </w:rPr>
        <w:t>Review status:</w:t>
      </w:r>
      <w:r>
        <w:t xml:space="preserve"> unchecked — possible relationship only</w:t>
      </w:r>
    </w:p>
    <w:p>
      <w:pPr>
        <w:pStyle w:val="Heading2"/>
      </w:pPr>
      <w:r>
        <w:t>234.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235. Claim + two later sources: Integrating foresight into government. Is it possible? Is it likely?</w:t>
      </w:r>
    </w:p>
    <w:p>
      <w:pPr>
        <w:pStyle w:val="SourceNote"/>
      </w:pPr>
      <w:r>
        <w:rPr>
          <w:b/>
        </w:rPr>
        <w:t>Group ID:</w:t>
      </w:r>
      <w:r>
        <w:t xml:space="preserve"> group-f38cb540b141b5164658</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An Informative Review of Radiomics Studies on Cancer Imaging: The Main Findings, Challenges and Limitations of the Methodologies — https://doi.org/10.3390/curroncol31010027</w:t>
      </w:r>
    </w:p>
    <w:p>
      <w:pPr/>
      <w:r>
        <w:rPr>
          <w:b/>
        </w:rPr>
        <w:t>Later source:</w:t>
      </w:r>
      <w:r>
        <w:t xml:space="preserve"> Genome-wide analyses of ADHD identify 27 risk loci, refine the genetic architecture and implicate several cognitive domains — https://doi.org/10.1038/s41588-022-01285-8</w:t>
      </w:r>
    </w:p>
    <w:p>
      <w:pPr>
        <w:pStyle w:val="SourceNote"/>
      </w:pPr>
      <w:r>
        <w:rPr>
          <w:b/>
        </w:rPr>
        <w:t>Review status:</w:t>
      </w:r>
      <w:r>
        <w:t xml:space="preserve"> unchecked — possible relationship only</w:t>
      </w:r>
    </w:p>
    <w:p>
      <w:pPr>
        <w:pStyle w:val="Heading2"/>
      </w:pPr>
      <w:r>
        <w:t>236. Claim + two later sources: An exploratory policy analysis of electric vehicle sales competition and sensitivity to infrastructure in Europe</w:t>
      </w:r>
    </w:p>
    <w:p>
      <w:pPr>
        <w:pStyle w:val="SourceNote"/>
      </w:pPr>
      <w:r>
        <w:rPr>
          <w:b/>
        </w:rPr>
        <w:t>Group ID:</w:t>
      </w:r>
      <w:r>
        <w:t xml:space="preserve"> group-ed18dec6ff3b51d3fbde</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 Charging Infrastructure and Electrification Dynamics in Europe: A Descriptive Assessment of Infrastructure Strain — https://doi.org/10.3390/en19092063</w:t>
      </w:r>
    </w:p>
    <w:p>
      <w:pPr/>
      <w:r>
        <w:rPr>
          <w:b/>
        </w:rPr>
        <w:t>Later source:</w:t>
      </w:r>
      <w:r>
        <w:t xml:space="preserve"> Electric Mobility and Smart Mobility Concepts—Restrained Uptake in German Cities — https://doi.org/10.3390/wevj10040081</w:t>
      </w:r>
    </w:p>
    <w:p>
      <w:pPr>
        <w:pStyle w:val="SourceNote"/>
      </w:pPr>
      <w:r>
        <w:rPr>
          <w:b/>
        </w:rPr>
        <w:t>Review status:</w:t>
      </w:r>
      <w:r>
        <w:t xml:space="preserve"> unchecked — possible relationship only</w:t>
      </w:r>
    </w:p>
    <w:p>
      <w:pPr>
        <w:pStyle w:val="Heading2"/>
      </w:pPr>
      <w:r>
        <w:t>237. Claim + two later sources: CORPORATE FORESIGHT AND ASSESSMENT OF INNOVATIVE ACTIVITY OF INDUSTRIAL ENTERPRISES</w:t>
      </w:r>
    </w:p>
    <w:p>
      <w:pPr>
        <w:pStyle w:val="SourceNote"/>
      </w:pPr>
      <w:r>
        <w:rPr>
          <w:b/>
        </w:rPr>
        <w:t>Group ID:</w:t>
      </w:r>
      <w:r>
        <w:t xml:space="preserve"> group-13b45bad2d930701bc80</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FORESIGHT METHODS TOOLS FOR INNOVATIVE MARKETING AND DIGITAL MARKET FORESIGHT — https://doi.org/10.20998/2313-8890.2025.12.08</w:t>
      </w:r>
    </w:p>
    <w:p>
      <w:pPr/>
      <w:r>
        <w:rPr>
          <w:b/>
        </w:rPr>
        <w:t>Later source:</w:t>
      </w:r>
      <w:r>
        <w:t xml:space="preserve"> Strategic foresight and management of energy security in Jordan : The mediating role of strategic agility — https://openalex.org/W7166258236</w:t>
      </w:r>
    </w:p>
    <w:p>
      <w:pPr>
        <w:pStyle w:val="SourceNote"/>
      </w:pPr>
      <w:r>
        <w:rPr>
          <w:b/>
        </w:rPr>
        <w:t>Review status:</w:t>
      </w:r>
      <w:r>
        <w:t xml:space="preserve"> unchecked — possible relationship only</w:t>
      </w:r>
    </w:p>
    <w:p>
      <w:pPr>
        <w:pStyle w:val="Heading2"/>
      </w:pPr>
      <w:r>
        <w:t>238. Claim + two later sources: Varying soil moisture–atmosphere feedbacks explain divergent temperature extremes and precipitation projections in central Europe</w:t>
      </w:r>
    </w:p>
    <w:p>
      <w:pPr>
        <w:pStyle w:val="SourceNote"/>
      </w:pPr>
      <w:r>
        <w:rPr>
          <w:b/>
        </w:rPr>
        <w:t>Group ID:</w:t>
      </w:r>
      <w:r>
        <w:t xml:space="preserve"> group-9d58c51677e1375f4339</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Civilizational Temperature: A CRTI-Based Heuristic Exploration of Long-Term System Dynamics (1000 BCE–2025 CE) — https://doi.org/10.5281/zenodo.19058865</w:t>
      </w:r>
    </w:p>
    <w:p>
      <w:pPr/>
      <w:r>
        <w:rPr>
          <w:b/>
        </w:rPr>
        <w:t>Later source:</w:t>
      </w:r>
      <w:r>
        <w:t xml:space="preserve"> Regional climate projections using a deep-learning–based model-ranking and downscaling framework: application to European climate zones — https://doi.org/10.1007/s11356-025-36872-9</w:t>
      </w:r>
    </w:p>
    <w:p>
      <w:pPr>
        <w:pStyle w:val="SourceNote"/>
      </w:pPr>
      <w:r>
        <w:rPr>
          <w:b/>
        </w:rPr>
        <w:t>Review status:</w:t>
      </w:r>
      <w:r>
        <w:t xml:space="preserve"> unchecked — possible relationship only</w:t>
      </w:r>
    </w:p>
    <w:p>
      <w:pPr>
        <w:pStyle w:val="Heading2"/>
      </w:pPr>
      <w:r>
        <w:t>239.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240. Claim + two later sources: Long-term outlook for wood construction in Europe</w:t>
      </w:r>
    </w:p>
    <w:p>
      <w:pPr>
        <w:pStyle w:val="SourceNote"/>
      </w:pPr>
      <w:r>
        <w:rPr>
          <w:b/>
        </w:rPr>
        <w:t>Group ID:</w:t>
      </w:r>
      <w:r>
        <w:t xml:space="preserve"> group-b1b50dc31e024bfcb877</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Value creation and competitiveness in small European markets — https://doi.org/10.5281/zenodo.19133639</w:t>
      </w:r>
    </w:p>
    <w:p>
      <w:pPr/>
      <w:r>
        <w:rPr>
          <w:b/>
        </w:rPr>
        <w:t>Later source:</w:t>
      </w:r>
      <w:r>
        <w:t xml:space="preserve"> Market analysis for Superhood Oy's European expansion — https://openalex.org/W7162354352</w:t>
      </w:r>
    </w:p>
    <w:p>
      <w:pPr>
        <w:pStyle w:val="SourceNote"/>
      </w:pPr>
      <w:r>
        <w:rPr>
          <w:b/>
        </w:rPr>
        <w:t>Review status:</w:t>
      </w:r>
      <w:r>
        <w:t xml:space="preserve"> unchecked — possible relationship only</w:t>
      </w:r>
    </w:p>
    <w:p>
      <w:pPr>
        <w:pStyle w:val="Heading2"/>
      </w:pPr>
      <w:r>
        <w:t>241. Claim + two later sources: Innovation policy and international relations: directions for EU diplomacy</w:t>
      </w:r>
    </w:p>
    <w:p>
      <w:pPr>
        <w:pStyle w:val="SourceNote"/>
      </w:pPr>
      <w:r>
        <w:rPr>
          <w:b/>
        </w:rPr>
        <w:t>Group ID:</w:t>
      </w:r>
      <w:r>
        <w:t xml:space="preserve"> group-39b3cc3224f68eb4b8c2</w:t>
      </w:r>
    </w:p>
    <w:p>
      <w:pPr>
        <w:pStyle w:val="SourceNote"/>
      </w:pPr>
      <w:r>
        <w:rPr>
          <w:b/>
        </w:rPr>
        <w:t>Original source:</w:t>
      </w:r>
      <w:r>
        <w:t xml:space="preserve"> https://doi.org/10.1186/s40309-019-0156-1</w:t>
      </w:r>
    </w:p>
    <w:p>
      <w:pPr/>
      <w:r>
        <w:rPr>
          <w:b/>
        </w:rPr>
        <w:t>Original future claim:</w:t>
      </w:r>
      <w:r>
        <w:t xml:space="preserve"> The final paragraph discusses what Europe can and should do in its external relations to provide adequate answers to the forces outlined in the three scenarios.</w:t>
      </w:r>
    </w:p>
    <w:p>
      <w:pPr/>
      <w:r>
        <w:rPr>
          <w:b/>
        </w:rPr>
        <w:t>Later source:</w:t>
      </w:r>
      <w:r>
        <w:t xml:space="preserve"> THE ROLE OF EUROPEAN CULTURAL CSOS IN FOSTERING THE EU’S EXTERNAL CULTURAL RELATIONS — https://doi.org/10.25234/eclic/38137</w:t>
      </w:r>
    </w:p>
    <w:p>
      <w:pPr/>
      <w:r>
        <w:rPr>
          <w:b/>
        </w:rPr>
        <w:t>Later source:</w:t>
      </w:r>
      <w:r>
        <w:t xml:space="preserve"> The Role of Paragraph in the Corpora of Annotated Texts — https://doi.org/10.28995/2075-7182-2022-21-273-283</w:t>
      </w:r>
    </w:p>
    <w:p>
      <w:pPr>
        <w:pStyle w:val="SourceNote"/>
      </w:pPr>
      <w:r>
        <w:rPr>
          <w:b/>
        </w:rPr>
        <w:t>Review status:</w:t>
      </w:r>
      <w:r>
        <w:t xml:space="preserve"> unchecked — possible relationship only</w:t>
      </w:r>
    </w:p>
    <w:p>
      <w:pPr>
        <w:pStyle w:val="Heading2"/>
      </w:pPr>
      <w:r>
        <w:t>242. Claim + two later sources: A ‘futures’ approach towards the wellbeing of future generations in Wales and beyond</w:t>
      </w:r>
    </w:p>
    <w:p>
      <w:pPr>
        <w:pStyle w:val="SourceNote"/>
      </w:pPr>
      <w:r>
        <w:rPr>
          <w:b/>
        </w:rPr>
        <w:t>Group ID:</w:t>
      </w:r>
      <w:r>
        <w:t xml:space="preserve"> group-400ca59f2db36dc5aa3c</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Developing an alternative medium for in-space biomanufacturing — https://doi.org/10.1038/s41467-025-56088-2</w:t>
      </w:r>
    </w:p>
    <w:p>
      <w:pPr/>
      <w:r>
        <w:rPr>
          <w:b/>
        </w:rPr>
        <w:t>Later source:</w:t>
      </w:r>
      <w:r>
        <w:t xml:space="preserve"> Scalar implicatures in children: alternatives and relevance — https://doi.org/10.58088/85gk-tw15</w:t>
      </w:r>
    </w:p>
    <w:p>
      <w:pPr>
        <w:pStyle w:val="SourceNote"/>
      </w:pPr>
      <w:r>
        <w:rPr>
          <w:b/>
        </w:rPr>
        <w:t>Review status:</w:t>
      </w:r>
      <w:r>
        <w:t xml:space="preserve"> unchecked — possible relationship only</w:t>
      </w:r>
    </w:p>
    <w:p>
      <w:pPr>
        <w:pStyle w:val="Heading2"/>
      </w:pPr>
      <w:r>
        <w:t>243. Claim + two later sources: Electromobility Scenarios: Research Findings to Inform Policy</w:t>
      </w:r>
    </w:p>
    <w:p>
      <w:pPr>
        <w:pStyle w:val="SourceNote"/>
      </w:pPr>
      <w:r>
        <w:rPr>
          <w:b/>
        </w:rPr>
        <w:t>Group ID:</w:t>
      </w:r>
      <w:r>
        <w:t xml:space="preserve"> group-26ece6abb06088bbcea5</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Geodiversity data for Europe — https://doi.org/10.1098/rsta.2023.0173</w:t>
      </w:r>
    </w:p>
    <w:p>
      <w:pPr/>
      <w:r>
        <w:rPr>
          <w:b/>
        </w:rPr>
        <w:t>Later source:</w:t>
      </w:r>
      <w:r>
        <w:t xml:space="preserve"> Assessing pesticide residues occurrence and risks in water systems: A Pan-European and Argentina perspective — https://doi.org/10.1016/j.watres.2024.121419</w:t>
      </w:r>
    </w:p>
    <w:p>
      <w:pPr>
        <w:pStyle w:val="SourceNote"/>
      </w:pPr>
      <w:r>
        <w:rPr>
          <w:b/>
        </w:rPr>
        <w:t>Review status:</w:t>
      </w:r>
      <w:r>
        <w:t xml:space="preserve"> unchecked — possible relationship only</w:t>
      </w:r>
    </w:p>
    <w:p>
      <w:pPr>
        <w:pStyle w:val="Heading2"/>
      </w:pPr>
      <w:r>
        <w:t>244. Claim + two later sources: The Future of Visitor Attractions in The Netherlands</w:t>
      </w:r>
    </w:p>
    <w:p>
      <w:pPr>
        <w:pStyle w:val="SourceNote"/>
      </w:pPr>
      <w:r>
        <w:rPr>
          <w:b/>
        </w:rPr>
        <w:t>Group ID:</w:t>
      </w:r>
      <w:r>
        <w:t xml:space="preserve"> group-bfc9c18f0bf45439a289</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Four Risks for Europe — https://doi.org/10.1007/978-3-032-29056-4_6</w:t>
      </w:r>
    </w:p>
    <w:p>
      <w:pPr>
        <w:pStyle w:val="SourceNote"/>
      </w:pPr>
      <w:r>
        <w:rPr>
          <w:b/>
        </w:rPr>
        <w:t>Review status:</w:t>
      </w:r>
      <w:r>
        <w:t xml:space="preserve"> unchecked — possible relationship only</w:t>
      </w:r>
    </w:p>
    <w:p>
      <w:pPr>
        <w:pStyle w:val="Heading2"/>
      </w:pPr>
      <w:r>
        <w:t>245. Claim + two later sources: Using Scenarios to Assess Policy Mixes for Resource Efficiency and Eco-Innovation in Different Fiscal Policy Frameworks</w:t>
      </w:r>
    </w:p>
    <w:p>
      <w:pPr>
        <w:pStyle w:val="SourceNote"/>
      </w:pPr>
      <w:r>
        <w:rPr>
          <w:b/>
        </w:rPr>
        <w:t>Group ID:</w:t>
      </w:r>
      <w:r>
        <w:t xml:space="preserve"> group-792404cc13e6f41baba3</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Foresight on Demand (FoD) Impact of the COVID-19 Pandemic on European Consumer Behaviour - Foresight Study — https://openalex.org/W7137724443</w:t>
      </w:r>
    </w:p>
    <w:p>
      <w:pPr>
        <w:pStyle w:val="SourceNote"/>
      </w:pPr>
      <w:r>
        <w:rPr>
          <w:b/>
        </w:rPr>
        <w:t>Review status:</w:t>
      </w:r>
      <w:r>
        <w:t xml:space="preserve"> unchecked — possible relationship only</w:t>
      </w:r>
    </w:p>
    <w:p>
      <w:pPr>
        <w:pStyle w:val="Heading2"/>
      </w:pPr>
      <w:r>
        <w:t>246. Claim + two later sources: Spatial Simulation of Codesigned Land Cover Change Scenarios in New England: Alternative Futures and Their Consequences for Conservation Priorities</w:t>
      </w:r>
    </w:p>
    <w:p>
      <w:pPr>
        <w:pStyle w:val="SourceNote"/>
      </w:pPr>
      <w:r>
        <w:rPr>
          <w:b/>
        </w:rPr>
        <w:t>Group ID:</w:t>
      </w:r>
      <w:r>
        <w:t xml:space="preserve"> group-9f923f5ecc0bfa63905d</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Preparing to Prepare a Manuscript — https://doi.org/10.1097/nur.0000000000000973</w:t>
      </w:r>
    </w:p>
    <w:p>
      <w:pPr/>
      <w:r>
        <w:rPr>
          <w:b/>
        </w:rPr>
        <w:t>Later source:</w:t>
      </w:r>
      <w:r>
        <w:t xml:space="preserve"> Blue Justice: diverging perceptions between coastal planners and fishers in the blue economy — https://doi.org/10.1007/s11625-026-01868-y</w:t>
      </w:r>
    </w:p>
    <w:p>
      <w:pPr>
        <w:pStyle w:val="SourceNote"/>
      </w:pPr>
      <w:r>
        <w:rPr>
          <w:b/>
        </w:rPr>
        <w:t>Review status:</w:t>
      </w:r>
      <w:r>
        <w:t xml:space="preserve"> unchecked — possible relationship only</w:t>
      </w:r>
    </w:p>
    <w:p>
      <w:pPr>
        <w:pStyle w:val="Heading2"/>
      </w:pPr>
      <w:r>
        <w:t>247. Claim + two later sources: Futuring European industry: assessing the ManuFuture road towards EU re-industrialization</w:t>
      </w:r>
    </w:p>
    <w:p>
      <w:pPr>
        <w:pStyle w:val="SourceNote"/>
      </w:pPr>
      <w:r>
        <w:rPr>
          <w:b/>
        </w:rPr>
        <w:t>Group ID:</w:t>
      </w:r>
      <w:r>
        <w:t xml:space="preserve"> group-bb3965057977a839919e</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Industrial energy transformation and multi-level governance: evidence from Germany — https://doi.org/10.32846/2306-9716/2026.eco.3-66.30</w:t>
      </w:r>
    </w:p>
    <w:p>
      <w:pPr/>
      <w:r>
        <w:rPr>
          <w:b/>
        </w:rPr>
        <w:t>Later source:</w:t>
      </w:r>
      <w:r>
        <w:t xml:space="preserve"> A network analysis of systemic risk in the European banking sector — https://doi.org/10.1007/s10203-026-00600-w</w:t>
      </w:r>
    </w:p>
    <w:p>
      <w:pPr>
        <w:pStyle w:val="SourceNote"/>
      </w:pPr>
      <w:r>
        <w:rPr>
          <w:b/>
        </w:rPr>
        <w:t>Review status:</w:t>
      </w:r>
      <w:r>
        <w:t xml:space="preserve"> unchecked — possible relationship only</w:t>
      </w:r>
    </w:p>
    <w:p>
      <w:pPr>
        <w:pStyle w:val="Heading2"/>
      </w:pPr>
      <w:r>
        <w:t>248. Claim + two later sources: THREE INVESTMENT SCENARIOS FOR  FUTURE NUCLEAR REACTORS IN EUROPE</w:t>
      </w:r>
    </w:p>
    <w:p>
      <w:pPr>
        <w:pStyle w:val="SourceNote"/>
      </w:pPr>
      <w:r>
        <w:rPr>
          <w:b/>
        </w:rPr>
        <w:t>Group ID:</w:t>
      </w:r>
      <w:r>
        <w:t xml:space="preserve"> group-b2fe5adcacc176537121</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Atomic rivers. The (Un)sustainability of nuclear power in an age of climate change — https://doi.org/10.1016/j.enpol.2025.114631</w:t>
      </w:r>
    </w:p>
    <w:p>
      <w:pPr>
        <w:pStyle w:val="SourceNote"/>
      </w:pPr>
      <w:r>
        <w:rPr>
          <w:b/>
        </w:rPr>
        <w:t>Review status:</w:t>
      </w:r>
      <w:r>
        <w:t xml:space="preserve"> unchecked — possible relationship only</w:t>
      </w:r>
    </w:p>
    <w:p>
      <w:pPr>
        <w:pStyle w:val="Heading2"/>
      </w:pPr>
      <w:r>
        <w:t>249. Claim + two later sources: A road map for explorative scenario creation on Belgian rail freight transport development</w:t>
      </w:r>
    </w:p>
    <w:p>
      <w:pPr>
        <w:pStyle w:val="SourceNote"/>
      </w:pPr>
      <w:r>
        <w:rPr>
          <w:b/>
        </w:rPr>
        <w:t>Group ID:</w:t>
      </w:r>
      <w:r>
        <w:t xml:space="preserve"> group-918f9938057c917aff93</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An Analysis of Interdisciplinary Thematic Clusters and Evolutionary Paths in Research on AI Music Creation — https://doi.org/10.17548/ksaf.2026.06.30.285</w:t>
      </w:r>
    </w:p>
    <w:p>
      <w:pPr/>
      <w:r>
        <w:rPr>
          <w:b/>
        </w:rPr>
        <w:t>Later source:</w:t>
      </w:r>
      <w:r>
        <w:t xml:space="preserve"> Integrating Global Knowledge for Dual Value Creation An Interdisciplinary Framework for Practice-Informed Social Entrepreneurship Education — https://doi.org/10.20381/ruor-32260</w:t>
      </w:r>
    </w:p>
    <w:p>
      <w:pPr>
        <w:pStyle w:val="SourceNote"/>
      </w:pPr>
      <w:r>
        <w:rPr>
          <w:b/>
        </w:rPr>
        <w:t>Review status:</w:t>
      </w:r>
      <w:r>
        <w:t xml:space="preserve"> unchecked — possible relationship only</w:t>
      </w:r>
    </w:p>
    <w:p>
      <w:pPr>
        <w:pStyle w:val="Heading2"/>
      </w:pPr>
      <w:r>
        <w:t>250. Claim + two later sources: Three scenarios for industrial relations in Europe</w:t>
      </w:r>
    </w:p>
    <w:p>
      <w:pPr>
        <w:pStyle w:val="SourceNote"/>
      </w:pPr>
      <w:r>
        <w:rPr>
          <w:b/>
        </w:rPr>
        <w:t>Group ID:</w:t>
      </w:r>
      <w:r>
        <w:t xml:space="preserve"> group-7706f521e72e8d9b6e67</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The future of the colonial system as assessed by experts of the Council on Foreign Relations during the Second World War — https://doi.org/10.48015/2076-7404-2025-17-1-141-161</w:t>
      </w:r>
    </w:p>
    <w:p>
      <w:pPr/>
      <w:r>
        <w:rPr>
          <w:b/>
        </w:rPr>
        <w:t>Later source:</w:t>
      </w:r>
      <w:r>
        <w:t xml:space="preserve"> Digital Currencies in Context: A Cross-Regional Study of Blockchain Adoption in the U.S. and Europe — https://doi.org/10.33423/jabe.v27i6.7943</w:t>
      </w:r>
    </w:p>
    <w:p>
      <w:pPr>
        <w:pStyle w:val="SourceNote"/>
      </w:pPr>
      <w:r>
        <w:rPr>
          <w:b/>
        </w:rPr>
        <w:t>Review status:</w:t>
      </w:r>
      <w:r>
        <w:t xml:space="preserve"> unchecked — possible relationship only</w:t>
      </w:r>
    </w:p>
    <w:p>
      <w:pPr>
        <w:pStyle w:val="Heading2"/>
      </w:pPr>
      <w:r>
        <w:t>251. Claim + two later sources: Education in an uncertain future: Two scenarios</w:t>
      </w:r>
    </w:p>
    <w:p>
      <w:pPr>
        <w:pStyle w:val="SourceNote"/>
      </w:pPr>
      <w:r>
        <w:rPr>
          <w:b/>
        </w:rPr>
        <w:t>Group ID:</w:t>
      </w:r>
      <w:r>
        <w:t xml:space="preserve"> group-809e1c939339c2923a04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 erstwhile state of Jammu and Kashmir: a constitutional lens to examine In Re: Article 370 of the Constitution — https://doi.org/10.1080/24730580.2026.2644745</w:t>
      </w:r>
    </w:p>
    <w:p>
      <w:pPr/>
      <w:r>
        <w:rPr>
          <w:b/>
        </w:rPr>
        <w:t>Later source:</w:t>
      </w:r>
      <w:r>
        <w:t xml:space="preserve"> MORPHOLOGICAL MEANS AND STYLISTICS: NOUN, ARTICLE, PRONOUN, ADJECTIVE, VERB — https://doi.org/10.5281/zenodo.19602675</w:t>
      </w:r>
    </w:p>
    <w:p>
      <w:pPr>
        <w:pStyle w:val="SourceNote"/>
      </w:pPr>
      <w:r>
        <w:rPr>
          <w:b/>
        </w:rPr>
        <w:t>Review status:</w:t>
      </w:r>
      <w:r>
        <w:t xml:space="preserve"> unchecked — possible relationship only</w:t>
      </w:r>
    </w:p>
    <w:p>
      <w:pPr>
        <w:pStyle w:val="Heading2"/>
      </w:pPr>
      <w:r>
        <w:t>252. Claim + two later sources: Fiscal sustainability and the accuracy of macroeconomic forecasts: Do supranational forecasts rather than government forecasts make a difference?</w:t>
      </w:r>
    </w:p>
    <w:p>
      <w:pPr>
        <w:pStyle w:val="SourceNote"/>
      </w:pPr>
      <w:r>
        <w:rPr>
          <w:b/>
        </w:rPr>
        <w:t>Group ID:</w:t>
      </w:r>
      <w:r>
        <w:t xml:space="preserve"> group-52b99183f29d2aa2b349</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Estimation of an efficient benchmark portfolio for the Eastern European market — https://doi.org/10.51680/ev.37.1.1</w:t>
      </w:r>
    </w:p>
    <w:p>
      <w:pPr/>
      <w:r>
        <w:rPr>
          <w:b/>
        </w:rPr>
        <w:t>Later source:</w:t>
      </w:r>
      <w:r>
        <w:t xml:space="preserve"> Optimizing polypharmacy management in the elderly: a comprehensive European benchmarking survey and the development of an innovative online benchmarking application — https://doi.org/10.3389/fphar.2023.1254912</w:t>
      </w:r>
    </w:p>
    <w:p>
      <w:pPr>
        <w:pStyle w:val="SourceNote"/>
      </w:pPr>
      <w:r>
        <w:rPr>
          <w:b/>
        </w:rPr>
        <w:t>Review status:</w:t>
      </w:r>
      <w:r>
        <w:t xml:space="preserve"> unchecked — possible relationship only</w:t>
      </w:r>
    </w:p>
    <w:p>
      <w:pPr>
        <w:pStyle w:val="Heading2"/>
      </w:pPr>
      <w:r>
        <w:t>253. Claim + two later sources: Shared Socio-economic Pathways for European agriculture and food systems: The Eur-Agri-SSPs</w:t>
      </w:r>
    </w:p>
    <w:p>
      <w:pPr>
        <w:pStyle w:val="SourceNote"/>
      </w:pPr>
      <w:r>
        <w:rPr>
          <w:b/>
        </w:rPr>
        <w:t>Group ID:</w:t>
      </w:r>
      <w:r>
        <w:t xml:space="preserve"> group-759767af802046fe9713</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Multicentre evaluation of a selective isolation protocol for detection of mcr-positive E. coli and Salmonella spp. in food-producing animals and meat — https://doi.org/10.1111/lam.13717</w:t>
      </w:r>
    </w:p>
    <w:p>
      <w:pPr/>
      <w:r>
        <w:rPr>
          <w:b/>
        </w:rPr>
        <w:t>Later source:</w:t>
      </w:r>
      <w:r>
        <w:t xml:space="preserve"> Implementation of a pan-European ecosystem and an interoperable platform for Smart and Healthy Ageing in Europe: An Innovation Action research protocol — https://doi.org/10.12688/openreseurope.14827.1</w:t>
      </w:r>
    </w:p>
    <w:p>
      <w:pPr>
        <w:pStyle w:val="SourceNote"/>
      </w:pPr>
      <w:r>
        <w:rPr>
          <w:b/>
        </w:rPr>
        <w:t>Review status:</w:t>
      </w:r>
      <w:r>
        <w:t xml:space="preserve"> unchecked — possible relationship only</w:t>
      </w:r>
    </w:p>
    <w:p>
      <w:pPr>
        <w:pStyle w:val="Heading2"/>
      </w:pPr>
      <w:r>
        <w:t>254. Claim + two later sources: Flexible electricity generation, grid exchange and storage for the transition to a 100% renewable energy system in Europe</w:t>
      </w:r>
    </w:p>
    <w:p>
      <w:pPr>
        <w:pStyle w:val="SourceNote"/>
      </w:pPr>
      <w:r>
        <w:rPr>
          <w:b/>
        </w:rPr>
        <w:t>Group ID:</w:t>
      </w:r>
      <w:r>
        <w:t xml:space="preserve"> group-61cf837199c1497c688a</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Narrating power: the European Commission and the geopolitics of the energy transition — https://doi.org/10.1080/09662839.2025.2599239</w:t>
      </w:r>
    </w:p>
    <w:p>
      <w:pPr/>
      <w:r>
        <w:rPr>
          <w:b/>
        </w:rPr>
        <w:t>Later source:</w:t>
      </w:r>
      <w:r>
        <w:t xml:space="preserve"> Editorial: Just energy transitions for Europe and beyond — https://doi.org/10.3389/fpos.2026.1815295</w:t>
      </w:r>
    </w:p>
    <w:p>
      <w:pPr>
        <w:pStyle w:val="SourceNote"/>
      </w:pPr>
      <w:r>
        <w:rPr>
          <w:b/>
        </w:rPr>
        <w:t>Review status:</w:t>
      </w:r>
      <w:r>
        <w:t xml:space="preserve"> unchecked — possible relationship only</w:t>
      </w:r>
    </w:p>
    <w:p>
      <w:pPr>
        <w:pStyle w:val="Heading2"/>
      </w:pPr>
      <w:r>
        <w:t>255. Claim + two later sources: Consequences of Enduring Low Fertility – A German Case Study. Demographic Projections and Implications for Different Policy Fields</w:t>
      </w:r>
    </w:p>
    <w:p>
      <w:pPr>
        <w:pStyle w:val="SourceNote"/>
      </w:pPr>
      <w:r>
        <w:rPr>
          <w:b/>
        </w:rPr>
        <w:t>Group ID:</w:t>
      </w:r>
      <w:r>
        <w:t xml:space="preserve"> group-9d3fd92b6755a102f5cf</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Books: The Golden Rule: Lessons in Living from a Doctor of Ageing — https://doi.org/10.3399/bjgp26x746265</w:t>
      </w:r>
    </w:p>
    <w:p>
      <w:pPr/>
      <w:r>
        <w:rPr>
          <w:b/>
        </w:rPr>
        <w:t>Later source:</w:t>
      </w:r>
      <w:r>
        <w:t xml:space="preserve"> Democracy, Ageing, Disability — https://doi.org/10.17454/pam-2811</w:t>
      </w:r>
    </w:p>
    <w:p>
      <w:pPr>
        <w:pStyle w:val="SourceNote"/>
      </w:pPr>
      <w:r>
        <w:rPr>
          <w:b/>
        </w:rPr>
        <w:t>Review status:</w:t>
      </w:r>
      <w:r>
        <w:t xml:space="preserve"> unchecked — possible relationship only</w:t>
      </w:r>
    </w:p>
    <w:p>
      <w:pPr>
        <w:pStyle w:val="Heading2"/>
      </w:pPr>
      <w:r>
        <w:t>256. Claim + two later sources: A look into the future of the COVID-19 pandemic in Europe: an expert consultation</w:t>
      </w:r>
    </w:p>
    <w:p>
      <w:pPr>
        <w:pStyle w:val="SourceNote"/>
      </w:pPr>
      <w:r>
        <w:rPr>
          <w:b/>
        </w:rPr>
        <w:t>Group ID:</w:t>
      </w:r>
      <w:r>
        <w:t xml:space="preserve"> group-f0fc1a04818b46d9318f</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Modern challenges, risks and threats to the European Union — https://doi.org/10.5937/bezbednost2601147i</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pStyle w:val="SourceNote"/>
      </w:pPr>
      <w:r>
        <w:rPr>
          <w:b/>
        </w:rPr>
        <w:t>Review status:</w:t>
      </w:r>
      <w:r>
        <w:t xml:space="preserve"> unchecked — possible relationship only</w:t>
      </w:r>
    </w:p>
    <w:p>
      <w:pPr>
        <w:pStyle w:val="Heading2"/>
      </w:pPr>
      <w:r>
        <w:t>257.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group-44264db1b939cc121336</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Assessment of Trends and Uncertainties in the Atmospheric Boundary Layer Height Estimated Using Radiosounding Observations over Europe — https://doi.org/10.3390/atmos12030301</w:t>
      </w:r>
    </w:p>
    <w:p>
      <w:pPr>
        <w:pStyle w:val="SourceNote"/>
      </w:pPr>
      <w:r>
        <w:rPr>
          <w:b/>
        </w:rPr>
        <w:t>Review status:</w:t>
      </w:r>
      <w:r>
        <w:t xml:space="preserve"> unchecked — possible relationship only</w:t>
      </w:r>
    </w:p>
    <w:p>
      <w:pPr>
        <w:pStyle w:val="Heading2"/>
      </w:pPr>
      <w:r>
        <w:t>258.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259. Claim + two later sources: Shaping the ‘Energy Union': between national positions and governance innovation in EU energy and climate policy</w:t>
      </w:r>
    </w:p>
    <w:p>
      <w:pPr>
        <w:pStyle w:val="SourceNote"/>
      </w:pPr>
      <w:r>
        <w:rPr>
          <w:b/>
        </w:rPr>
        <w:t>Group ID:</w:t>
      </w:r>
      <w:r>
        <w:t xml:space="preserve"> group-892e4df11f92275a84fa</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A New Idea(l) for Europe: Report on the Future of Cosmopolitanism in Europe — https://doi.org/10.17185/duepublico/74426</w:t>
      </w:r>
    </w:p>
    <w:p>
      <w:pPr>
        <w:pStyle w:val="SourceNote"/>
      </w:pPr>
      <w:r>
        <w:rPr>
          <w:b/>
        </w:rPr>
        <w:t>Review status:</w:t>
      </w:r>
      <w:r>
        <w:t xml:space="preserve"> unchecked — possible relationship only</w:t>
      </w:r>
    </w:p>
    <w:p>
      <w:pPr>
        <w:pStyle w:val="Heading2"/>
      </w:pPr>
      <w:r>
        <w:t>260. Claim + two later sources: Trends and Possible Future Developments in Global Forest-Product Markets—Implications for the Swedish Forest Sector</w:t>
      </w:r>
    </w:p>
    <w:p>
      <w:pPr>
        <w:pStyle w:val="SourceNote"/>
      </w:pPr>
      <w:r>
        <w:rPr>
          <w:b/>
        </w:rPr>
        <w:t>Group ID:</w:t>
      </w:r>
      <w:r>
        <w:t xml:space="preserve"> group-dbaea23fcf4cd0c1eddc</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Artificial Intelligence-Empowered Radiology—Current Status and Critical Review — https://doi.org/10.3390/diagnostics15030282</w:t>
      </w:r>
    </w:p>
    <w:p>
      <w:pPr/>
      <w:r>
        <w:rPr>
          <w:b/>
        </w:rPr>
        <w:t>Later source:</w:t>
      </w:r>
      <w:r>
        <w:t xml:space="preserve"> Uncertainty quantification for overshoots of tipping thresholds — https://doi.org/10.5194/esd-16-1153-2025</w:t>
      </w:r>
    </w:p>
    <w:p>
      <w:pPr>
        <w:pStyle w:val="SourceNote"/>
      </w:pPr>
      <w:r>
        <w:rPr>
          <w:b/>
        </w:rPr>
        <w:t>Review status:</w:t>
      </w:r>
      <w:r>
        <w:t xml:space="preserve"> unchecked — possible relationship only</w:t>
      </w:r>
    </w:p>
    <w:p>
      <w:pPr>
        <w:pStyle w:val="Heading2"/>
      </w:pPr>
      <w:r>
        <w:t>261. Claim + two later sources: Energy Portfolio of the Eastern Poland Macroregion in the European Union</w:t>
      </w:r>
    </w:p>
    <w:p>
      <w:pPr>
        <w:pStyle w:val="SourceNote"/>
      </w:pPr>
      <w:r>
        <w:rPr>
          <w:b/>
        </w:rPr>
        <w:t>Group ID:</w:t>
      </w:r>
      <w:r>
        <w:t xml:space="preserve"> group-b7a55179c5752908eeb0</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Source code for "How Much EEG Is Needed for Deep Learning with Convolutional Neural Networks? Predicting the Benefit from Additional Data" — https://doi.org/10.5281/zenodo.18403059</w:t>
      </w:r>
    </w:p>
    <w:p>
      <w:pPr/>
      <w:r>
        <w:rPr>
          <w:b/>
        </w:rPr>
        <w:t>Later source:</w:t>
      </w:r>
      <w:r>
        <w:t xml:space="preserve"> The predictors of party group bargaining success in the European Parliament — https://doi.org/10.1177/14651165261423104</w:t>
      </w:r>
    </w:p>
    <w:p>
      <w:pPr>
        <w:pStyle w:val="SourceNote"/>
      </w:pPr>
      <w:r>
        <w:rPr>
          <w:b/>
        </w:rPr>
        <w:t>Review status:</w:t>
      </w:r>
      <w:r>
        <w:t xml:space="preserve"> unchecked — possible relationship only</w:t>
      </w:r>
    </w:p>
    <w:p>
      <w:pPr>
        <w:pStyle w:val="Heading2"/>
      </w:pPr>
      <w:r>
        <w:t>262. Claim + two later sources: Future air quality in Europe: a multi-model assessment of projected exposure to ozone</w:t>
      </w:r>
    </w:p>
    <w:p>
      <w:pPr>
        <w:pStyle w:val="SourceNote"/>
      </w:pPr>
      <w:r>
        <w:rPr>
          <w:b/>
        </w:rPr>
        <w:t>Group ID:</w:t>
      </w:r>
      <w:r>
        <w:t xml:space="preserve"> group-f4529bc25db4fc4431ec</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Clean air in Europe for all — https://doi.org/10.1097/ee9.0000000000000245</w:t>
      </w:r>
    </w:p>
    <w:p>
      <w:pPr/>
      <w:r>
        <w:rPr>
          <w:b/>
        </w:rPr>
        <w:t>Later source:</w:t>
      </w:r>
      <w:r>
        <w:t xml:space="preserve"> Spatial heterogeneity of air pollution statistics in Europe — https://doi.org/10.1038/s41598-022-16109-2</w:t>
      </w:r>
    </w:p>
    <w:p>
      <w:pPr>
        <w:pStyle w:val="SourceNote"/>
      </w:pPr>
      <w:r>
        <w:rPr>
          <w:b/>
        </w:rPr>
        <w:t>Review status:</w:t>
      </w:r>
      <w:r>
        <w:t xml:space="preserve"> unchecked — possible relationship only</w:t>
      </w:r>
    </w:p>
    <w:p>
      <w:pPr>
        <w:pStyle w:val="Heading2"/>
      </w:pPr>
      <w:r>
        <w:t>263. Claim + two later sources: The future of trade unions in Croatia – various stakeholders’ perspectives</w:t>
      </w:r>
    </w:p>
    <w:p>
      <w:pPr>
        <w:pStyle w:val="SourceNote"/>
      </w:pPr>
      <w:r>
        <w:rPr>
          <w:b/>
        </w:rPr>
        <w:t>Group ID:</w:t>
      </w:r>
      <w:r>
        <w:t xml:space="preserve"> group-50986e7a10f1c0c024a7</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Trump's Trade Gambit: Chaos as a Calculated Strategy — https://doi.org/10.1177/00207020261439150</w:t>
      </w:r>
    </w:p>
    <w:p>
      <w:pPr/>
      <w:r>
        <w:rPr>
          <w:b/>
        </w:rPr>
        <w:t>Later source:</w:t>
      </w:r>
      <w:r>
        <w:t xml:space="preserve"> Exploring the European Road Freight Transport Survey: Potentials, Challenges, and Limitations — https://doi.org/10.1016/j.trpro.2026.04.188</w:t>
      </w:r>
    </w:p>
    <w:p>
      <w:pPr>
        <w:pStyle w:val="SourceNote"/>
      </w:pPr>
      <w:r>
        <w:rPr>
          <w:b/>
        </w:rPr>
        <w:t>Review status:</w:t>
      </w:r>
      <w:r>
        <w:t xml:space="preserve"> unchecked — possible relationship only</w:t>
      </w:r>
    </w:p>
    <w:p>
      <w:pPr>
        <w:pStyle w:val="Heading2"/>
      </w:pPr>
      <w:r>
        <w:t>264.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265. Claim + two later sources: Toward a Diagnostic Tool for Organizational Ethical Culture With Futures Thinking and Scenario Planning</w:t>
      </w:r>
    </w:p>
    <w:p>
      <w:pPr>
        <w:pStyle w:val="SourceNote"/>
      </w:pPr>
      <w:r>
        <w:rPr>
          <w:b/>
        </w:rPr>
        <w:t>Group ID:</w:t>
      </w:r>
      <w:r>
        <w:t xml:space="preserve"> group-640f70f7cb2884765d7e</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Mapping the Evidence on Antimicrobial Resistance Transmission in Mass Gatherings: A Scoping Review — https://doi.org/10.17605/osf.io/9hq5t</w:t>
      </w:r>
    </w:p>
    <w:p>
      <w:pPr/>
      <w:r>
        <w:rPr>
          <w:b/>
        </w:rPr>
        <w:t>Later source:</w:t>
      </w:r>
      <w:r>
        <w:t xml:space="preserve"> Adoption of Digital Micro Wakaf Bank by Ultra-Micro and Micro Businesses in Indonesia — https://doi.org/10.62159/sembj.v7i2.2237</w:t>
      </w:r>
    </w:p>
    <w:p>
      <w:pPr>
        <w:pStyle w:val="SourceNote"/>
      </w:pPr>
      <w:r>
        <w:rPr>
          <w:b/>
        </w:rPr>
        <w:t>Review status:</w:t>
      </w:r>
      <w:r>
        <w:t xml:space="preserve"> unchecked — possible relationship only</w:t>
      </w:r>
    </w:p>
    <w:p>
      <w:pPr>
        <w:pStyle w:val="Heading2"/>
      </w:pPr>
      <w:r>
        <w:t>266. Claim + two later sources: Scenarios for the Development of Multimodal Transport in the TRITIA Cross-Border Area</w:t>
      </w:r>
    </w:p>
    <w:p>
      <w:pPr>
        <w:pStyle w:val="SourceNote"/>
      </w:pPr>
      <w:r>
        <w:rPr>
          <w:b/>
        </w:rPr>
        <w:t>Group ID:</w:t>
      </w:r>
      <w:r>
        <w:t xml:space="preserve"> group-748dd2e1c96a607aef92</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Factors determining digitalization in Polish companies in the context of the European industrial strategy — https://doi.org/10.29119/1641-3466.2026.246.5</w:t>
      </w:r>
    </w:p>
    <w:p>
      <w:pPr/>
      <w:r>
        <w:rPr>
          <w:b/>
        </w:rPr>
        <w:t>Later source:</w:t>
      </w:r>
      <w:r>
        <w:t xml:space="preserve"> Pedoclimatic, knowledge and management factors drive European soybean and faba bean yields — https://doi.org/10.1007/s13593-025-01056-9</w:t>
      </w:r>
    </w:p>
    <w:p>
      <w:pPr>
        <w:pStyle w:val="SourceNote"/>
      </w:pPr>
      <w:r>
        <w:rPr>
          <w:b/>
        </w:rPr>
        <w:t>Review status:</w:t>
      </w:r>
      <w:r>
        <w:t xml:space="preserve"> unchecked — possible relationship only</w:t>
      </w:r>
    </w:p>
    <w:p>
      <w:pPr>
        <w:pStyle w:val="Heading2"/>
      </w:pPr>
      <w:r>
        <w:t>267. Claim + two later sources: Central Europe: Possible Scenarios</w:t>
      </w:r>
    </w:p>
    <w:p>
      <w:pPr>
        <w:pStyle w:val="SourceNote"/>
      </w:pPr>
      <w:r>
        <w:rPr>
          <w:b/>
        </w:rPr>
        <w:t>Group ID:</w:t>
      </w:r>
      <w:r>
        <w:t xml:space="preserve"> group-511a87e7f8675fe00c14</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SPES Explorer European Pressing Issues Dashboard — https://doi.org/10.5281/zenodo.18479791</w:t>
      </w:r>
    </w:p>
    <w:p>
      <w:pPr/>
      <w:r>
        <w:rPr>
          <w:b/>
        </w:rPr>
        <w:t>Later source:</w:t>
      </w:r>
      <w:r>
        <w:t xml:space="preserve"> Feeling responsible, feeling better? The climate-happiness link across European Union — https://doi.org/10.71014/sieds.v80i2.563</w:t>
      </w:r>
    </w:p>
    <w:p>
      <w:pPr>
        <w:pStyle w:val="SourceNote"/>
      </w:pPr>
      <w:r>
        <w:rPr>
          <w:b/>
        </w:rPr>
        <w:t>Review status:</w:t>
      </w:r>
      <w:r>
        <w:t xml:space="preserve"> unchecked — possible relationship only</w:t>
      </w:r>
    </w:p>
    <w:p>
      <w:pPr>
        <w:pStyle w:val="Heading2"/>
      </w:pPr>
      <w:r>
        <w:t>268. Claim + two later sources: Cross-border climate vulnerabilities of the European Union to drought</w:t>
      </w:r>
    </w:p>
    <w:p>
      <w:pPr>
        <w:pStyle w:val="SourceNote"/>
      </w:pPr>
      <w:r>
        <w:rPr>
          <w:b/>
        </w:rPr>
        <w:t>Group ID:</w:t>
      </w:r>
      <w:r>
        <w:t xml:space="preserve"> group-94816b19f01866aba4cd</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Drought Impacts on Agricultural Production Across EU Regions — https://doi.org/10.1007/s40797-026-00379-0</w:t>
      </w:r>
    </w:p>
    <w:p>
      <w:pPr>
        <w:pStyle w:val="SourceNote"/>
      </w:pPr>
      <w:r>
        <w:rPr>
          <w:b/>
        </w:rPr>
        <w:t>Review status:</w:t>
      </w:r>
      <w:r>
        <w:t xml:space="preserve"> unchecked — possible relationship only</w:t>
      </w:r>
    </w:p>
    <w:p>
      <w:pPr>
        <w:pStyle w:val="Heading2"/>
      </w:pPr>
      <w:r>
        <w:t>269.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possible relationship only</w:t>
      </w:r>
    </w:p>
    <w:p>
      <w:pPr>
        <w:pStyle w:val="Heading2"/>
      </w:pPr>
      <w:r>
        <w:t>270. Claim + two later sources: Energy transition scenarios: What policies, societal attitudes, and technology developments will realize the EU Green Deal?</w:t>
      </w:r>
    </w:p>
    <w:p>
      <w:pPr>
        <w:pStyle w:val="SourceNote"/>
      </w:pPr>
      <w:r>
        <w:rPr>
          <w:b/>
        </w:rPr>
        <w:t>Group ID:</w:t>
      </w:r>
      <w:r>
        <w:t xml:space="preserve"> group-a3cc214257e5788bbeed</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European Energy Vision 2060: Charting Diverse Pathways for Europe's Energy Transition — https://doi.org/10.48550/arxiv.2501.12993</w:t>
      </w:r>
    </w:p>
    <w:p>
      <w:pPr>
        <w:pStyle w:val="SourceNote"/>
      </w:pPr>
      <w:r>
        <w:rPr>
          <w:b/>
        </w:rPr>
        <w:t>Review status:</w:t>
      </w:r>
      <w:r>
        <w:t xml:space="preserve"> unchecked — possible relationship only</w:t>
      </w:r>
    </w:p>
    <w:p>
      <w:pPr>
        <w:pStyle w:val="Heading2"/>
      </w:pPr>
      <w:r>
        <w:t>271. Claim + two later sources: Five transition pathways to renewable energy futures—scenarios from a Delphi study on key drivers and policy options</w:t>
      </w:r>
    </w:p>
    <w:p>
      <w:pPr>
        <w:pStyle w:val="SourceNote"/>
      </w:pPr>
      <w:r>
        <w:rPr>
          <w:b/>
        </w:rPr>
        <w:t>Group ID:</w:t>
      </w:r>
      <w:r>
        <w:t xml:space="preserve"> group-25f98c219b79659dbcc2</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Framing the Climate Crisis in European Media: A Comparative Study of Five Major News Outlets — https://doi.org/10.5281/zenodo.22795894</w:t>
      </w:r>
    </w:p>
    <w:p>
      <w:pPr/>
      <w:r>
        <w:rPr>
          <w:b/>
        </w:rPr>
        <w:t>Later source:</w:t>
      </w:r>
      <w:r>
        <w:t xml:space="preserve"> A computational analysis of the media coverage of the European Parliament's ‘green' Designation on sustainable energy and climate change — https://doi.org/10.1016/j.enpol.2025.114592</w:t>
      </w:r>
    </w:p>
    <w:p>
      <w:pPr>
        <w:pStyle w:val="SourceNote"/>
      </w:pPr>
      <w:r>
        <w:rPr>
          <w:b/>
        </w:rPr>
        <w:t>Review status:</w:t>
      </w:r>
      <w:r>
        <w:t xml:space="preserve"> unchecked — possible relationship only</w:t>
      </w:r>
    </w:p>
    <w:p>
      <w:pPr>
        <w:pStyle w:val="Heading2"/>
      </w:pPr>
      <w:r>
        <w:t>272. Claim + two later sources: European Union, transnational terrorism and the strategic choice of counterterrorism policies in democratic countries</w:t>
      </w:r>
    </w:p>
    <w:p>
      <w:pPr>
        <w:pStyle w:val="SourceNote"/>
      </w:pPr>
      <w:r>
        <w:rPr>
          <w:b/>
        </w:rPr>
        <w:t>Group ID:</w:t>
      </w:r>
      <w:r>
        <w:t xml:space="preserve"> group-d4de4893c500d527a2cf</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Resilience in Post-Truth and Post-Digital European Union: Youth-Led Civil Society Organisations in the 2024 European Elections — https://doi.org/10.1285/i20356609v19i1p94</w:t>
      </w:r>
    </w:p>
    <w:p>
      <w:pPr/>
      <w:r>
        <w:rPr>
          <w:b/>
        </w:rPr>
        <w:t>Later source:</w:t>
      </w:r>
      <w:r>
        <w:t xml:space="preserve"> The Role of the European Union and the Council of Europe in Promoting Democracy: The Case of the South Caucasus States — https://doi.org/10.54503/2579-2903-2026.1-183</w:t>
      </w:r>
    </w:p>
    <w:p>
      <w:pPr>
        <w:pStyle w:val="SourceNote"/>
      </w:pPr>
      <w:r>
        <w:rPr>
          <w:b/>
        </w:rPr>
        <w:t>Review status:</w:t>
      </w:r>
      <w:r>
        <w:t xml:space="preserve"> unchecked — possible relationship only</w:t>
      </w:r>
    </w:p>
    <w:p>
      <w:pPr>
        <w:pStyle w:val="Heading2"/>
      </w:pPr>
      <w:r>
        <w:t>273. Claim + two later sources: Biotechnology versus agroecology: Entrenchments and surprise at a 2030 forecast scenario workshop</w:t>
      </w:r>
    </w:p>
    <w:p>
      <w:pPr>
        <w:pStyle w:val="SourceNote"/>
      </w:pPr>
      <w:r>
        <w:rPr>
          <w:b/>
        </w:rPr>
        <w:t>Group ID:</w:t>
      </w:r>
      <w:r>
        <w:t xml:space="preserve"> group-d2b3466245cf95b2f024</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Improving the methodology for the comprehensive assessment of the working conditions of workers in the foundry — https://doi.org/10.21122/1683-6065-2026-2-143-150</w:t>
      </w:r>
    </w:p>
    <w:p>
      <w:pPr/>
      <w:r>
        <w:rPr>
          <w:b/>
        </w:rPr>
        <w:t>Later source:</w:t>
      </w:r>
      <w:r>
        <w:t xml:space="preserve"> Experience on Training among the Participants of Teaching Methodology and Assessment — https://doi.org/10.3329/cmoshmcj.v23i1.78514</w:t>
      </w:r>
    </w:p>
    <w:p>
      <w:pPr>
        <w:pStyle w:val="SourceNote"/>
      </w:pPr>
      <w:r>
        <w:rPr>
          <w:b/>
        </w:rPr>
        <w:t>Review status:</w:t>
      </w:r>
      <w:r>
        <w:t xml:space="preserve"> unchecked — possible relationship only</w:t>
      </w:r>
    </w:p>
    <w:p>
      <w:pPr>
        <w:pStyle w:val="Heading2"/>
      </w:pPr>
      <w:r>
        <w:t>274. Claim + two later sources: Occupational Structure in European Countries: What do Forecasts Predict?</w:t>
      </w:r>
    </w:p>
    <w:p>
      <w:pPr>
        <w:pStyle w:val="SourceNote"/>
      </w:pPr>
      <w:r>
        <w:rPr>
          <w:b/>
        </w:rPr>
        <w:t>Group ID:</w:t>
      </w:r>
      <w:r>
        <w:t xml:space="preserve"> group-3d5e00cb5a51a97e9eee</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Digital communication and occupational well-being in 25 European countries — https://doi.org/10.1007/s10111-026-00902-4</w:t>
      </w:r>
    </w:p>
    <w:p>
      <w:pPr/>
      <w:r>
        <w:rPr>
          <w:b/>
        </w:rPr>
        <w:t>Later source:</w:t>
      </w:r>
      <w:r>
        <w:t xml:space="preserve"> Telework and Occupational Segregation in Europe — https://doi.org/10.3390/economies13100292</w:t>
      </w:r>
    </w:p>
    <w:p>
      <w:pPr>
        <w:pStyle w:val="SourceNote"/>
      </w:pPr>
      <w:r>
        <w:rPr>
          <w:b/>
        </w:rPr>
        <w:t>Review status:</w:t>
      </w:r>
      <w:r>
        <w:t xml:space="preserve"> unchecked — possible relationship only</w:t>
      </w:r>
    </w:p>
    <w:p>
      <w:pPr>
        <w:pStyle w:val="Heading2"/>
      </w:pPr>
      <w:r>
        <w:t>275. Claim + two later sources: What energy infrastructure will be needed by 2050 in the EU to support 1.5°C scenarios?</w:t>
      </w:r>
    </w:p>
    <w:p>
      <w:pPr>
        <w:pStyle w:val="SourceNote"/>
      </w:pPr>
      <w:r>
        <w:rPr>
          <w:b/>
        </w:rPr>
        <w:t>Group ID:</w:t>
      </w:r>
      <w:r>
        <w:t xml:space="preserve"> group-1676b2f607cf01f8de0c</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A combinatorial multi-objective optimisation model to support the design of urban renewable energy communities — https://doi.org/10.1016/j.apenergy.2026.127635</w:t>
      </w:r>
    </w:p>
    <w:p>
      <w:pPr/>
      <w:r>
        <w:rPr>
          <w:b/>
        </w:rPr>
        <w:t>Later source:</w:t>
      </w:r>
      <w:r>
        <w:t xml:space="preserve"> Energy and Emission Disutilities of Transport Modes Under Transport Innovation in the European Union — https://doi.org/10.3390/en19051346</w:t>
      </w:r>
    </w:p>
    <w:p>
      <w:pPr>
        <w:pStyle w:val="SourceNote"/>
      </w:pPr>
      <w:r>
        <w:rPr>
          <w:b/>
        </w:rPr>
        <w:t>Review status:</w:t>
      </w:r>
      <w:r>
        <w:t xml:space="preserve"> unchecked — possible relationship only</w:t>
      </w:r>
    </w:p>
    <w:p>
      <w:pPr>
        <w:pStyle w:val="Heading2"/>
      </w:pPr>
      <w:r>
        <w:t>276. Claim + two later sources: About global forecast of European Parliament TO 2035</w:t>
      </w:r>
    </w:p>
    <w:p>
      <w:pPr>
        <w:pStyle w:val="SourceNote"/>
      </w:pPr>
      <w:r>
        <w:rPr>
          <w:b/>
        </w:rPr>
        <w:t>Group ID:</w:t>
      </w:r>
      <w:r>
        <w:t xml:space="preserve"> group-47bc9abc9c43fab419a1</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STUDYING THE APPROACHES OF EUROPEAN COUNTRIES IN FORESIGHT STUDIES OF THE DEVELOPMENT OF SCIENCE AND GREEN TECHNOLOGIES FOR ADOPTING THEIR EXPERIENCE IN THE CONTEXT OF KAZAKHSTAN — https://doi.org/10.52676/1729-7885-2024-1-4-12</w:t>
      </w:r>
    </w:p>
    <w:p>
      <w:pPr/>
      <w:r>
        <w:rPr>
          <w:b/>
        </w:rPr>
        <w:t>Later source:</w:t>
      </w:r>
      <w:r>
        <w:t xml:space="preserve"> Parabolic Modeling Forecasts of Space and Time European Hydropower Production — https://doi.org/10.3390/pr12061098</w:t>
      </w:r>
    </w:p>
    <w:p>
      <w:pPr>
        <w:pStyle w:val="SourceNote"/>
      </w:pPr>
      <w:r>
        <w:rPr>
          <w:b/>
        </w:rPr>
        <w:t>Review status:</w:t>
      </w:r>
      <w:r>
        <w:t xml:space="preserve"> unchecked — possible relationship only</w:t>
      </w:r>
    </w:p>
    <w:p>
      <w:pPr>
        <w:pStyle w:val="Heading2"/>
      </w:pPr>
      <w:r>
        <w:t>277. Claim + two later sources: Above the Fog and the Fury: EU Strategic Policy Planning and the EU’s Future in Times of Global Uncertainty</w:t>
      </w:r>
    </w:p>
    <w:p>
      <w:pPr>
        <w:pStyle w:val="SourceNote"/>
      </w:pPr>
      <w:r>
        <w:rPr>
          <w:b/>
        </w:rPr>
        <w:t>Group ID:</w:t>
      </w:r>
      <w:r>
        <w:t xml:space="preserve"> group-a5ca639fa2da678072ec</w:t>
      </w:r>
    </w:p>
    <w:p>
      <w:pPr>
        <w:pStyle w:val="SourceNote"/>
      </w:pPr>
      <w:r>
        <w:rPr>
          <w:b/>
        </w:rPr>
        <w:t>Original source:</w:t>
      </w:r>
      <w:r>
        <w:t xml:space="preserve"> https://doi.org/10.54648/eerr2021005</w:t>
      </w:r>
    </w:p>
    <w:p>
      <w:pPr/>
      <w:r>
        <w:rPr>
          <w:b/>
        </w:rPr>
        <w:t>Original future claim:</w:t>
      </w:r>
      <w:r>
        <w:t xml:space="preserve"> Put simply, strategic planning and strategic foresight are disciplines that aim at identifying possible futures, mapping options and charting possible responses and strategic goals and as such support informed and sound policy-making.</w:t>
      </w:r>
    </w:p>
    <w:p>
      <w:pPr/>
      <w:r>
        <w:rPr>
          <w:b/>
        </w:rPr>
        <w:t>Later source:</w:t>
      </w:r>
      <w:r>
        <w:t xml:space="preserve"> The New Anticipatory Governance Culture for Innovation: Regulatory Foresight, Regulatory Experimentation and Regulatory Learning — https://doi.org/10.1007/s40804-025-00348-7</w:t>
      </w:r>
    </w:p>
    <w:p>
      <w:pPr/>
      <w:r>
        <w:rPr>
          <w:b/>
        </w:rPr>
        <w:t>Later source:</w:t>
      </w:r>
      <w:r>
        <w:t xml:space="preserve"> Foresight in heritage: fostering future consciousness to proactively face change — https://doi.org/10.1108/jchmsd-12-2024-0298</w:t>
      </w:r>
    </w:p>
    <w:p>
      <w:pPr>
        <w:pStyle w:val="SourceNote"/>
      </w:pPr>
      <w:r>
        <w:rPr>
          <w:b/>
        </w:rPr>
        <w:t>Review status:</w:t>
      </w:r>
      <w:r>
        <w:t xml:space="preserve"> unchecked — possible relationship only</w:t>
      </w:r>
    </w:p>
    <w:p>
      <w:pPr>
        <w:pStyle w:val="Heading2"/>
      </w:pPr>
      <w:r>
        <w:t>278. Claim + two later sources: Assessing the impacts of technology improvements on the deployment of marine energy in Europe with an energy system perspective</w:t>
      </w:r>
    </w:p>
    <w:p>
      <w:pPr>
        <w:pStyle w:val="SourceNote"/>
      </w:pPr>
      <w:r>
        <w:rPr>
          <w:b/>
        </w:rPr>
        <w:t>Group ID:</w:t>
      </w:r>
      <w:r>
        <w:t xml:space="preserve"> group-372fe66ef850384047d3</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Long‐term changes in taxonomic and functional composition of European marine fish communities — https://doi.org/10.1111/ecog.07234</w:t>
      </w:r>
    </w:p>
    <w:p>
      <w:pPr/>
      <w:r>
        <w:rPr>
          <w:b/>
        </w:rPr>
        <w:t>Later source:</w:t>
      </w:r>
      <w:r>
        <w:t xml:space="preserve"> Characteristics and trends of marine heatwaves in the northwest European Shelf and the impacts on density stratification — https://doi.org/10.5194/sp-4-osr8-7-2024</w:t>
      </w:r>
    </w:p>
    <w:p>
      <w:pPr>
        <w:pStyle w:val="SourceNote"/>
      </w:pPr>
      <w:r>
        <w:rPr>
          <w:b/>
        </w:rPr>
        <w:t>Review status:</w:t>
      </w:r>
      <w:r>
        <w:t xml:space="preserve"> unchecked — possible relationship only</w:t>
      </w:r>
    </w:p>
    <w:p>
      <w:pPr>
        <w:pStyle w:val="Heading2"/>
      </w:pPr>
      <w:r>
        <w:t>279. Claim + two later sources: Implementing Systemic Innovation Strategies for a More Sustainable Future: The Case of Three Overseas Countries and Territories</w:t>
      </w:r>
    </w:p>
    <w:p>
      <w:pPr>
        <w:pStyle w:val="SourceNote"/>
      </w:pPr>
      <w:r>
        <w:rPr>
          <w:b/>
        </w:rPr>
        <w:t>Group ID:</w:t>
      </w:r>
      <w:r>
        <w:t xml:space="preserve"> group-f8add8d43edc2118d3b8</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The next episode for narrative foresight — https://doi.org/10.1016/j.futures.2026.103876</w:t>
      </w:r>
    </w:p>
    <w:p>
      <w:pPr/>
      <w:r>
        <w:rPr>
          <w:b/>
        </w:rPr>
        <w:t>Later source:</w:t>
      </w:r>
      <w:r>
        <w:t xml:space="preserve"> Designing a pluriversal foresight epistemology and schematic, an essay — https://doi.org/10.1186/s40309-026-00296-6</w:t>
      </w:r>
    </w:p>
    <w:p>
      <w:pPr>
        <w:pStyle w:val="SourceNote"/>
      </w:pPr>
      <w:r>
        <w:rPr>
          <w:b/>
        </w:rPr>
        <w:t>Review status:</w:t>
      </w:r>
      <w:r>
        <w:t xml:space="preserve"> unchecked — possible relationship only</w:t>
      </w:r>
    </w:p>
    <w:p>
      <w:pPr>
        <w:pStyle w:val="Heading2"/>
      </w:pPr>
      <w:r>
        <w:t>280. Claim + two later sources: Dynamics of the land use, land use change, and forestry sink in the European Union: the impacts of energy and climate targets for 2030</w:t>
      </w:r>
    </w:p>
    <w:p>
      <w:pPr>
        <w:pStyle w:val="SourceNote"/>
      </w:pPr>
      <w:r>
        <w:rPr>
          <w:b/>
        </w:rPr>
        <w:t>Group ID:</w:t>
      </w:r>
      <w:r>
        <w:t xml:space="preserve"> group-74a4331b749a5ab7c2ba</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European environmental sustainability through unraveling the nexus of total energy consumption, value addition, and GHG emissions in agriculture — https://doi.org/10.1177/0958305x261438604</w:t>
      </w:r>
    </w:p>
    <w:p>
      <w:pPr/>
      <w:r>
        <w:rPr>
          <w:b/>
        </w:rPr>
        <w:t>Later source:</w:t>
      </w:r>
      <w:r>
        <w:t xml:space="preserve"> Transformation of Peatland Management Toward Climate Targets in Europe — https://doi.org/10.34133/ehs.0239</w:t>
      </w:r>
    </w:p>
    <w:p>
      <w:pPr>
        <w:pStyle w:val="SourceNote"/>
      </w:pPr>
      <w:r>
        <w:rPr>
          <w:b/>
        </w:rPr>
        <w:t>Review status:</w:t>
      </w:r>
      <w:r>
        <w:t xml:space="preserve"> unchecked — possible relationship only</w:t>
      </w:r>
    </w:p>
    <w:p>
      <w:pPr>
        <w:pStyle w:val="Heading2"/>
      </w:pPr>
      <w:r>
        <w:t>281. Claim + two later sources: The future of the drug phenomenon and drug monitoring in Europe until 2030</w:t>
      </w:r>
    </w:p>
    <w:p>
      <w:pPr>
        <w:pStyle w:val="SourceNote"/>
      </w:pPr>
      <w:r>
        <w:rPr>
          <w:b/>
        </w:rPr>
        <w:t>Group ID:</w:t>
      </w:r>
      <w:r>
        <w:t xml:space="preserve"> group-2d052a77dfa84c5e18b0</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Suicidal behaviour and resilience-related factors among adolescents in Poland and war-affected Western Ukraine — https://doi.org/10.1186/s13034-026-01126-0</w:t>
      </w:r>
    </w:p>
    <w:p>
      <w:pPr/>
      <w:r>
        <w:rPr>
          <w:b/>
        </w:rPr>
        <w:t>Later source:</w:t>
      </w:r>
      <w:r>
        <w:t xml:space="preserve"> Bridging the gap between research and decision making: A European survey to enhance cooperation in wastewater-based epidemiology (WBE) for illicit drugs — https://doi.org/10.1016/j.puhe.2025.02.009</w:t>
      </w:r>
    </w:p>
    <w:p>
      <w:pPr>
        <w:pStyle w:val="SourceNote"/>
      </w:pPr>
      <w:r>
        <w:rPr>
          <w:b/>
        </w:rPr>
        <w:t>Review status:</w:t>
      </w:r>
      <w:r>
        <w:t xml:space="preserve"> unchecked — possible relationship only</w:t>
      </w:r>
    </w:p>
    <w:p>
      <w:pPr>
        <w:pStyle w:val="Heading2"/>
      </w:pPr>
      <w:r>
        <w:t>282. Claim + two later sources: Macrofinancial linkages in Europe: Evidence from quantile local projections</w:t>
      </w:r>
    </w:p>
    <w:p>
      <w:pPr>
        <w:pStyle w:val="SourceNote"/>
      </w:pPr>
      <w:r>
        <w:rPr>
          <w:b/>
        </w:rPr>
        <w:t>Group ID:</w:t>
      </w:r>
      <w:r>
        <w:t xml:space="preserve"> group-edb1fd94d9b831a35477</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Extreme weather in Europe: Determinants and economic impact — https://doi.org/10.1016/j.euroecorev.2026.105327</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283. Claim + two later sources: Future Precipitation Scenarios over Italy</w:t>
      </w:r>
    </w:p>
    <w:p>
      <w:pPr>
        <w:pStyle w:val="SourceNote"/>
      </w:pPr>
      <w:r>
        <w:rPr>
          <w:b/>
        </w:rPr>
        <w:t>Group ID:</w:t>
      </w:r>
      <w:r>
        <w:t xml:space="preserve"> group-93b85515d8cc78ebe96a</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European Ground Motion Service: GNSS model 2015-2025 (vector), Europe, 2-yearly, Oct. 2026 — https://doi.org/10.2909/836a384f-bcd1-4da3-9ed8-ac2f1f292c55</w:t>
      </w:r>
    </w:p>
    <w:p>
      <w:pPr/>
      <w:r>
        <w:rPr>
          <w:b/>
        </w:rPr>
        <w:t>Later source:</w:t>
      </w:r>
      <w:r>
        <w:t xml:space="preserve"> Merging modelled and reported flood impacts in Europe in a combined flood event catalogue for 1950–2020 — https://doi.org/10.5194/hess-28-3983-2024</w:t>
      </w:r>
    </w:p>
    <w:p>
      <w:pPr>
        <w:pStyle w:val="SourceNote"/>
      </w:pPr>
      <w:r>
        <w:rPr>
          <w:b/>
        </w:rPr>
        <w:t>Review status:</w:t>
      </w:r>
      <w:r>
        <w:t xml:space="preserve"> unchecked — possible relationship only</w:t>
      </w:r>
    </w:p>
    <w:p>
      <w:pPr>
        <w:pStyle w:val="Heading2"/>
      </w:pPr>
      <w:r>
        <w:t>284. Claim + two later sources: Foresighting organizational learning equilibrium in European universities</w:t>
      </w:r>
    </w:p>
    <w:p>
      <w:pPr>
        <w:pStyle w:val="SourceNote"/>
      </w:pPr>
      <w:r>
        <w:rPr>
          <w:b/>
        </w:rPr>
        <w:t>Group ID:</w:t>
      </w:r>
      <w:r>
        <w:t xml:space="preserve"> group-149d813cfee5259137a8</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Effects of Climate Change on Areas Suitable for Maize Cultivation and Aflatoxin Contamination in Europe — https://doi.org/10.3390/toxins15100599</w:t>
      </w:r>
    </w:p>
    <w:p>
      <w:pPr/>
      <w:r>
        <w:rPr>
          <w:b/>
        </w:rPr>
        <w:t>Later source:</w:t>
      </w:r>
      <w:r>
        <w:t xml:space="preserve"> What should European nephrology do with the new CKD-EPI equation? — https://doi.org/10.1093/ndt/gfac254</w:t>
      </w:r>
    </w:p>
    <w:p>
      <w:pPr>
        <w:pStyle w:val="SourceNote"/>
      </w:pPr>
      <w:r>
        <w:rPr>
          <w:b/>
        </w:rPr>
        <w:t>Review status:</w:t>
      </w:r>
      <w:r>
        <w:t xml:space="preserve"> unchecked — possible relationship only</w:t>
      </w:r>
    </w:p>
    <w:p>
      <w:pPr>
        <w:pStyle w:val="Heading2"/>
      </w:pPr>
      <w:r>
        <w:t>285. Claim + two later sources: Backcasting scenarios for Finland 2050 of low emissions</w:t>
      </w:r>
    </w:p>
    <w:p>
      <w:pPr>
        <w:pStyle w:val="SourceNote"/>
      </w:pPr>
      <w:r>
        <w:rPr>
          <w:b/>
        </w:rPr>
        <w:t>Group ID:</w:t>
      </w:r>
      <w:r>
        <w:t xml:space="preserve"> group-e5f482a09f7b37cd2cff</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Bronchiectasis in Europe: data on disease characteristics from the European Bronchiectasis registry (EMBARC) — https://doi.org/10.1016/s2213-2600(23)00093-0</w:t>
      </w:r>
    </w:p>
    <w:p>
      <w:pPr/>
      <w:r>
        <w:rPr>
          <w:b/>
        </w:rPr>
        <w:t>Later source:</w:t>
      </w:r>
      <w:r>
        <w:t xml:space="preserve"> Overview of the European species of the genus Clitocella (Entolomataceae, Agaricales) with notes on extralimital taxa — https://doi.org/10.3767/persoonia.2023.50.04</w:t>
      </w:r>
    </w:p>
    <w:p>
      <w:pPr>
        <w:pStyle w:val="SourceNote"/>
      </w:pPr>
      <w:r>
        <w:rPr>
          <w:b/>
        </w:rPr>
        <w:t>Review status:</w:t>
      </w:r>
      <w:r>
        <w:t xml:space="preserve"> unchecked — possible relationship only</w:t>
      </w:r>
    </w:p>
    <w:p>
      <w:pPr>
        <w:pStyle w:val="Heading2"/>
      </w:pPr>
      <w:r>
        <w:t>286.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287. Claim + two later sources: Towards net zero CO2 in 2050: An emission reduction pathway for organic soils in Germany</w:t>
      </w:r>
    </w:p>
    <w:p>
      <w:pPr>
        <w:pStyle w:val="SourceNote"/>
      </w:pPr>
      <w:r>
        <w:rPr>
          <w:b/>
        </w:rPr>
        <w:t>Group ID:</w:t>
      </w:r>
      <w:r>
        <w:t xml:space="preserve"> group-76f28ace58ab5862e8be</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Energy pathway variety and the progress of the energy transition in European countries — https://doi.org/10.48550/arxiv.2609.09607</w:t>
      </w:r>
    </w:p>
    <w:p>
      <w:pPr/>
      <w:r>
        <w:rPr>
          <w:b/>
        </w:rPr>
        <w:t>Later source:</w:t>
      </w:r>
      <w:r>
        <w:t xml:space="preserve"> Women’s Leadership in Organizations as a Pathway to Ukraine’s European Integration — https://doi.org/10.32983/2222-4459-2024-11-377-386</w:t>
      </w:r>
    </w:p>
    <w:p>
      <w:pPr>
        <w:pStyle w:val="SourceNote"/>
      </w:pPr>
      <w:r>
        <w:rPr>
          <w:b/>
        </w:rPr>
        <w:t>Review status:</w:t>
      </w:r>
      <w:r>
        <w:t xml:space="preserve"> unchecked — possible relationship only</w:t>
      </w:r>
    </w:p>
    <w:p>
      <w:pPr>
        <w:pStyle w:val="Heading2"/>
      </w:pPr>
      <w:r>
        <w:t>288. Claim + two later sources: Conservation biology research priorities for 2050: A Central-Eastern European perspective</w:t>
      </w:r>
    </w:p>
    <w:p>
      <w:pPr>
        <w:pStyle w:val="SourceNote"/>
      </w:pPr>
      <w:r>
        <w:rPr>
          <w:b/>
        </w:rPr>
        <w:t>Group ID:</w:t>
      </w:r>
      <w:r>
        <w:t xml:space="preserve"> group-db705d6e42977be5e468</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Inventory and analysis of foresight studies on European livestock production systems: The D1.5 delivrable for the STEP-UP project — https://openalex.org/W7212105644</w:t>
      </w:r>
    </w:p>
    <w:p>
      <w:pPr>
        <w:pStyle w:val="SourceNote"/>
      </w:pPr>
      <w:r>
        <w:rPr>
          <w:b/>
        </w:rPr>
        <w:t>Review status:</w:t>
      </w:r>
      <w:r>
        <w:t xml:space="preserve"> unchecked — possible relationship only</w:t>
      </w:r>
    </w:p>
    <w:p>
      <w:pPr>
        <w:pStyle w:val="Heading2"/>
      </w:pPr>
      <w:r>
        <w:t>289. Claim + two later sources: Financing Innovations for the Renewable Energy Transition in Europe</w:t>
      </w:r>
    </w:p>
    <w:p>
      <w:pPr>
        <w:pStyle w:val="SourceNote"/>
      </w:pPr>
      <w:r>
        <w:rPr>
          <w:b/>
        </w:rPr>
        <w:t>Group ID:</w:t>
      </w:r>
      <w:r>
        <w:t xml:space="preserve"> group-76509a76b7eebe738f10</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The Governance and Funding of European Rearmament — https://doi.org/10.2478/ie-2025-0041</w:t>
      </w:r>
    </w:p>
    <w:p>
      <w:pPr/>
      <w:r>
        <w:rPr>
          <w:b/>
        </w:rPr>
        <w:t>Later source:</w:t>
      </w:r>
      <w:r>
        <w:t xml:space="preserve"> Comparison of Excise Duties in the Member States of the European Union — https://openalex.org/W7128985412</w:t>
      </w:r>
    </w:p>
    <w:p>
      <w:pPr>
        <w:pStyle w:val="SourceNote"/>
      </w:pPr>
      <w:r>
        <w:rPr>
          <w:b/>
        </w:rPr>
        <w:t>Review status:</w:t>
      </w:r>
      <w:r>
        <w:t xml:space="preserve"> unchecked — possible relationship only</w:t>
      </w:r>
    </w:p>
    <w:p>
      <w:pPr>
        <w:pStyle w:val="Heading2"/>
      </w:pPr>
      <w:r>
        <w:t>290. Claim + two later sources: The Selection of Intermodal Transport System Scenarios in the Function of Southeastern Europe Regional Development</w:t>
      </w:r>
    </w:p>
    <w:p>
      <w:pPr>
        <w:pStyle w:val="SourceNote"/>
      </w:pPr>
      <w:r>
        <w:rPr>
          <w:b/>
        </w:rPr>
        <w:t>Group ID:</w:t>
      </w:r>
      <w:r>
        <w:t xml:space="preserve"> group-16dcd893b971bc5a3184</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Assessing the effects of restoration and conservation on gaseous carbon fluxes and climate mitigation potential across six European coastal wetlands — https://doi.org/10.1016/j.ecoleng.2026.108080</w:t>
      </w:r>
    </w:p>
    <w:p>
      <w:pPr/>
      <w:r>
        <w:rPr>
          <w:b/>
        </w:rPr>
        <w:t>Later source:</w:t>
      </w:r>
      <w:r>
        <w:t xml:space="preserve"> Potential for Expanding Sorghum Production in Europe in the Face of Climate Change — https://doi.org/10.1029/2025ef007503</w:t>
      </w:r>
    </w:p>
    <w:p>
      <w:pPr>
        <w:pStyle w:val="SourceNote"/>
      </w:pPr>
      <w:r>
        <w:rPr>
          <w:b/>
        </w:rPr>
        <w:t>Review status:</w:t>
      </w:r>
      <w:r>
        <w:t xml:space="preserve"> unchecked — possible relationship only</w:t>
      </w:r>
    </w:p>
    <w:p>
      <w:pPr>
        <w:pStyle w:val="Heading2"/>
      </w:pPr>
      <w:r>
        <w:t>291. Claim + two later sources: Medium-term forecast of European economic sustainable growth using Markov chains</w:t>
      </w:r>
    </w:p>
    <w:p>
      <w:pPr>
        <w:pStyle w:val="SourceNote"/>
      </w:pPr>
      <w:r>
        <w:rPr>
          <w:b/>
        </w:rPr>
        <w:t>Group ID:</w:t>
      </w:r>
      <w:r>
        <w:t xml:space="preserve"> group-6083916cfbc64303e59b</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Digitalisation and Economic Growth in the European Union — https://doi.org/10.3390/electronics12071718</w:t>
      </w:r>
    </w:p>
    <w:p>
      <w:pPr/>
      <w:r>
        <w:rPr>
          <w:b/>
        </w:rPr>
        <w:t>Later source:</w:t>
      </w:r>
      <w:r>
        <w:t xml:space="preserve"> Competitiveness—the engine that boosts economic growth and revives the economy — https://doi.org/10.3389/fenvs.2023.1130173</w:t>
      </w:r>
    </w:p>
    <w:p>
      <w:pPr>
        <w:pStyle w:val="SourceNote"/>
      </w:pPr>
      <w:r>
        <w:rPr>
          <w:b/>
        </w:rPr>
        <w:t>Review status:</w:t>
      </w:r>
      <w:r>
        <w:t xml:space="preserve"> unchecked — possible relationship only</w:t>
      </w:r>
    </w:p>
    <w:p>
      <w:pPr>
        <w:pStyle w:val="Heading2"/>
      </w:pPr>
      <w:r>
        <w:t>292. Claim + two later sources: What We Hope, What We Fear, What We Expect: Possible Scenarios for the Future of the Eurozone</w:t>
      </w:r>
    </w:p>
    <w:p>
      <w:pPr>
        <w:pStyle w:val="SourceNote"/>
      </w:pPr>
      <w:r>
        <w:rPr>
          <w:b/>
        </w:rPr>
        <w:t>Group ID:</w:t>
      </w:r>
      <w:r>
        <w:t xml:space="preserve"> group-5bfe953d29b97db1ae61</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The reform of the European Stability Mechanism — https://doi.org/10.1093/cmlj/kmaa001</w:t>
      </w:r>
    </w:p>
    <w:p>
      <w:pPr/>
      <w:r>
        <w:rPr>
          <w:b/>
        </w:rPr>
        <w:t>Later source:</w:t>
      </w:r>
      <w:r>
        <w:t xml:space="preserve"> European Reform Movements and the Making of the International Congress, 1840–1860 — https://doi.org/10.1080/07075332.2020.1808506</w:t>
      </w:r>
    </w:p>
    <w:p>
      <w:pPr>
        <w:pStyle w:val="SourceNote"/>
      </w:pPr>
      <w:r>
        <w:rPr>
          <w:b/>
        </w:rPr>
        <w:t>Review status:</w:t>
      </w:r>
      <w:r>
        <w:t xml:space="preserve"> unchecked — possible relationship only</w:t>
      </w:r>
    </w:p>
    <w:p>
      <w:pPr>
        <w:pStyle w:val="Heading2"/>
      </w:pPr>
      <w:r>
        <w:t>293.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294. Claim + two later sources: Transport demand evolution in Europe – factors of change, scenarios and challenges</w:t>
      </w:r>
    </w:p>
    <w:p>
      <w:pPr>
        <w:pStyle w:val="SourceNote"/>
      </w:pPr>
      <w:r>
        <w:rPr>
          <w:b/>
        </w:rPr>
        <w:t>Group ID:</w:t>
      </w:r>
      <w:r>
        <w:t xml:space="preserve"> group-4e30184c594219f4f38e</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Barriers to women’s employment in the transport sector in Europe — https://doi.org/10.12688/openreseurope.16123.1</w:t>
      </w:r>
    </w:p>
    <w:p>
      <w:pPr/>
      <w:r>
        <w:rPr>
          <w:b/>
        </w:rPr>
        <w:t>Later source:</w:t>
      </w:r>
      <w:r>
        <w:t xml:space="preserve"> Evaluating the European transportation sector via energy and climate change mitigation perspectives — https://doi.org/10.1016/j.sftr.2025.100652</w:t>
      </w:r>
    </w:p>
    <w:p>
      <w:pPr>
        <w:pStyle w:val="SourceNote"/>
      </w:pPr>
      <w:r>
        <w:rPr>
          <w:b/>
        </w:rPr>
        <w:t>Review status:</w:t>
      </w:r>
      <w:r>
        <w:t xml:space="preserve"> unchecked — possible relationship only</w:t>
      </w:r>
    </w:p>
    <w:p>
      <w:pPr>
        <w:pStyle w:val="Heading2"/>
      </w:pPr>
      <w:r>
        <w:t>295. Claim + two later sources: Integrated scenarios of sustainable food production and consumption in Germany</w:t>
      </w:r>
    </w:p>
    <w:p>
      <w:pPr>
        <w:pStyle w:val="SourceNote"/>
      </w:pPr>
      <w:r>
        <w:rPr>
          <w:b/>
        </w:rPr>
        <w:t>Group ID:</w:t>
      </w:r>
      <w:r>
        <w:t xml:space="preserve"> group-2c275425a6c347fe4cb7</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Changing the Context of Business Management Theory. The So and So Management between Eclecticism and Wishful Thinking — https://doi.org/10.30958/ajl.11-3-2</w:t>
      </w:r>
    </w:p>
    <w:p>
      <w:pPr>
        <w:pStyle w:val="SourceNote"/>
      </w:pPr>
      <w:r>
        <w:rPr>
          <w:b/>
        </w:rPr>
        <w:t>Review status:</w:t>
      </w:r>
      <w:r>
        <w:t xml:space="preserve"> unchecked — possible relationship only</w:t>
      </w:r>
    </w:p>
    <w:p>
      <w:pPr>
        <w:pStyle w:val="Heading2"/>
      </w:pPr>
      <w:r>
        <w:t>296. Claim + two later sources: Long-Term Hydrocarbon Trade Options for the Maghreb Region and Europe—Renewable Energy Based Synthetic Fuels for a Net Zero Emissions World</w:t>
      </w:r>
    </w:p>
    <w:p>
      <w:pPr>
        <w:pStyle w:val="SourceNote"/>
      </w:pPr>
      <w:r>
        <w:rPr>
          <w:b/>
        </w:rPr>
        <w:t>Group ID:</w:t>
      </w:r>
      <w:r>
        <w:t xml:space="preserve"> group-f4695c241f02dc7c62f9</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Implementation of the WACC Notice and challenges in determining the VHCN risk premium — https://openalex.org/W7124128098</w:t>
      </w:r>
    </w:p>
    <w:p>
      <w:pPr/>
      <w:r>
        <w:rPr>
          <w:b/>
        </w:rPr>
        <w:t>Later source:</w:t>
      </w:r>
      <w:r>
        <w:t xml:space="preserve"> The relationship between the application of corporate sustainability policy and the weighted average cost of capital: examples of European countries — https://doi.org/10.29119/1641-3466.2024.202.8</w:t>
      </w:r>
    </w:p>
    <w:p>
      <w:pPr>
        <w:pStyle w:val="SourceNote"/>
      </w:pPr>
      <w:r>
        <w:rPr>
          <w:b/>
        </w:rPr>
        <w:t>Review status:</w:t>
      </w:r>
      <w:r>
        <w:t xml:space="preserve"> unchecked — possible relationship only</w:t>
      </w:r>
    </w:p>
    <w:p>
      <w:pPr>
        <w:pStyle w:val="Heading2"/>
      </w:pPr>
      <w:r>
        <w:t>297. Claim + two later sources: Exploring the Future of Universities Through Experimental Foresight</w:t>
      </w:r>
    </w:p>
    <w:p>
      <w:pPr>
        <w:pStyle w:val="SourceNote"/>
      </w:pPr>
      <w:r>
        <w:rPr>
          <w:b/>
        </w:rPr>
        <w:t>Group ID:</w:t>
      </w:r>
      <w:r>
        <w:t xml:space="preserve"> group-37a33cd2a7f9f699fd62</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DEVELOPMENT SCENARIOS OF COLLABORATION IN THE FIELD OF INCLUSIVE HIGHER EDUCATION BETWEEN RUSSIA AND CIS COUNTRIES: PROJECT-FORESIGHT — https://doi.org/10.36315/2026v2end012</w:t>
      </w:r>
    </w:p>
    <w:p>
      <w:pPr/>
      <w:r>
        <w:rPr>
          <w:b/>
        </w:rPr>
        <w:t>Later source:</w:t>
      </w:r>
      <w:r>
        <w:t xml:space="preserve"> Developing the Futures Map Framework – an integrative hybrid foresight approach — https://doi.org/10.1186/s40309-025-00252-w</w:t>
      </w:r>
    </w:p>
    <w:p>
      <w:pPr>
        <w:pStyle w:val="SourceNote"/>
      </w:pPr>
      <w:r>
        <w:rPr>
          <w:b/>
        </w:rPr>
        <w:t>Review status:</w:t>
      </w:r>
      <w:r>
        <w:t xml:space="preserve"> unchecked — possible relationship only</w:t>
      </w:r>
    </w:p>
    <w:p>
      <w:pPr>
        <w:pStyle w:val="Heading2"/>
      </w:pPr>
      <w:r>
        <w:t>298. Claim + two later sources: Modelling the European Union Sustainability Transition: A Soft-Linking Approach</w:t>
      </w:r>
    </w:p>
    <w:p>
      <w:pPr>
        <w:pStyle w:val="SourceNote"/>
      </w:pPr>
      <w:r>
        <w:rPr>
          <w:b/>
        </w:rPr>
        <w:t>Group ID:</w:t>
      </w:r>
      <w:r>
        <w:t xml:space="preserve"> group-46265428f5a2f2897f4e</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IMPLEMENTASI EUROPEAN GREEN DEAL (EGD) TERKAIT KEBIJAKAN GREEN ECONOMY DI UNI EROPA TAHUN 2020-2024 — https://openalex.org/W7153397118</w:t>
      </w:r>
    </w:p>
    <w:p>
      <w:pPr/>
      <w:r>
        <w:rPr>
          <w:b/>
        </w:rPr>
        <w:t>Later source:</w:t>
      </w:r>
      <w:r>
        <w:t xml:space="preserve"> The European Green Deal (EGD) in the public opinion – assessment of awareness of environmental pollution and threats to health and life — https://doi.org/10.34659/eis.2026.97.2.1157</w:t>
      </w:r>
    </w:p>
    <w:p>
      <w:pPr>
        <w:pStyle w:val="SourceNote"/>
      </w:pPr>
      <w:r>
        <w:rPr>
          <w:b/>
        </w:rPr>
        <w:t>Review status:</w:t>
      </w:r>
      <w:r>
        <w:t xml:space="preserve"> unchecked — possible relationship only</w:t>
      </w:r>
    </w:p>
    <w:p>
      <w:pPr>
        <w:pStyle w:val="Heading2"/>
      </w:pPr>
      <w:r>
        <w:t>299. Claim + two later sources: Time banks, co-production and foresight: intertwined towards an alternative future</w:t>
      </w:r>
    </w:p>
    <w:p>
      <w:pPr>
        <w:pStyle w:val="SourceNote"/>
      </w:pPr>
      <w:r>
        <w:rPr>
          <w:b/>
        </w:rPr>
        <w:t>Group ID:</w:t>
      </w:r>
      <w:r>
        <w:t xml:space="preserve"> group-5fd5c51c66ede13d5a05</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Implementation and Impacts of Taiwan’s Time Bank Multi-Empowerment Program Across Six Townships — https://doi.org/10.33790/jswwp1100180</w:t>
      </w:r>
    </w:p>
    <w:p>
      <w:pPr/>
      <w:r>
        <w:rPr>
          <w:b/>
        </w:rPr>
        <w:t>Later source:</w:t>
      </w:r>
      <w:r>
        <w:t xml:space="preserve"> Reaction of European bank and non-bank financial equities to physical climate risk: Evidence from quantile dependence and time-varying predictability — https://doi.org/10.55214/2576-8484.v10i2.12260</w:t>
      </w:r>
    </w:p>
    <w:p>
      <w:pPr>
        <w:pStyle w:val="SourceNote"/>
      </w:pPr>
      <w:r>
        <w:rPr>
          <w:b/>
        </w:rPr>
        <w:t>Review status:</w:t>
      </w:r>
      <w:r>
        <w:t xml:space="preserve"> unchecked — possible relationship only</w:t>
      </w:r>
    </w:p>
    <w:p>
      <w:pPr>
        <w:pStyle w:val="Heading2"/>
      </w:pPr>
      <w:r>
        <w:t>300. Claim + two later sources: Decarbonizing the EU energy system by 2050: an important role for BECCS</w:t>
      </w:r>
    </w:p>
    <w:p>
      <w:pPr>
        <w:pStyle w:val="SourceNote"/>
      </w:pPr>
      <w:r>
        <w:rPr>
          <w:b/>
        </w:rPr>
        <w:t>Group ID:</w:t>
      </w:r>
      <w:r>
        <w:t xml:space="preserve"> group-13ba9623bcaa9c526b18</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Conclusions on Land Policies in Europe — https://doi.org/10.1007/978-3-031-83725-8_17</w:t>
      </w:r>
    </w:p>
    <w:p>
      <w:pPr/>
      <w:r>
        <w:rPr>
          <w:b/>
        </w:rPr>
        <w:t>Later source:</w:t>
      </w:r>
      <w:r>
        <w:t xml:space="preserve"> Cancer burden in Europe: a systematic analysis of the GLOBOCAN database (2022) — https://doi.org/10.1186/s12885-025-13862-1</w:t>
      </w:r>
    </w:p>
    <w:p>
      <w:pPr>
        <w:pStyle w:val="SourceNote"/>
      </w:pPr>
      <w:r>
        <w:rPr>
          <w:b/>
        </w:rPr>
        <w:t>Review status:</w:t>
      </w:r>
      <w:r>
        <w:t xml:space="preserve"> unchecked — possible relationship only</w:t>
      </w:r>
    </w:p>
    <w:p>
      <w:pPr>
        <w:pStyle w:val="Heading2"/>
      </w:pPr>
      <w:r>
        <w:t>301. Claim + two later sources: Charging the future: Roadmaps and value tensions for mainstreaming prosumerism to 2030 and 2050</w:t>
      </w:r>
    </w:p>
    <w:p>
      <w:pPr>
        <w:pStyle w:val="SourceNote"/>
      </w:pPr>
      <w:r>
        <w:rPr>
          <w:b/>
        </w:rPr>
        <w:t>Group ID:</w:t>
      </w:r>
      <w:r>
        <w:t xml:space="preserve"> group-057ade67cce9fe027de8</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Tensions and transformation : investigating the dynamic value of digital platforms — https://doi.org/10.82444/warw.33911656</w:t>
      </w:r>
    </w:p>
    <w:p>
      <w:pPr/>
      <w:r>
        <w:rPr>
          <w:b/>
        </w:rPr>
        <w:t>Later source:</w:t>
      </w:r>
      <w:r>
        <w:t xml:space="preserve"> Discrimination of two-highlight versus single-highlight phantom echoes by bottlenose dolphins ( Tursiops truncatus ) — https://doi.org/10.1121/10.0043763</w:t>
      </w:r>
    </w:p>
    <w:p>
      <w:pPr>
        <w:pStyle w:val="SourceNote"/>
      </w:pPr>
      <w:r>
        <w:rPr>
          <w:b/>
        </w:rPr>
        <w:t>Review status:</w:t>
      </w:r>
      <w:r>
        <w:t xml:space="preserve"> unchecked — possible relationship only</w:t>
      </w:r>
    </w:p>
    <w:p>
      <w:pPr>
        <w:pStyle w:val="Heading2"/>
      </w:pPr>
      <w:r>
        <w:t>302. Claim + two later sources: Organic farming in the European Union – perspectives for 2030</w:t>
      </w:r>
    </w:p>
    <w:p>
      <w:pPr>
        <w:pStyle w:val="SourceNote"/>
      </w:pPr>
      <w:r>
        <w:rPr>
          <w:b/>
        </w:rPr>
        <w:t>Group ID:</w:t>
      </w:r>
      <w:r>
        <w:t xml:space="preserve"> group-30ea7e823c72fa2c3973</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Strengthening European development policy: the case for Team Europe 2.0 — https://doi.org/10.23661/ipb11.2026</w:t>
      </w:r>
    </w:p>
    <w:p>
      <w:pPr/>
      <w:r>
        <w:rPr>
          <w:b/>
        </w:rPr>
        <w:t>Later source:</w:t>
      </w:r>
      <w:r>
        <w:t xml:space="preserve"> The Scramble for Europe — https://doi.org/10.1093/9780197781470.001.0001</w:t>
      </w:r>
    </w:p>
    <w:p>
      <w:pPr>
        <w:pStyle w:val="SourceNote"/>
      </w:pPr>
      <w:r>
        <w:rPr>
          <w:b/>
        </w:rPr>
        <w:t>Review status:</w:t>
      </w:r>
      <w:r>
        <w:t xml:space="preserve"> unchecked — possible relationship only</w:t>
      </w:r>
    </w:p>
    <w:p>
      <w:pPr>
        <w:pStyle w:val="Heading2"/>
      </w:pPr>
      <w:r>
        <w:t>303.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group-b7dcd3692c27c86ebaf5</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Cultivar-by-environment interactions shape strawberry fruit quality: A multi-omics approach across European climates — https://doi.org/10.1016/j.foodchem.2026.148161</w:t>
      </w:r>
    </w:p>
    <w:p>
      <w:pPr/>
      <w:r>
        <w:rPr>
          <w:b/>
        </w:rPr>
        <w:t>Later source:</w:t>
      </w:r>
      <w:r>
        <w:t xml:space="preserve"> Unraveling European electricity price volatility: The impact of renewables — https://doi.org/10.1016/j.esr.2026.102144</w:t>
      </w:r>
    </w:p>
    <w:p>
      <w:pPr>
        <w:pStyle w:val="SourceNote"/>
      </w:pPr>
      <w:r>
        <w:rPr>
          <w:b/>
        </w:rPr>
        <w:t>Review status:</w:t>
      </w:r>
      <w:r>
        <w:t xml:space="preserve"> unchecked — possible relationship only</w:t>
      </w:r>
    </w:p>
    <w:p>
      <w:pPr>
        <w:pStyle w:val="Heading2"/>
      </w:pPr>
      <w:r>
        <w:t>304. Claim + two later sources: Estimation and Forecasts for the Share of Renewable Energy Consumption in Final Energy Consumption by 2020 in the European Union</w:t>
      </w:r>
    </w:p>
    <w:p>
      <w:pPr>
        <w:pStyle w:val="SourceNote"/>
      </w:pPr>
      <w:r>
        <w:rPr>
          <w:b/>
        </w:rPr>
        <w:t>Group ID:</w:t>
      </w:r>
      <w:r>
        <w:t xml:space="preserve"> group-2592aff9c7c0bd217e4d</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European Economic Forecast — https://doi.org/10.2765/0071034</w:t>
      </w:r>
    </w:p>
    <w:p>
      <w:pPr>
        <w:pStyle w:val="SourceNote"/>
      </w:pPr>
      <w:r>
        <w:rPr>
          <w:b/>
        </w:rPr>
        <w:t>Review status:</w:t>
      </w:r>
      <w:r>
        <w:t xml:space="preserve"> unchecked — possible relationship only</w:t>
      </w:r>
    </w:p>
    <w:p>
      <w:pPr>
        <w:pStyle w:val="Heading2"/>
      </w:pPr>
      <w:r>
        <w:t>305. Claim + two later sources: Multi-Model Projections of River Flood Risk in Europe under Global Warming</w:t>
      </w:r>
    </w:p>
    <w:p>
      <w:pPr>
        <w:pStyle w:val="SourceNote"/>
      </w:pPr>
      <w:r>
        <w:rPr>
          <w:b/>
        </w:rPr>
        <w:t>Group ID:</w:t>
      </w:r>
      <w:r>
        <w:t xml:space="preserve"> group-dd3bbea5a9ed51df0319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A Soil Monitoring Law for Europe — https://doi.org/10.1002/gch2.202400336</w:t>
      </w:r>
    </w:p>
    <w:p>
      <w:pPr>
        <w:pStyle w:val="SourceNote"/>
      </w:pPr>
      <w:r>
        <w:rPr>
          <w:b/>
        </w:rPr>
        <w:t>Review status:</w:t>
      </w:r>
      <w:r>
        <w:t xml:space="preserve"> unchecked — possible relationship only</w:t>
      </w:r>
    </w:p>
    <w:p>
      <w:pPr>
        <w:pStyle w:val="Heading2"/>
      </w:pPr>
      <w:r>
        <w:t>306. Claim + two later sources: EUROPEAN UNION STRATEGIC AUTONOMY IN THE CONTEXT OF THE CONFERENCE ON THE FUTURE OF EUROPE</w:t>
      </w:r>
    </w:p>
    <w:p>
      <w:pPr>
        <w:pStyle w:val="SourceNote"/>
      </w:pPr>
      <w:r>
        <w:rPr>
          <w:b/>
        </w:rPr>
        <w:t>Group ID:</w:t>
      </w:r>
      <w:r>
        <w:t xml:space="preserve"> group-e4cd9b941b865ea631e3</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The European Commission’s Commitment to Increasing the Social Legitimacy of the European Green Deal Strategy — https://doi.org/10.33067/se.1.2026.17</w:t>
      </w:r>
    </w:p>
    <w:p>
      <w:pPr/>
      <w:r>
        <w:rPr>
          <w:b/>
        </w:rPr>
        <w:t>Later source:</w:t>
      </w:r>
      <w:r>
        <w:t xml:space="preserve"> Legal, Ethical, and Social Issues of AI and Law Enforcement in Europe — https://doi.org/10.1017/9781009367783.022</w:t>
      </w:r>
    </w:p>
    <w:p>
      <w:pPr>
        <w:pStyle w:val="SourceNote"/>
      </w:pPr>
      <w:r>
        <w:rPr>
          <w:b/>
        </w:rPr>
        <w:t>Review status:</w:t>
      </w:r>
      <w:r>
        <w:t xml:space="preserve"> unchecked — possible relationship only</w:t>
      </w:r>
    </w:p>
    <w:p>
      <w:pPr>
        <w:pStyle w:val="Heading2"/>
      </w:pPr>
      <w:r>
        <w:t>307. Claim + two later sources: Assessing Energy Descent Scenarios for the Ecological Transition in Spain 2020–2030</w:t>
      </w:r>
    </w:p>
    <w:p>
      <w:pPr>
        <w:pStyle w:val="SourceNote"/>
      </w:pPr>
      <w:r>
        <w:rPr>
          <w:b/>
        </w:rPr>
        <w:t>Group ID:</w:t>
      </w:r>
      <w:r>
        <w:t xml:space="preserve"> group-5f1a4c156e77ec030da9</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Economy, Geology and Sustainability: on the Security of Potash Supply in Spain and Europe and the Importance of Fertilizers for European Agriculture — https://doi.org/10.21701/bolgeomin/137.2/004</w:t>
      </w:r>
    </w:p>
    <w:p>
      <w:pPr/>
      <w:r>
        <w:rPr>
          <w:b/>
        </w:rPr>
        <w:t>Later source:</w:t>
      </w:r>
      <w:r>
        <w:t xml:space="preserve"> Predictiveness and drivers of highly pathogenic avian influenza outbreaks in Europe — https://doi.org/10.1038/s41598-025-04624-x</w:t>
      </w:r>
    </w:p>
    <w:p>
      <w:pPr>
        <w:pStyle w:val="SourceNote"/>
      </w:pPr>
      <w:r>
        <w:rPr>
          <w:b/>
        </w:rPr>
        <w:t>Review status:</w:t>
      </w:r>
      <w:r>
        <w:t xml:space="preserve"> unchecked — possible relationship only</w:t>
      </w:r>
    </w:p>
    <w:p>
      <w:pPr>
        <w:pStyle w:val="Heading2"/>
      </w:pPr>
      <w:r>
        <w:t>308. Claim + two later sources: Future prospects for personal security in travel by public transport</w:t>
      </w:r>
    </w:p>
    <w:p>
      <w:pPr>
        <w:pStyle w:val="SourceNote"/>
      </w:pPr>
      <w:r>
        <w:rPr>
          <w:b/>
        </w:rPr>
        <w:t>Group ID:</w:t>
      </w:r>
      <w:r>
        <w:t xml:space="preserve"> group-62c5f6b7b43277958536</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PRACTICAL APPROACHES TO DEVELOPING CREATIVE THINKING IN PRESCHOOL CHILDREN: A NARRATIVE REVIEW — https://doi.org/10.5281/zenodo.23090972</w:t>
      </w:r>
    </w:p>
    <w:p>
      <w:pPr>
        <w:pStyle w:val="SourceNote"/>
      </w:pPr>
      <w:r>
        <w:rPr>
          <w:b/>
        </w:rPr>
        <w:t>Review status:</w:t>
      </w:r>
      <w:r>
        <w:t xml:space="preserve"> unchecked — possible relationship only</w:t>
      </w:r>
    </w:p>
    <w:p>
      <w:pPr>
        <w:pStyle w:val="Heading2"/>
      </w:pPr>
      <w:r>
        <w:t>309. Claim + two later sources: A Mismatch in Future Narratives? A Comparative Analysis Between Energy Futures in Policy and of Citizens</w:t>
      </w:r>
    </w:p>
    <w:p>
      <w:pPr>
        <w:pStyle w:val="SourceNote"/>
      </w:pPr>
      <w:r>
        <w:rPr>
          <w:b/>
        </w:rPr>
        <w:t>Group ID:</w:t>
      </w:r>
      <w:r>
        <w:t xml:space="preserve"> group-8d5e4b32f34cd66e8821</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Bridging Stakeholder Narratives for Sustainable Peatland Conservation — https://doi.org/10.1007/s41748-026-01141-3</w:t>
      </w:r>
    </w:p>
    <w:p>
      <w:pPr/>
      <w:r>
        <w:rPr>
          <w:b/>
        </w:rPr>
        <w:t>Later source:</w:t>
      </w:r>
      <w:r>
        <w:t xml:space="preserve"> Narrative as Strategy: A Study on Central-Local Interaction in China's Tobacco Control Policy — https://doi.org/10.62787/jmhm.v4i3.377</w:t>
      </w:r>
    </w:p>
    <w:p>
      <w:pPr>
        <w:pStyle w:val="SourceNote"/>
      </w:pPr>
      <w:r>
        <w:rPr>
          <w:b/>
        </w:rPr>
        <w:t>Review status:</w:t>
      </w:r>
      <w:r>
        <w:t xml:space="preserve"> unchecked — possible relationship only</w:t>
      </w:r>
    </w:p>
    <w:p>
      <w:pPr>
        <w:pStyle w:val="Heading2"/>
      </w:pPr>
      <w:r>
        <w:t>310. Claim + two later sources: Past and Future Trends in Refugee Migration on the Regional Level in Germany – An Analysis and Projection of Labor Market Effects</w:t>
      </w:r>
    </w:p>
    <w:p>
      <w:pPr>
        <w:pStyle w:val="SourceNote"/>
      </w:pPr>
      <w:r>
        <w:rPr>
          <w:b/>
        </w:rPr>
        <w:t>Group ID:</w:t>
      </w:r>
      <w:r>
        <w:t xml:space="preserve"> group-49092ef91bc5beb467a3</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Regional economic impact of the Next Generation European Union recovery plan — https://doi.org/10.1016/j.pirs.2025.100105</w:t>
      </w:r>
    </w:p>
    <w:p>
      <w:pPr/>
      <w:r>
        <w:rPr>
          <w:b/>
        </w:rPr>
        <w:t>Later source:</w:t>
      </w:r>
      <w:r>
        <w:t xml:space="preserve"> Dissecting the Decline in Average Hours Worked in Europe — https://doi.org/10.5089/9798400261183.001</w:t>
      </w:r>
    </w:p>
    <w:p>
      <w:pPr>
        <w:pStyle w:val="SourceNote"/>
      </w:pPr>
      <w:r>
        <w:rPr>
          <w:b/>
        </w:rPr>
        <w:t>Review status:</w:t>
      </w:r>
      <w:r>
        <w:t xml:space="preserve"> unchecked — possible relationship only</w:t>
      </w:r>
    </w:p>
    <w:p>
      <w:pPr>
        <w:pStyle w:val="Heading2"/>
      </w:pPr>
      <w:r>
        <w:t>311. Claim + two later sources: The EU Decarbonisation Roadmap 2050—What way to walk?</w:t>
      </w:r>
    </w:p>
    <w:p>
      <w:pPr>
        <w:pStyle w:val="SourceNote"/>
      </w:pPr>
      <w:r>
        <w:rPr>
          <w:b/>
        </w:rPr>
        <w:t>Group ID:</w:t>
      </w:r>
      <w:r>
        <w:t xml:space="preserve"> group-408ce1fcecc47a3efaa1</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4.N. Round table: Policy options for fixing the global and European health and care workforce-crisis — https://doi.org/10.1093/eurpub/ckad160.260</w:t>
      </w:r>
    </w:p>
    <w:p>
      <w:pPr/>
      <w:r>
        <w:rPr>
          <w:b/>
        </w:rPr>
        <w:t>Later source:</w:t>
      </w:r>
      <w:r>
        <w:t xml:space="preserve"> The clean development mechanism in Eastern Europe: an in-depth exploration — https://doi.org/10.1007/s11356-022-20988-3</w:t>
      </w:r>
    </w:p>
    <w:p>
      <w:pPr>
        <w:pStyle w:val="SourceNote"/>
      </w:pPr>
      <w:r>
        <w:rPr>
          <w:b/>
        </w:rPr>
        <w:t>Review status:</w:t>
      </w:r>
      <w:r>
        <w:t xml:space="preserve"> unchecked — possible relationship only</w:t>
      </w:r>
    </w:p>
    <w:p>
      <w:pPr>
        <w:pStyle w:val="Heading2"/>
      </w:pPr>
      <w:r>
        <w:t>312. Claim + two later sources: Food futures: system transitions towards UK food security</w:t>
      </w:r>
    </w:p>
    <w:p>
      <w:pPr>
        <w:pStyle w:val="SourceNote"/>
      </w:pPr>
      <w:r>
        <w:rPr>
          <w:b/>
        </w:rPr>
        <w:t>Group ID:</w:t>
      </w:r>
      <w:r>
        <w:t xml:space="preserve"> group-659b6e0e2ea90e8d9160</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Clause Encounters of the Third Kind — https://doi.org/10.1093/9780198945215.003.0252</w:t>
      </w:r>
    </w:p>
    <w:p>
      <w:pPr/>
      <w:r>
        <w:rPr>
          <w:b/>
        </w:rPr>
        <w:t>Later source:</w:t>
      </w:r>
      <w:r>
        <w:t xml:space="preserve"> Carbon capture and utilization under EU law: impermanent storage of CO2 in products and pre-combustion carbon capture — https://doi.org/10.1093/jwelb/jwae009</w:t>
      </w:r>
    </w:p>
    <w:p>
      <w:pPr>
        <w:pStyle w:val="SourceNote"/>
      </w:pPr>
      <w:r>
        <w:rPr>
          <w:b/>
        </w:rPr>
        <w:t>Review status:</w:t>
      </w:r>
      <w:r>
        <w:t xml:space="preserve"> unchecked — possible relationship only</w:t>
      </w:r>
    </w:p>
    <w:p>
      <w:pPr>
        <w:pStyle w:val="Heading2"/>
      </w:pPr>
      <w:r>
        <w:t>313. Claim + two later sources: Scenario forecasting of consumption of main organic livestock products in Ukraine</w:t>
      </w:r>
    </w:p>
    <w:p>
      <w:pPr>
        <w:pStyle w:val="SourceNote"/>
      </w:pPr>
      <w:r>
        <w:rPr>
          <w:b/>
        </w:rPr>
        <w:t>Group ID:</w:t>
      </w:r>
      <w:r>
        <w:t xml:space="preserve"> group-16126e1c30c82a695249</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Forecasting the dynamics of food security indicators in Ukraine during the wartime period of 2025-2026 — https://doi.org/10.32317/ekon.apk/1.2026.20</w:t>
      </w:r>
    </w:p>
    <w:p>
      <w:pPr/>
      <w:r>
        <w:rPr>
          <w:b/>
        </w:rPr>
        <w:t>Later source:</w:t>
      </w:r>
      <w:r>
        <w:t xml:space="preserve"> Novel pathogenic CTLA4 missense variant associated with autoimmune enteropathy and systemic immune dysregulation — https://doi.org/10.3389/fimmu.2026.1855020</w:t>
      </w:r>
    </w:p>
    <w:p>
      <w:pPr>
        <w:pStyle w:val="SourceNote"/>
      </w:pPr>
      <w:r>
        <w:rPr>
          <w:b/>
        </w:rPr>
        <w:t>Review status:</w:t>
      </w:r>
      <w:r>
        <w:t xml:space="preserve"> unchecked — possible relationship only</w:t>
      </w:r>
    </w:p>
    <w:p>
      <w:pPr>
        <w:pStyle w:val="Heading2"/>
      </w:pPr>
      <w:r>
        <w:t>314. Claim + two later sources: European electricity sector decarbonization under different levels of foresight</w:t>
      </w:r>
    </w:p>
    <w:p>
      <w:pPr>
        <w:pStyle w:val="SourceNote"/>
      </w:pPr>
      <w:r>
        <w:rPr>
          <w:b/>
        </w:rPr>
        <w:t>Group ID:</w:t>
      </w:r>
      <w:r>
        <w:t xml:space="preserve"> group-63c1ebe987f44a8df4bb</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Carbon reduction commitment, carbon emission intensity, and financial default risk: An empirical analysis of European firms — https://doi.org/10.1177/0958305x261481733</w:t>
      </w:r>
    </w:p>
    <w:p>
      <w:pPr>
        <w:pStyle w:val="SourceNote"/>
      </w:pPr>
      <w:r>
        <w:rPr>
          <w:b/>
        </w:rPr>
        <w:t>Review status:</w:t>
      </w:r>
      <w:r>
        <w:t xml:space="preserve"> unchecked — possible relationship only</w:t>
      </w:r>
    </w:p>
    <w:p>
      <w:pPr>
        <w:pStyle w:val="Heading2"/>
      </w:pPr>
      <w:r>
        <w:t>315.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316. Claim + two later sources: Central-East European employees on the labour market of London</w:t>
      </w:r>
    </w:p>
    <w:p>
      <w:pPr>
        <w:pStyle w:val="SourceNote"/>
      </w:pPr>
      <w:r>
        <w:rPr>
          <w:b/>
        </w:rPr>
        <w:t>Group ID:</w:t>
      </w:r>
      <w:r>
        <w:t xml:space="preserve"> group-388964dc67841b40b97e</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THE HUMAN RIGHTS CRISIS IN AI DEVELOPMENT AND USE: DOES THE EUROPEAN FRAMEWORK PROVIDE AN ADEQUATE PROTECTION? — https://doi.org/10.70382/caijlphr.v9i6.038</w:t>
      </w:r>
    </w:p>
    <w:p>
      <w:pPr/>
      <w:r>
        <w:rPr>
          <w:b/>
        </w:rPr>
        <w:t>Later source:</w:t>
      </w:r>
      <w:r>
        <w:t xml:space="preserve"> Cross‐border dimensions of Arctic climate change impacts and implications for Europe — https://doi.org/10.1002/wcc.905</w:t>
      </w:r>
    </w:p>
    <w:p>
      <w:pPr>
        <w:pStyle w:val="SourceNote"/>
      </w:pPr>
      <w:r>
        <w:rPr>
          <w:b/>
        </w:rPr>
        <w:t>Review status:</w:t>
      </w:r>
      <w:r>
        <w:t xml:space="preserve"> unchecked — possible relationship only</w:t>
      </w:r>
    </w:p>
    <w:p>
      <w:pPr>
        <w:pStyle w:val="Heading2"/>
      </w:pPr>
      <w:r>
        <w:t>317. Claim + two later sources: Scenarios of Automated Mobility in Austria: Implications for Future Transport Policy</w:t>
      </w:r>
    </w:p>
    <w:p>
      <w:pPr>
        <w:pStyle w:val="SourceNote"/>
      </w:pPr>
      <w:r>
        <w:rPr>
          <w:b/>
        </w:rPr>
        <w:t>Group ID:</w:t>
      </w:r>
      <w:r>
        <w:t xml:space="preserve"> group-a40905e0adc7bf3e849a</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Future Changes of European Windstorm Losses in EURO-CORDEX Simulations — https://doi.org/10.16993/tellusa.4094</w:t>
      </w:r>
    </w:p>
    <w:p>
      <w:pPr/>
      <w:r>
        <w:rPr>
          <w:b/>
        </w:rPr>
        <w:t>Later source:</w:t>
      </w:r>
      <w:r>
        <w:t xml:space="preserve"> Europe's way from natural gas to green hydrogen: Modeling and simulation of the transforming European gas transport infrastructure — https://doi.org/10.1016/j.ijhydene.2025.04.408</w:t>
      </w:r>
    </w:p>
    <w:p>
      <w:pPr>
        <w:pStyle w:val="SourceNote"/>
      </w:pPr>
      <w:r>
        <w:rPr>
          <w:b/>
        </w:rPr>
        <w:t>Review status:</w:t>
      </w:r>
      <w:r>
        <w:t xml:space="preserve"> unchecked — possible relationship only</w:t>
      </w:r>
    </w:p>
    <w:p>
      <w:pPr>
        <w:pStyle w:val="Heading2"/>
      </w:pPr>
      <w:r>
        <w:t>318. Claim + two later sources: Long term impact of residue management on soil organic carbon stocks and nitrous oxide emissions from European croplands</w:t>
      </w:r>
    </w:p>
    <w:p>
      <w:pPr>
        <w:pStyle w:val="SourceNote"/>
      </w:pPr>
      <w:r>
        <w:rPr>
          <w:b/>
        </w:rPr>
        <w:t>Group ID:</w:t>
      </w:r>
      <w:r>
        <w:t xml:space="preserve"> group-6a22ca030b6dd41ae036</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Impacts on Soil Health of Soil Improvers Derived from Agri-Food Processing Residues: a Systematic Review with a Focus on European Field Studies — https://doi.org/10.1007/s42729-026-03037-7</w:t>
      </w:r>
    </w:p>
    <w:p>
      <w:pPr/>
      <w:r>
        <w:rPr>
          <w:b/>
        </w:rPr>
        <w:t>Later source:</w:t>
      </w:r>
      <w:r>
        <w:t xml:space="preserve"> Biophysical climate responses to albedo management for wheat residue retention, cover crops, and pale wheat across European croplands — https://doi.org/10.5194/egusphere-egu26-9895</w:t>
      </w:r>
    </w:p>
    <w:p>
      <w:pPr>
        <w:pStyle w:val="SourceNote"/>
      </w:pPr>
      <w:r>
        <w:rPr>
          <w:b/>
        </w:rPr>
        <w:t>Review status:</w:t>
      </w:r>
      <w:r>
        <w:t xml:space="preserve"> unchecked — possible relationship only</w:t>
      </w:r>
    </w:p>
    <w:p>
      <w:pPr>
        <w:pStyle w:val="Heading2"/>
      </w:pPr>
      <w:r>
        <w:t>319. Claim + two later sources: Renewables in the European power system and the impact on system rotational inertia</w:t>
      </w:r>
    </w:p>
    <w:p>
      <w:pPr>
        <w:pStyle w:val="SourceNote"/>
      </w:pPr>
      <w:r>
        <w:rPr>
          <w:b/>
        </w:rPr>
        <w:t>Group ID:</w:t>
      </w:r>
      <w:r>
        <w:t xml:space="preserve"> group-c9587ffef6218db158a0</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ETS Price Signal in the Power Sector: Evidence on Decarbonisation and Policy Overlap — https://doi.org/10.32388/iogu7j</w:t>
      </w:r>
    </w:p>
    <w:p>
      <w:pPr/>
      <w:r>
        <w:rPr>
          <w:b/>
        </w:rPr>
        <w:t>Later source:</w:t>
      </w:r>
      <w:r>
        <w:t xml:space="preserve"> Discourse vs. Decarbonisation: Tracking the Alignment Between EU Climate Rhetoric and National Energy Patterns — https://doi.org/10.3390/en18195304</w:t>
      </w:r>
    </w:p>
    <w:p>
      <w:pPr>
        <w:pStyle w:val="SourceNote"/>
      </w:pPr>
      <w:r>
        <w:rPr>
          <w:b/>
        </w:rPr>
        <w:t>Review status:</w:t>
      </w:r>
      <w:r>
        <w:t xml:space="preserve"> unchecked — possible relationship only</w:t>
      </w:r>
    </w:p>
    <w:p>
      <w:pPr>
        <w:pStyle w:val="Heading2"/>
      </w:pPr>
      <w:r>
        <w:t>320. Claim + two later sources: Assessing the prospective resource base for enhanced geothermal systems in Europe</w:t>
      </w:r>
    </w:p>
    <w:p>
      <w:pPr>
        <w:pStyle w:val="SourceNote"/>
      </w:pPr>
      <w:r>
        <w:rPr>
          <w:b/>
        </w:rPr>
        <w:t>Group ID:</w:t>
      </w:r>
      <w:r>
        <w:t xml:space="preserve"> group-35e6990f8e1501a03267</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Policy levers and technological opportunities to achieve decarbonisation in Europe at minimal cost — https://doi.org/10.7488/era/7048</w:t>
      </w:r>
    </w:p>
    <w:p>
      <w:pPr>
        <w:pStyle w:val="SourceNote"/>
      </w:pPr>
      <w:r>
        <w:rPr>
          <w:b/>
        </w:rPr>
        <w:t>Review status:</w:t>
      </w:r>
      <w:r>
        <w:t xml:space="preserve"> unchecked — possible relationship only</w:t>
      </w:r>
    </w:p>
    <w:p>
      <w:pPr>
        <w:pStyle w:val="Heading2"/>
      </w:pPr>
      <w:r>
        <w:t>321. Claim + two later sources: Outlook of the European forest-based sector: forest growth, harvest demand, wood-product markets, and forest carbon dynamics implications</w:t>
      </w:r>
    </w:p>
    <w:p>
      <w:pPr>
        <w:pStyle w:val="SourceNote"/>
      </w:pPr>
      <w:r>
        <w:rPr>
          <w:b/>
        </w:rPr>
        <w:t>Group ID:</w:t>
      </w:r>
      <w:r>
        <w:t xml:space="preserve"> group-2a350b2f169980d258c9</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Assessing the Air Quality Impacts of Net-Zero GHG Emissions in Europe and Switzerland with ICON-ART — https://doi.org/10.5194/egusphere-egu25-2578</w:t>
      </w:r>
    </w:p>
    <w:p>
      <w:pPr/>
      <w:r>
        <w:rPr>
          <w:b/>
        </w:rPr>
        <w:t>Later source:</w:t>
      </w:r>
      <w:r>
        <w:t xml:space="preserve"> Gallium: Assessing the Long-Term Future Extraction, Supply, Recycling, and Price of Using WORLD7, in Relation to Future Technology Visions in the European Union — https://doi.org/10.1007/s41247-025-00125-7</w:t>
      </w:r>
    </w:p>
    <w:p>
      <w:pPr>
        <w:pStyle w:val="SourceNote"/>
      </w:pPr>
      <w:r>
        <w:rPr>
          <w:b/>
        </w:rPr>
        <w:t>Review status:</w:t>
      </w:r>
      <w:r>
        <w:t xml:space="preserve"> unchecked — possible relationship only</w:t>
      </w:r>
    </w:p>
    <w:p>
      <w:pPr>
        <w:pStyle w:val="Heading2"/>
      </w:pPr>
      <w:r>
        <w:t>322. Claim + two later sources: Scenario planning as communicative action: Lessons from participatory exercises conducted for the Scottish livestock industry</w:t>
      </w:r>
    </w:p>
    <w:p>
      <w:pPr>
        <w:pStyle w:val="SourceNote"/>
      </w:pPr>
      <w:r>
        <w:rPr>
          <w:b/>
        </w:rPr>
        <w:t>Group ID:</w:t>
      </w:r>
      <w:r>
        <w:t xml:space="preserve"> group-a495d23f1cb58982fb8c</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Modelling the frequency and extent of waterlogging: a case study — https://doi.org/10.36334/modsim2025.j10.beverly</w:t>
      </w:r>
    </w:p>
    <w:p>
      <w:pPr/>
      <w:r>
        <w:rPr>
          <w:b/>
        </w:rPr>
        <w:t>Later source:</w:t>
      </w:r>
      <w:r>
        <w:t xml:space="preserve"> Extent of Corporate Sustainability Adoption in the Hospitality Industry: A Case Study of Tourist Hotels in Sri Lanka — https://doi.org/10.47772/ijriss.2024.809007</w:t>
      </w:r>
    </w:p>
    <w:p>
      <w:pPr>
        <w:pStyle w:val="SourceNote"/>
      </w:pPr>
      <w:r>
        <w:rPr>
          <w:b/>
        </w:rPr>
        <w:t>Review status:</w:t>
      </w:r>
      <w:r>
        <w:t xml:space="preserve"> unchecked — possible relationship only</w:t>
      </w:r>
    </w:p>
    <w:p>
      <w:pPr>
        <w:pStyle w:val="Heading2"/>
      </w:pPr>
      <w:r>
        <w:t>323. Claim + two later sources: Toward Identification of the Priority Lines of Research in Nanotechnology on the Basis of the Technology Foresight NT for Podlaskie 2020</w:t>
      </w:r>
    </w:p>
    <w:p>
      <w:pPr>
        <w:pStyle w:val="SourceNote"/>
      </w:pPr>
      <w:r>
        <w:rPr>
          <w:b/>
        </w:rPr>
        <w:t>Group ID:</w:t>
      </w:r>
      <w:r>
        <w:t xml:space="preserve"> group-ffb5c12eaa3ae4542b49</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From Reaction to Foresight: EUPHA’s vision for health security in Europe — https://doi.org/10.1093/eurpub/ckaf071</w:t>
      </w:r>
    </w:p>
    <w:p>
      <w:pPr/>
      <w:r>
        <w:rPr>
          <w:b/>
        </w:rPr>
        <w:t>Later source:</w:t>
      </w:r>
      <w:r>
        <w:t xml:space="preserve"> Article: Project FORESIGHT and Return on Investment — https://doi.org/10.4324/9780429318528-14</w:t>
      </w:r>
    </w:p>
    <w:p>
      <w:pPr>
        <w:pStyle w:val="SourceNote"/>
      </w:pPr>
      <w:r>
        <w:rPr>
          <w:b/>
        </w:rPr>
        <w:t>Review status:</w:t>
      </w:r>
      <w:r>
        <w:t xml:space="preserve"> unchecked — possible relationship only</w:t>
      </w:r>
    </w:p>
    <w:p>
      <w:pPr>
        <w:pStyle w:val="Heading2"/>
      </w:pPr>
      <w:r>
        <w:t>324. Claim + two later sources: Foresight technologies of economic systems: evidence from the tourism sector of Ukraine</w:t>
      </w:r>
    </w:p>
    <w:p>
      <w:pPr>
        <w:pStyle w:val="SourceNote"/>
      </w:pPr>
      <w:r>
        <w:rPr>
          <w:b/>
        </w:rPr>
        <w:t>Group ID:</w:t>
      </w:r>
      <w:r>
        <w:t xml:space="preserve"> group-9656dff343fc15e7eb8d</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Criminal Liability Arising from the Use of Artificial Intelligence Applications — https://doi.org/10.5281/zenodo.19810638</w:t>
      </w:r>
    </w:p>
    <w:p>
      <w:pPr/>
      <w:r>
        <w:rPr>
          <w:b/>
        </w:rPr>
        <w:t>Later source:</w:t>
      </w:r>
      <w:r>
        <w:t xml:space="preserve"> THE CHARACTERISTICS OF LOSSES ARISING FROM THE MISUSE OF DEBTORS' PERSONAL DATA IN ONLINE LENDING AGREEMENTS — https://doi.org/10.28946/lexl.v8i1.3827</w:t>
      </w:r>
    </w:p>
    <w:p>
      <w:pPr>
        <w:pStyle w:val="SourceNote"/>
      </w:pPr>
      <w:r>
        <w:rPr>
          <w:b/>
        </w:rPr>
        <w:t>Review status:</w:t>
      </w:r>
      <w:r>
        <w:t xml:space="preserve"> unchecked — possible relationship only</w:t>
      </w:r>
    </w:p>
    <w:p>
      <w:pPr>
        <w:pStyle w:val="Heading2"/>
      </w:pPr>
      <w:r>
        <w:t>325. Claim + two later sources: The Dutch Public Health Foresight Study 2018: an example of a comprehensive foresight exercise</w:t>
      </w:r>
    </w:p>
    <w:p>
      <w:pPr>
        <w:pStyle w:val="SourceNote"/>
      </w:pPr>
      <w:r>
        <w:rPr>
          <w:b/>
        </w:rPr>
        <w:t>Group ID:</w:t>
      </w:r>
      <w:r>
        <w:t xml:space="preserve"> group-bc0af2a3eae6e562e902</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Short-term thinking, long-term costs: How managerial myopia undermines green innovation — https://doi.org/10.4102/sajbm.v57i1.5337</w:t>
      </w:r>
    </w:p>
    <w:p>
      <w:pPr/>
      <w:r>
        <w:rPr>
          <w:b/>
        </w:rPr>
        <w:t>Later source:</w:t>
      </w:r>
      <w:r>
        <w:t xml:space="preserve"> Conclusions…and Beginnings — https://doi.org/10.4324/9781003733386-7</w:t>
      </w:r>
    </w:p>
    <w:p>
      <w:pPr>
        <w:pStyle w:val="SourceNote"/>
      </w:pPr>
      <w:r>
        <w:rPr>
          <w:b/>
        </w:rPr>
        <w:t>Review status:</w:t>
      </w:r>
      <w:r>
        <w:t xml:space="preserve"> unchecked — possible relationship only</w:t>
      </w:r>
    </w:p>
    <w:p>
      <w:pPr>
        <w:pStyle w:val="Heading2"/>
      </w:pPr>
      <w:r>
        <w:t>326. Claim + two later sources: The future of the Mediterranean agri-food systems: Trends and perspectives from a Delphi survey</w:t>
      </w:r>
    </w:p>
    <w:p>
      <w:pPr>
        <w:pStyle w:val="SourceNote"/>
      </w:pPr>
      <w:r>
        <w:rPr>
          <w:b/>
        </w:rPr>
        <w:t>Group ID:</w:t>
      </w:r>
      <w:r>
        <w:t xml:space="preserve"> group-31363d9e37f13bb9a3a4</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First-order homogenization — https://doi.org/10.1017/prm.2026.10125</w:t>
      </w:r>
    </w:p>
    <w:p>
      <w:pPr/>
      <w:r>
        <w:rPr>
          <w:b/>
        </w:rPr>
        <w:t>Later source:</w:t>
      </w:r>
      <w:r>
        <w:t xml:space="preserve"> NENUPHAR D5.3. Lessons learnt and recommendations to the main regional clusters (first version) — https://doi.org/10.5281/zenodo.19000171</w:t>
      </w:r>
    </w:p>
    <w:p>
      <w:pPr>
        <w:pStyle w:val="SourceNote"/>
      </w:pPr>
      <w:r>
        <w:rPr>
          <w:b/>
        </w:rPr>
        <w:t>Review status:</w:t>
      </w:r>
      <w:r>
        <w:t xml:space="preserve"> unchecked — possible relationship only</w:t>
      </w:r>
    </w:p>
    <w:p>
      <w:pPr>
        <w:pStyle w:val="Heading2"/>
      </w:pPr>
      <w:r>
        <w:t>327. Claim + two later sources: Implementing Dynamics of Immigration Integration in Labor Force Participation Projection in EU28</w:t>
      </w:r>
    </w:p>
    <w:p>
      <w:pPr>
        <w:pStyle w:val="SourceNote"/>
      </w:pPr>
      <w:r>
        <w:rPr>
          <w:b/>
        </w:rPr>
        <w:t>Group ID:</w:t>
      </w:r>
      <w:r>
        <w:t xml:space="preserve"> group-50c8e00136aeeec478df</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The burden of informal family caregiving in Europe, 2000–2050: a microsimulation modelling study — https://doi.org/10.1016/j.lanepe.2025.101295</w:t>
      </w:r>
    </w:p>
    <w:p>
      <w:pPr/>
      <w:r>
        <w:rPr>
          <w:b/>
        </w:rPr>
        <w:t>Later source:</w:t>
      </w:r>
      <w:r>
        <w:t xml:space="preserve"> Dynamic Microsimulations of Regional Income Inequalities in Germany — https://doi.org/10.34196/ijm.00304</w:t>
      </w:r>
    </w:p>
    <w:p>
      <w:pPr>
        <w:pStyle w:val="SourceNote"/>
      </w:pPr>
      <w:r>
        <w:rPr>
          <w:b/>
        </w:rPr>
        <w:t>Review status:</w:t>
      </w:r>
      <w:r>
        <w:t xml:space="preserve"> unchecked — possible relationship only</w:t>
      </w:r>
    </w:p>
    <w:p>
      <w:pPr>
        <w:pStyle w:val="Heading2"/>
      </w:pPr>
      <w:r>
        <w:t>328. Claim + two later sources: Towards the European Union's Foreign Policy 2025 – Taking Stock of the Dahrendorf Foresight Project</w:t>
      </w:r>
    </w:p>
    <w:p>
      <w:pPr>
        <w:pStyle w:val="SourceNote"/>
      </w:pPr>
      <w:r>
        <w:rPr>
          <w:b/>
        </w:rPr>
        <w:t>Group ID:</w:t>
      </w:r>
      <w:r>
        <w:t xml:space="preserve"> group-40ed1f2c6c5dee0e3ef8</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Analysis of the current state of sewage sludge treatment from the perspective of current European directives — https://doi.org/10.1186/s12302-025-01097-7</w:t>
      </w:r>
    </w:p>
    <w:p>
      <w:pPr/>
      <w:r>
        <w:rPr>
          <w:b/>
        </w:rPr>
        <w:t>Later source:</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pStyle w:val="SourceNote"/>
      </w:pPr>
      <w:r>
        <w:rPr>
          <w:b/>
        </w:rPr>
        <w:t>Review status:</w:t>
      </w:r>
      <w:r>
        <w:t xml:space="preserve"> unchecked — possible relationship only</w:t>
      </w:r>
    </w:p>
    <w:p>
      <w:pPr>
        <w:pStyle w:val="Heading2"/>
      </w:pPr>
      <w:r>
        <w:t>329. Claim + two later sources: Prospects of labour migration pressure in Algeria, Morocco, Tunisia and Turkey</w:t>
      </w:r>
    </w:p>
    <w:p>
      <w:pPr>
        <w:pStyle w:val="SourceNote"/>
      </w:pPr>
      <w:r>
        <w:rPr>
          <w:b/>
        </w:rPr>
        <w:t>Group ID:</w:t>
      </w:r>
      <w:r>
        <w:t xml:space="preserve"> group-6d38ef6a946f724489ed</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Probabilistic storyline attribution using machine learning — https://doi.org/10.1088/3049-4753/aea4b7</w:t>
      </w:r>
    </w:p>
    <w:p>
      <w:pPr/>
      <w:r>
        <w:rPr>
          <w:b/>
        </w:rPr>
        <w:t>Later source:</w:t>
      </w:r>
      <w:r>
        <w:t xml:space="preserve"> Storyline Trees: Hierarchical Representations for Long-Form Narratives — https://doi.org/10.48550/arxiv.2606.20900</w:t>
      </w:r>
    </w:p>
    <w:p>
      <w:pPr>
        <w:pStyle w:val="SourceNote"/>
      </w:pPr>
      <w:r>
        <w:rPr>
          <w:b/>
        </w:rPr>
        <w:t>Review status:</w:t>
      </w:r>
      <w:r>
        <w:t xml:space="preserve"> unchecked — possible relationship only</w:t>
      </w:r>
    </w:p>
    <w:p>
      <w:pPr>
        <w:pStyle w:val="Heading2"/>
      </w:pPr>
      <w:r>
        <w:t>330. Claim + two later sources: Living within the safe operating space: a vision for a resource efficient Europe</w:t>
      </w:r>
    </w:p>
    <w:p>
      <w:pPr>
        <w:pStyle w:val="SourceNote"/>
      </w:pPr>
      <w:r>
        <w:rPr>
          <w:b/>
        </w:rPr>
        <w:t>Group ID:</w:t>
      </w:r>
      <w:r>
        <w:t xml:space="preserve"> group-0fe4c2687f25cb9d0599</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Barriers to healthcare for racialised populations in Europe: a scoping review of reviews — https://doi.org/10.1186/s12939-025-02577-1</w:t>
      </w:r>
    </w:p>
    <w:p>
      <w:pPr/>
      <w:r>
        <w:rPr>
          <w:b/>
        </w:rPr>
        <w:t>Later source:</w:t>
      </w:r>
      <w:r>
        <w:t xml:space="preserve"> A scoping review of seismic risk communication in Europe — https://doi.org/10.3389/feart.2023.1155576</w:t>
      </w:r>
    </w:p>
    <w:p>
      <w:pPr>
        <w:pStyle w:val="SourceNote"/>
      </w:pPr>
      <w:r>
        <w:rPr>
          <w:b/>
        </w:rPr>
        <w:t>Review status:</w:t>
      </w:r>
      <w:r>
        <w:t xml:space="preserve"> unchecked — possible relationship only</w:t>
      </w:r>
    </w:p>
    <w:p>
      <w:pPr>
        <w:pStyle w:val="Heading2"/>
      </w:pPr>
      <w:r>
        <w:t>331.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332. Claim + two later sources: The Public Health Status and Foresight report 2014: Four normative perspectives on a healthier Netherlands in 2040</w:t>
      </w:r>
    </w:p>
    <w:p>
      <w:pPr>
        <w:pStyle w:val="SourceNote"/>
      </w:pPr>
      <w:r>
        <w:rPr>
          <w:b/>
        </w:rPr>
        <w:t>Group ID:</w:t>
      </w:r>
      <w:r>
        <w:t xml:space="preserve"> group-433c3615469702dbf038</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European Cancer Prevention Organization on cancer screening: an expert panel position paper — https://doi.org/10.1097/cej.0000000000001025</w:t>
      </w:r>
    </w:p>
    <w:p>
      <w:pPr/>
      <w:r>
        <w:rPr>
          <w:b/>
        </w:rPr>
        <w:t>Later source:</w:t>
      </w:r>
      <w:r>
        <w:t xml:space="preserve"> Design Policy Mapping in Europe — https://openalex.org/W7215223829</w:t>
      </w:r>
    </w:p>
    <w:p>
      <w:pPr>
        <w:pStyle w:val="SourceNote"/>
      </w:pPr>
      <w:r>
        <w:rPr>
          <w:b/>
        </w:rPr>
        <w:t>Review status:</w:t>
      </w:r>
      <w:r>
        <w:t xml:space="preserve"> unchecked — possible relationship only</w:t>
      </w:r>
    </w:p>
    <w:p>
      <w:pPr>
        <w:pStyle w:val="Heading2"/>
      </w:pPr>
      <w:r>
        <w:t>333. Claim + two later sources: Secular stagnation – are we stuck in Summers' long winter?</w:t>
      </w:r>
    </w:p>
    <w:p>
      <w:pPr>
        <w:pStyle w:val="SourceNote"/>
      </w:pPr>
      <w:r>
        <w:rPr>
          <w:b/>
        </w:rPr>
        <w:t>Group ID:</w:t>
      </w:r>
      <w:r>
        <w:t xml:space="preserve"> group-5304f4cf73c44b61a849</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Impact of fiscal sustainability on economic growth in Kenya — https://doi.org/10.65748/fiqf-2026-0001</w:t>
      </w:r>
    </w:p>
    <w:p>
      <w:pPr/>
      <w:r>
        <w:rPr>
          <w:b/>
        </w:rPr>
        <w:t>Later source:</w:t>
      </w:r>
      <w:r>
        <w:t xml:space="preserve"> Fiscal Policy, Debt Management and Economic Growth in Nigeria — https://doi.org/10.47772/ijriss.2026.100500380</w:t>
      </w:r>
    </w:p>
    <w:p>
      <w:pPr>
        <w:pStyle w:val="SourceNote"/>
      </w:pPr>
      <w:r>
        <w:rPr>
          <w:b/>
        </w:rPr>
        <w:t>Review status:</w:t>
      </w:r>
      <w:r>
        <w:t xml:space="preserve"> unchecked — possible relationship only</w:t>
      </w:r>
    </w:p>
    <w:p>
      <w:pPr>
        <w:pStyle w:val="Heading2"/>
      </w:pPr>
      <w:r>
        <w:t>334.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group-0d56d7dfb9f5d482d756</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Guidance on negative emissions for cities - Summary for Decision Makers — https://doi.org/10.2760/4262978</w:t>
      </w:r>
    </w:p>
    <w:p>
      <w:pPr>
        <w:pStyle w:val="SourceNote"/>
      </w:pPr>
      <w:r>
        <w:rPr>
          <w:b/>
        </w:rPr>
        <w:t>Review status:</w:t>
      </w:r>
      <w:r>
        <w:t xml:space="preserve"> unchecked — possible relationship only</w:t>
      </w:r>
    </w:p>
    <w:p>
      <w:pPr>
        <w:pStyle w:val="Heading2"/>
      </w:pPr>
      <w:r>
        <w:t>335. Claim + two later sources: (Re)politicization of climate change mitigating projects: environmental forms and motives of the Seine Nord Europe canal</w:t>
      </w:r>
    </w:p>
    <w:p>
      <w:pPr>
        <w:pStyle w:val="SourceNote"/>
      </w:pPr>
      <w:r>
        <w:rPr>
          <w:b/>
        </w:rPr>
        <w:t>Group ID:</w:t>
      </w:r>
      <w:r>
        <w:t xml:space="preserve"> group-f331c836f6e4b7519981</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Environmental risks and ecological integrity: the new european rules on nature restoration — https://doi.org/10.5194/egusphere-egu26-17987</w:t>
      </w:r>
    </w:p>
    <w:p>
      <w:pPr/>
      <w:r>
        <w:rPr>
          <w:b/>
        </w:rPr>
        <w:t>Later source:</w:t>
      </w:r>
      <w:r>
        <w:t xml:space="preserve"> Place-based leadership and environmental conflicts in the European Union — https://doi.org/10.1080/00343404.2025.2486644</w:t>
      </w:r>
    </w:p>
    <w:p>
      <w:pPr>
        <w:pStyle w:val="SourceNote"/>
      </w:pPr>
      <w:r>
        <w:rPr>
          <w:b/>
        </w:rPr>
        <w:t>Review status:</w:t>
      </w:r>
      <w:r>
        <w:t xml:space="preserve"> unchecked — possible relationship only</w:t>
      </w:r>
    </w:p>
    <w:p>
      <w:pPr>
        <w:pStyle w:val="Heading2"/>
      </w:pPr>
      <w:r>
        <w:t>336.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337. Claim + two later sources: Future Low-Carbon Transport Scenarios: Practice Theory-Based Visioning for Backcasting Studies</w:t>
      </w:r>
    </w:p>
    <w:p>
      <w:pPr>
        <w:pStyle w:val="SourceNote"/>
      </w:pPr>
      <w:r>
        <w:rPr>
          <w:b/>
        </w:rPr>
        <w:t>Group ID:</w:t>
      </w:r>
      <w:r>
        <w:t xml:space="preserve"> group-468e4984cd3749643be7</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Imaginaries of European Technology Frontrunners : Towards the Silicon Valley Vision or the European Dream? — https://openalex.org/W7204372713</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338. Claim + two later sources: An assessment of the impact of climate adaptation measures to reduce flood risk on ecosystem services</w:t>
      </w:r>
    </w:p>
    <w:p>
      <w:pPr>
        <w:pStyle w:val="SourceNote"/>
      </w:pPr>
      <w:r>
        <w:rPr>
          <w:b/>
        </w:rPr>
        <w:t>Group ID:</w:t>
      </w:r>
      <w:r>
        <w:t xml:space="preserve"> group-f277b02b0df5f9502cca</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Aneuploidy Can Be an Evolutionary Diversion on the Path to Adaptation — https://doi.org/10.1093/molbev/msae052</w:t>
      </w:r>
    </w:p>
    <w:p>
      <w:pPr/>
      <w:r>
        <w:rPr>
          <w:b/>
        </w:rPr>
        <w:t>Later source:</w:t>
      </w:r>
      <w:r>
        <w:t xml:space="preserve"> Environmental effects on genetic variance are likely to constrain adaptation in novel environments — https://doi.org/10.1093/evlett/qrad065</w:t>
      </w:r>
    </w:p>
    <w:p>
      <w:pPr>
        <w:pStyle w:val="SourceNote"/>
      </w:pPr>
      <w:r>
        <w:rPr>
          <w:b/>
        </w:rPr>
        <w:t>Review status:</w:t>
      </w:r>
      <w:r>
        <w:t xml:space="preserve"> unchecked — possible relationship only</w:t>
      </w:r>
    </w:p>
    <w:p>
      <w:pPr>
        <w:pStyle w:val="Heading2"/>
      </w:pPr>
      <w:r>
        <w:t>339. Claim + two later sources: Conditional forecasts of tourism exports and tourism export prices of the EU-15 within a global vector autoregression framework</w:t>
      </w:r>
    </w:p>
    <w:p>
      <w:pPr>
        <w:pStyle w:val="SourceNote"/>
      </w:pPr>
      <w:r>
        <w:rPr>
          <w:b/>
        </w:rPr>
        <w:t>Group ID:</w:t>
      </w:r>
      <w:r>
        <w:t xml:space="preserve"> group-ec3a451e063153cfc94c</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Lagged effect of tourism on environmental pollution: a comparative analysis among sub-Saharan African, European and Asian countries — https://doi.org/10.1007/s43621-025-02058-z</w:t>
      </w:r>
    </w:p>
    <w:p>
      <w:pPr/>
      <w:r>
        <w:rPr>
          <w:b/>
        </w:rPr>
        <w:t>Later source:</w:t>
      </w:r>
      <w:r>
        <w:t xml:space="preserve"> Google and Apple mobility data as predictors for European tourism during the COVID-19 pandemic: A neural network approach — https://doi.org/10.24136/eq.2023.013</w:t>
      </w:r>
    </w:p>
    <w:p>
      <w:pPr>
        <w:pStyle w:val="SourceNote"/>
      </w:pPr>
      <w:r>
        <w:rPr>
          <w:b/>
        </w:rPr>
        <w:t>Review status:</w:t>
      </w:r>
      <w:r>
        <w:t xml:space="preserve"> unchecked — possible relationship only</w:t>
      </w:r>
    </w:p>
    <w:p>
      <w:pPr>
        <w:pStyle w:val="Heading2"/>
      </w:pPr>
      <w:r>
        <w:t>340. Claim + two later sources: Balancing GHG mitigation and land-use conflicts: Alternative Northern European energy system scenarios</w:t>
      </w:r>
    </w:p>
    <w:p>
      <w:pPr>
        <w:pStyle w:val="SourceNote"/>
      </w:pPr>
      <w:r>
        <w:rPr>
          <w:b/>
        </w:rPr>
        <w:t>Group ID:</w:t>
      </w:r>
      <w:r>
        <w:t xml:space="preserve"> group-aec6c29d993bfe5f72c4</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Assimilating ESA CCI land surface temperature into the ORCHIDEE land surface model: insights from a multi-site study across Europe — https://doi.org/10.5194/hess-29-261-2025</w:t>
      </w:r>
    </w:p>
    <w:p>
      <w:pPr/>
      <w:r>
        <w:rPr>
          <w:b/>
        </w:rPr>
        <w:t>Later source:</w:t>
      </w:r>
      <w:r>
        <w:t xml:space="preserve"> The Cost-Effectiveness of Renewable Energy Sources in the European Union’s Ecological Economic Framework — https://doi.org/10.3390/su17104715</w:t>
      </w:r>
    </w:p>
    <w:p>
      <w:pPr>
        <w:pStyle w:val="SourceNote"/>
      </w:pPr>
      <w:r>
        <w:rPr>
          <w:b/>
        </w:rPr>
        <w:t>Review status:</w:t>
      </w:r>
      <w:r>
        <w:t xml:space="preserve"> unchecked — possible relationship only</w:t>
      </w:r>
    </w:p>
    <w:p>
      <w:pPr>
        <w:pStyle w:val="Heading2"/>
      </w:pPr>
      <w:r>
        <w:t>341.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possible relationship only</w:t>
      </w:r>
    </w:p>
    <w:p>
      <w:pPr>
        <w:pStyle w:val="Heading2"/>
      </w:pPr>
      <w:r>
        <w:t>342. Claim + two later sources: Scenarios for population health inequalities in 2030 in Europe: the EURO-HEALTHY project experience</w:t>
      </w:r>
    </w:p>
    <w:p>
      <w:pPr>
        <w:pStyle w:val="SourceNote"/>
      </w:pPr>
      <w:r>
        <w:rPr>
          <w:b/>
        </w:rPr>
        <w:t>Group ID:</w:t>
      </w:r>
      <w:r>
        <w:t xml:space="preserve"> group-b94b3fcb1dfdd11a8619</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Landscape Report on Diamond OA Publishing: Europe — https://doi.org/10.5281/zenodo.19236088</w:t>
      </w:r>
    </w:p>
    <w:p>
      <w:pPr/>
      <w:r>
        <w:rPr>
          <w:b/>
        </w:rPr>
        <w:t>Later source:</w:t>
      </w:r>
      <w:r>
        <w:t xml:space="preserve"> Europe as a subject and object of epistemic reflection — https://doi.org/10.30574/wjarr.2025.27.1.2547</w:t>
      </w:r>
    </w:p>
    <w:p>
      <w:pPr>
        <w:pStyle w:val="SourceNote"/>
      </w:pPr>
      <w:r>
        <w:rPr>
          <w:b/>
        </w:rPr>
        <w:t>Review status:</w:t>
      </w:r>
      <w:r>
        <w:t xml:space="preserve"> unchecked — possible relationship only</w:t>
      </w:r>
    </w:p>
    <w:p>
      <w:pPr>
        <w:pStyle w:val="Heading2"/>
      </w:pPr>
      <w:r>
        <w:t>343. Claim + two later sources: Long-term scenarios for reaching climate targets and energy security in UK</w:t>
      </w:r>
    </w:p>
    <w:p>
      <w:pPr>
        <w:pStyle w:val="SourceNote"/>
      </w:pPr>
      <w:r>
        <w:rPr>
          <w:b/>
        </w:rPr>
        <w:t>Group ID:</w:t>
      </w:r>
      <w:r>
        <w:t xml:space="preserve"> group-7c0c5a8302e92af13e5c</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A seasonal two-factor model for solar energy production: A climate extreme events analysis — https://doi.org/10.1016/j.eneco.2025.108611</w:t>
      </w:r>
    </w:p>
    <w:p>
      <w:pPr/>
      <w:r>
        <w:rPr>
          <w:b/>
        </w:rPr>
        <w:t>Later source:</w:t>
      </w:r>
      <w:r>
        <w:t xml:space="preserve"> Energy and Clean Air Policies Will Overcome the Adverse Effect of Climate Change and Reduce China's Ozone Pollution in the Future: The Insight From a New Two‐Stage Model — https://doi.org/10.1029/2024jd043182</w:t>
      </w:r>
    </w:p>
    <w:p>
      <w:pPr>
        <w:pStyle w:val="SourceNote"/>
      </w:pPr>
      <w:r>
        <w:rPr>
          <w:b/>
        </w:rPr>
        <w:t>Review status:</w:t>
      </w:r>
      <w:r>
        <w:t xml:space="preserve"> unchecked — possible relationship only</w:t>
      </w:r>
    </w:p>
    <w:p>
      <w:pPr>
        <w:pStyle w:val="Heading2"/>
      </w:pPr>
      <w:r>
        <w:t>344. Claim + two later sources: How far away is hydrogen? Its role in the medium and long-term decarbonisation of the European energy system</w:t>
      </w:r>
    </w:p>
    <w:p>
      <w:pPr>
        <w:pStyle w:val="SourceNote"/>
      </w:pPr>
      <w:r>
        <w:rPr>
          <w:b/>
        </w:rPr>
        <w:t>Group ID:</w:t>
      </w:r>
      <w:r>
        <w:t xml:space="preserve"> group-08061f5a9acd92c9f67c</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Determinants of Beef Trade Between the EU and South America and the Implications of the EU–Mercosur Agreement for the European Beef Sector — https://doi.org/10.3390/su18052172</w:t>
      </w:r>
    </w:p>
    <w:p>
      <w:pPr/>
      <w:r>
        <w:rPr>
          <w:b/>
        </w:rPr>
        <w:t>Later source:</w:t>
      </w:r>
      <w:r>
        <w:t xml:space="preserve"> Monitoring the impact of EU F-gas regulation on HFC-134a emissions through a comparison of top-down and bottom-up estimates — https://doi.org/10.1186/s12302-025-01081-1</w:t>
      </w:r>
    </w:p>
    <w:p>
      <w:pPr>
        <w:pStyle w:val="SourceNote"/>
      </w:pPr>
      <w:r>
        <w:rPr>
          <w:b/>
        </w:rPr>
        <w:t>Review status:</w:t>
      </w:r>
      <w:r>
        <w:t xml:space="preserve"> unchecked — possible relationship only</w:t>
      </w:r>
    </w:p>
    <w:p>
      <w:pPr>
        <w:pStyle w:val="Heading2"/>
      </w:pPr>
      <w:r>
        <w:t>345. Claim + two later sources: Renewable and Sustainable Energy Transitions for Countries with Different Climates and Renewable Energy Sources Potentials</w:t>
      </w:r>
    </w:p>
    <w:p>
      <w:pPr>
        <w:pStyle w:val="SourceNote"/>
      </w:pPr>
      <w:r>
        <w:rPr>
          <w:b/>
        </w:rPr>
        <w:t>Group ID:</w:t>
      </w:r>
      <w:r>
        <w:t xml:space="preserve"> group-f00bf4ad38101740e4ae</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Developing a European Psychotherapy Consortium (EPoC): Towards adopting a single-item self-report outcome measure across European countries — https://doi.org/10.32872/cpe.13827</w:t>
      </w:r>
    </w:p>
    <w:p>
      <w:pPr/>
      <w:r>
        <w:rPr>
          <w:b/>
        </w:rPr>
        <w:t>Later source:</w:t>
      </w:r>
      <w:r>
        <w:t xml:space="preserve"> Understanding Public Support for European Protected Areas: A Review of the Literature and Proposing a New Approach for Policy Makers — https://doi.org/10.3390/land11050733</w:t>
      </w:r>
    </w:p>
    <w:p>
      <w:pPr>
        <w:pStyle w:val="SourceNote"/>
      </w:pPr>
      <w:r>
        <w:rPr>
          <w:b/>
        </w:rPr>
        <w:t>Review status:</w:t>
      </w:r>
      <w:r>
        <w:t xml:space="preserve"> unchecked — possible relationship only</w:t>
      </w:r>
    </w:p>
    <w:p>
      <w:pPr>
        <w:pStyle w:val="Heading2"/>
      </w:pPr>
      <w:r>
        <w:t>346. Claim + two later sources: Socio-technical transitions in UK electricity: part 1 – history, actors and pathways</w:t>
      </w:r>
    </w:p>
    <w:p>
      <w:pPr>
        <w:pStyle w:val="SourceNote"/>
      </w:pPr>
      <w:r>
        <w:rPr>
          <w:b/>
        </w:rPr>
        <w:t>Group ID:</w:t>
      </w:r>
      <w:r>
        <w:t xml:space="preserve"> group-c31ac32b1e8d01e0feae</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The G20 in Focus: An Anthology of African Analyses, Priorities, and Pathways — https://doi.org/10.36615/9781997468950</w:t>
      </w:r>
    </w:p>
    <w:p>
      <w:pPr/>
      <w:r>
        <w:rPr>
          <w:b/>
        </w:rPr>
        <w:t>Later source:</w:t>
      </w:r>
      <w:r>
        <w:t xml:space="preserve"> The Kynurenine Pathway in Tuberculosis: Focus on Immunometabolic Regulation, Compartment-Specific Biology, and Therapeutic Potential — https://doi.org/10.3390/life16081350</w:t>
      </w:r>
    </w:p>
    <w:p>
      <w:pPr>
        <w:pStyle w:val="SourceNote"/>
      </w:pPr>
      <w:r>
        <w:rPr>
          <w:b/>
        </w:rPr>
        <w:t>Review status:</w:t>
      </w:r>
      <w:r>
        <w:t xml:space="preserve"> unchecked — possible relationship only</w:t>
      </w:r>
    </w:p>
    <w:p>
      <w:pPr>
        <w:pStyle w:val="Heading2"/>
      </w:pPr>
      <w:r>
        <w:t>347. Claim + two later sources: THE EUROPEAN MIGRATION CRISIS – ECONOMIC AND POLITICAL FACTORS AND CHALLENGES FOR THE FUTURE</w:t>
      </w:r>
    </w:p>
    <w:p>
      <w:pPr>
        <w:pStyle w:val="SourceNote"/>
      </w:pPr>
      <w:r>
        <w:rPr>
          <w:b/>
        </w:rPr>
        <w:t>Group ID:</w:t>
      </w:r>
      <w:r>
        <w:t xml:space="preserve"> group-829e1e45db7ca87973a1</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China-Central and Eastern European Countries Cooperation: Challenges and Restart — https://doi.org/10.18485/iipe_dijalozi_kina.2024.4.2.ch20</w:t>
      </w:r>
    </w:p>
    <w:p>
      <w:pPr/>
      <w:r>
        <w:rPr>
          <w:b/>
        </w:rPr>
        <w:t>Later source:</w:t>
      </w:r>
      <w:r>
        <w:t xml:space="preserve"> Reflections on Economic Governance in the Central European Countries — https://doi.org/10.54237/profnet.2024.znecogov_37</w:t>
      </w:r>
    </w:p>
    <w:p>
      <w:pPr>
        <w:pStyle w:val="SourceNote"/>
      </w:pPr>
      <w:r>
        <w:rPr>
          <w:b/>
        </w:rPr>
        <w:t>Review status:</w:t>
      </w:r>
      <w:r>
        <w:t xml:space="preserve"> unchecked — possible relationship only</w:t>
      </w:r>
    </w:p>
    <w:p>
      <w:pPr>
        <w:pStyle w:val="Heading2"/>
      </w:pPr>
      <w:r>
        <w:t>348. Claim + two later sources: Future population ageing and productivity in Finland under different education and fertility scenarios</w:t>
      </w:r>
    </w:p>
    <w:p>
      <w:pPr>
        <w:pStyle w:val="SourceNote"/>
      </w:pPr>
      <w:r>
        <w:rPr>
          <w:b/>
        </w:rPr>
        <w:t>Group ID:</w:t>
      </w:r>
      <w:r>
        <w:t xml:space="preserve"> group-d67b0bd08f7999e8e61c</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The Right to a Fair Remuneration and Fair Income Replacement in the European Social Charter: A Multidimensional Approach — https://doi.org/10.3935/zpfz.75.6.2</w:t>
      </w:r>
    </w:p>
    <w:p>
      <w:pPr/>
      <w:r>
        <w:rPr>
          <w:b/>
        </w:rPr>
        <w:t>Later source:</w:t>
      </w:r>
      <w:r>
        <w:t xml:space="preserve"> MULTIDIMENSIONAL LOCAL RESILIENCE – ANALYSIS OF ENVIRONMENTAL, DEMOGRAPHIC AND INFRASTRUCTURAL FACTORS — https://doi.org/10.29119/1641-3466.2026.244.3</w:t>
      </w:r>
    </w:p>
    <w:p>
      <w:pPr>
        <w:pStyle w:val="SourceNote"/>
      </w:pPr>
      <w:r>
        <w:rPr>
          <w:b/>
        </w:rPr>
        <w:t>Review status:</w:t>
      </w:r>
      <w:r>
        <w:t xml:space="preserve"> unchecked — possible relationship only</w:t>
      </w:r>
    </w:p>
    <w:p>
      <w:pPr>
        <w:pStyle w:val="Heading2"/>
      </w:pPr>
      <w:r>
        <w:t>349. Claim + two later sources: Are the European manufacturing and energy sectors on track for achieving net-zero emissions in 2050? An empirical analysis</w:t>
      </w:r>
    </w:p>
    <w:p>
      <w:pPr>
        <w:pStyle w:val="SourceNote"/>
      </w:pPr>
      <w:r>
        <w:rPr>
          <w:b/>
        </w:rPr>
        <w:t>Group ID:</w:t>
      </w:r>
      <w:r>
        <w:t xml:space="preserve"> group-a12cddb68a9f3cd8d4ae</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Achieving SDG 7 in the European Union: The Impact of Institutions and Macroeconomic Factors on Energy Conservation — https://doi.org/10.1002/sd.71042</w:t>
      </w:r>
    </w:p>
    <w:p>
      <w:pPr>
        <w:pStyle w:val="SourceNote"/>
      </w:pPr>
      <w:r>
        <w:rPr>
          <w:b/>
        </w:rPr>
        <w:t>Review status:</w:t>
      </w:r>
      <w:r>
        <w:t xml:space="preserve"> unchecked — possible relationship only</w:t>
      </w:r>
    </w:p>
    <w:p>
      <w:pPr>
        <w:pStyle w:val="Heading2"/>
      </w:pPr>
      <w:r>
        <w:t>350. Claim + two later sources: Scenarios for renewable energy deployment in North African countries and electricity exchange with Europe – A modelbased analysis for 2050</w:t>
      </w:r>
    </w:p>
    <w:p>
      <w:pPr>
        <w:pStyle w:val="SourceNote"/>
      </w:pPr>
      <w:r>
        <w:rPr>
          <w:b/>
        </w:rPr>
        <w:t>Group ID:</w:t>
      </w:r>
      <w:r>
        <w:t xml:space="preserve"> group-4b6c16193f313fe2ce16</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North Africa as an emerging green hydrogen hub: Algeria in focus — https://doi.org/10.1016/j.gerr.2026.100171</w:t>
      </w:r>
    </w:p>
    <w:p>
      <w:pPr/>
      <w:r>
        <w:rPr>
          <w:b/>
        </w:rPr>
        <w:t>Later source:</w:t>
      </w:r>
      <w:r>
        <w:t xml:space="preserve"> The European Union’s energy security based on renewables — https://doi.org/10.18559/978-83-8211-309-9/13</w:t>
      </w:r>
    </w:p>
    <w:p>
      <w:pPr>
        <w:pStyle w:val="SourceNote"/>
      </w:pPr>
      <w:r>
        <w:rPr>
          <w:b/>
        </w:rPr>
        <w:t>Review status:</w:t>
      </w:r>
      <w:r>
        <w:t xml:space="preserve"> unchecked — possible relationship only</w:t>
      </w:r>
    </w:p>
    <w:p>
      <w:pPr>
        <w:pStyle w:val="Heading2"/>
      </w:pPr>
      <w:r>
        <w:t>351. Claim + two later sources: ClimateEU, scale-free climate normals, historical time series, and future projections for Europe</w:t>
      </w:r>
    </w:p>
    <w:p>
      <w:pPr>
        <w:pStyle w:val="SourceNote"/>
      </w:pPr>
      <w:r>
        <w:rPr>
          <w:b/>
        </w:rPr>
        <w:t>Group ID:</w:t>
      </w:r>
      <w:r>
        <w:t xml:space="preserve"> group-1d1bbcee353f48ace087</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EuPPollNet : A European Database of Plant‐Pollinator Networks — https://doi.org/10.1111/geb.70000</w:t>
      </w:r>
    </w:p>
    <w:p>
      <w:pPr/>
      <w:r>
        <w:rPr>
          <w:b/>
        </w:rPr>
        <w:t>Later source:</w:t>
      </w:r>
      <w:r>
        <w:t xml:space="preserve"> In temperate Europe, fire is already here: The case of The Netherlands — https://doi.org/10.1007/s13280-023-01960-y</w:t>
      </w:r>
    </w:p>
    <w:p>
      <w:pPr>
        <w:pStyle w:val="SourceNote"/>
      </w:pPr>
      <w:r>
        <w:rPr>
          <w:b/>
        </w:rPr>
        <w:t>Review status:</w:t>
      </w:r>
      <w:r>
        <w:t xml:space="preserve"> unchecked — possible relationship only</w:t>
      </w:r>
    </w:p>
    <w:p>
      <w:pPr>
        <w:pStyle w:val="Heading2"/>
      </w:pPr>
      <w:r>
        <w:t>352. Claim + two later sources: Brexit and Its Impact on Poland’s Policy Towards Europe – An Attempt to Forecast</w:t>
      </w:r>
    </w:p>
    <w:p>
      <w:pPr>
        <w:pStyle w:val="SourceNote"/>
      </w:pPr>
      <w:r>
        <w:rPr>
          <w:b/>
        </w:rPr>
        <w:t>Group ID:</w:t>
      </w:r>
      <w:r>
        <w:t xml:space="preserve"> group-b25d7de08435aff45571</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The carbon footprint of the hard coal sector in Poland in the context of the evolution of the European Union’s climate neutrality policy — https://doi.org/10.46873/2300-3960.1506</w:t>
      </w:r>
    </w:p>
    <w:p>
      <w:pPr/>
      <w:r>
        <w:rPr>
          <w:b/>
        </w:rPr>
        <w:t>Later source:</w:t>
      </w:r>
      <w:r>
        <w:t xml:space="preserve"> Contemporary institutional challenges in national innovation policy governance in Poland and Sweden in the context of the European Union’s competitiveness — https://doi.org/10.31338/1641-2478pe.3.26.6</w:t>
      </w:r>
    </w:p>
    <w:p>
      <w:pPr>
        <w:pStyle w:val="SourceNote"/>
      </w:pPr>
      <w:r>
        <w:rPr>
          <w:b/>
        </w:rPr>
        <w:t>Review status:</w:t>
      </w:r>
      <w:r>
        <w:t xml:space="preserve"> unchecked — possible relationship only</w:t>
      </w:r>
    </w:p>
    <w:p>
      <w:pPr>
        <w:pStyle w:val="Heading2"/>
      </w:pPr>
      <w:r>
        <w:t>353. Claim + two later sources: The use of probabilistic weather generator information for climate change adaptation in the UK water sector</w:t>
      </w:r>
    </w:p>
    <w:p>
      <w:pPr>
        <w:pStyle w:val="SourceNote"/>
      </w:pPr>
      <w:r>
        <w:rPr>
          <w:b/>
        </w:rPr>
        <w:t>Group ID:</w:t>
      </w:r>
      <w:r>
        <w:t xml:space="preserve"> group-9434fd0e59879986ccf1</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Response to Comment on “Soluble Receptor for Advanced Glycation End Products and Incident Hypertension in REGARDS” — https://doi.org/10.1093/ajh/hpaf229</w:t>
      </w:r>
    </w:p>
    <w:p>
      <w:pPr/>
      <w:r>
        <w:rPr>
          <w:b/>
        </w:rPr>
        <w:t>Later source:</w:t>
      </w:r>
      <w:r>
        <w:t xml:space="preserve"> Interpretation of Second Law of Thermodynamics in Extended Procedures for the Exploitation of the Entropy Inequality: Korteweg Fluids and Strain-Gradient Elasticity as Examples — https://doi.org/10.3390/e26040293</w:t>
      </w:r>
    </w:p>
    <w:p>
      <w:pPr>
        <w:pStyle w:val="SourceNote"/>
      </w:pPr>
      <w:r>
        <w:rPr>
          <w:b/>
        </w:rPr>
        <w:t>Review status:</w:t>
      </w:r>
      <w:r>
        <w:t xml:space="preserve"> unchecked — possible relationship only</w:t>
      </w:r>
    </w:p>
    <w:p>
      <w:pPr>
        <w:pStyle w:val="Heading2"/>
      </w:pPr>
      <w:r>
        <w:t>354. Claim + two later sources: Renewable jet fuel supply scenarios in the European Union in 2021–2030 in the context of proposed biofuel policy and competing biomass demand</w:t>
      </w:r>
    </w:p>
    <w:p>
      <w:pPr>
        <w:pStyle w:val="SourceNote"/>
      </w:pPr>
      <w:r>
        <w:rPr>
          <w:b/>
        </w:rPr>
        <w:t>Group ID:</w:t>
      </w:r>
      <w:r>
        <w:t xml:space="preserve"> group-0ec5897daf286682441d</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Effects of different renewable electricity diffusion paths and restricted european cooperation on Europe's hydrogen supply — https://doi.org/10.1016/j.esr.2024.101589</w:t>
      </w:r>
    </w:p>
    <w:p>
      <w:pPr/>
      <w:r>
        <w:rPr>
          <w:b/>
        </w:rPr>
        <w:t>Later source:</w:t>
      </w:r>
      <w:r>
        <w:t xml:space="preserve"> A review of product safety regulations in the European Union — https://doi.org/10.1365/s43439-022-00057-8</w:t>
      </w:r>
    </w:p>
    <w:p>
      <w:pPr>
        <w:pStyle w:val="SourceNote"/>
      </w:pPr>
      <w:r>
        <w:rPr>
          <w:b/>
        </w:rPr>
        <w:t>Review status:</w:t>
      </w:r>
      <w:r>
        <w:t xml:space="preserve"> unchecked — possible relationship only</w:t>
      </w:r>
    </w:p>
    <w:p>
      <w:pPr>
        <w:pStyle w:val="Heading2"/>
      </w:pPr>
      <w:r>
        <w:t>355. Claim + two later sources: Making sense of the future: visions and transition pathways of laypeople and professionals from six EU countries</w:t>
      </w:r>
    </w:p>
    <w:p>
      <w:pPr>
        <w:pStyle w:val="SourceNote"/>
      </w:pPr>
      <w:r>
        <w:rPr>
          <w:b/>
        </w:rPr>
        <w:t>Group ID:</w:t>
      </w:r>
      <w:r>
        <w:t xml:space="preserve"> group-cbbb6698fbb2a885c8e5</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Pathways to Circularity: Engagement Patterns of European SMEs in the Circular Economy — https://doi.org/10.1002/bse.4192</w:t>
      </w:r>
    </w:p>
    <w:p>
      <w:pPr>
        <w:pStyle w:val="SourceNote"/>
      </w:pPr>
      <w:r>
        <w:rPr>
          <w:b/>
        </w:rPr>
        <w:t>Review status:</w:t>
      </w:r>
      <w:r>
        <w:t xml:space="preserve"> unchecked — possible relationship only</w:t>
      </w:r>
    </w:p>
    <w:p>
      <w:pPr>
        <w:pStyle w:val="Heading2"/>
      </w:pPr>
      <w:r>
        <w:t>356.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357. Claim + two later sources: Futurescapes: expectations in Europe for relative effectiveness evidence for drugs in 2020</w:t>
      </w:r>
    </w:p>
    <w:p>
      <w:pPr>
        <w:pStyle w:val="SourceNote"/>
      </w:pPr>
      <w:r>
        <w:rPr>
          <w:b/>
        </w:rPr>
        <w:t>Group ID:</w:t>
      </w:r>
      <w:r>
        <w:t xml:space="preserve"> group-76b0be7333c039703bcd</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Seasonal Climate Change in Europe Over the Last Thousand Years as a Social Challenge — https://doi.org/10.1093/acrefore/9780190228620.013.980</w:t>
      </w:r>
    </w:p>
    <w:p>
      <w:pPr/>
      <w:r>
        <w:rPr>
          <w:b/>
        </w:rPr>
        <w:t>Later source:</w:t>
      </w:r>
      <w:r>
        <w:t xml:space="preserve"> A Governance Analysis of BEFIT: How the Member States’ Wish to Obtain more Regulatory Authority is Driving a Revolution — https://doi.org/10.54648/ecta2023025</w:t>
      </w:r>
    </w:p>
    <w:p>
      <w:pPr>
        <w:pStyle w:val="SourceNote"/>
      </w:pPr>
      <w:r>
        <w:rPr>
          <w:b/>
        </w:rPr>
        <w:t>Review status:</w:t>
      </w:r>
      <w:r>
        <w:t xml:space="preserve"> unchecked — possible relationship only</w:t>
      </w:r>
    </w:p>
    <w:p>
      <w:pPr>
        <w:pStyle w:val="Heading2"/>
      </w:pPr>
      <w:r>
        <w:t>358. Claim + two later sources: The impact of EU Climate/Energy policies on Belgium’s energy dependence up to 2050</w:t>
      </w:r>
    </w:p>
    <w:p>
      <w:pPr>
        <w:pStyle w:val="SourceNote"/>
      </w:pPr>
      <w:r>
        <w:rPr>
          <w:b/>
        </w:rPr>
        <w:t>Group ID:</w:t>
      </w:r>
      <w:r>
        <w:t xml:space="preserve"> group-024463b5e1242a2c8495</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Les « groupes Medvedkine » (1967-1974), transfert tardif de la culture d’agit-prop soviétique ? — https://openalex.org/W4364379400</w:t>
      </w:r>
    </w:p>
    <w:p>
      <w:pPr/>
      <w:r>
        <w:rPr>
          <w:b/>
        </w:rPr>
        <w:t>Later source:</w:t>
      </w:r>
      <w:r>
        <w:t xml:space="preserve"> Le rôle du commerce pour une adaptation résiliente au changement climatique dans l’agriculture africaine — https://doi.org/10.3917/edd.363.0041</w:t>
      </w:r>
    </w:p>
    <w:p>
      <w:pPr>
        <w:pStyle w:val="SourceNote"/>
      </w:pPr>
      <w:r>
        <w:rPr>
          <w:b/>
        </w:rPr>
        <w:t>Review status:</w:t>
      </w:r>
      <w:r>
        <w:t xml:space="preserve"> unchecked — possible relationship only</w:t>
      </w:r>
    </w:p>
    <w:p>
      <w:pPr>
        <w:pStyle w:val="Heading2"/>
      </w:pPr>
      <w:r>
        <w:t>359. Claim + two later sources: The Future of European Labour Law and the Right to Employability</w:t>
      </w:r>
    </w:p>
    <w:p>
      <w:pPr>
        <w:pStyle w:val="SourceNote"/>
      </w:pPr>
      <w:r>
        <w:rPr>
          <w:b/>
        </w:rPr>
        <w:t>Group ID:</w:t>
      </w:r>
      <w:r>
        <w:t xml:space="preserve"> group-41f32b49dc5cf2b95b64</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Guiding AI in radiology: ESR’s recommendations for effective implementation of the European AI Act — https://doi.org/10.1186/s13244-025-01905-x</w:t>
      </w:r>
    </w:p>
    <w:p>
      <w:pPr/>
      <w:r>
        <w:rPr>
          <w:b/>
        </w:rPr>
        <w:t>Later source:</w:t>
      </w:r>
      <w:r>
        <w:t xml:space="preserve"> European expert recommendations on clinical investigation and evaluation of high‐risk medical devices for children — https://doi.org/10.1111/apa.16919</w:t>
      </w:r>
    </w:p>
    <w:p>
      <w:pPr>
        <w:pStyle w:val="SourceNote"/>
      </w:pPr>
      <w:r>
        <w:rPr>
          <w:b/>
        </w:rPr>
        <w:t>Review status:</w:t>
      </w:r>
      <w:r>
        <w:t xml:space="preserve"> unchecked — possible relationship only</w:t>
      </w:r>
    </w:p>
    <w:p>
      <w:pPr>
        <w:pStyle w:val="Heading2"/>
      </w:pPr>
      <w:r>
        <w:t>360. Claim + two later sources: UK-EU RELATIONSHIP AFTER BREXIT: AN EXERCISE IN SCENARIO-BUILDING</w:t>
      </w:r>
    </w:p>
    <w:p>
      <w:pPr>
        <w:pStyle w:val="SourceNote"/>
      </w:pPr>
      <w:r>
        <w:rPr>
          <w:b/>
        </w:rPr>
        <w:t>Group ID:</w:t>
      </w:r>
      <w:r>
        <w:t xml:space="preserve"> group-334bbc355d1441e0ae7b</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Unsettling mainstream academic debates on community-based energy governance: Exploring the Japanese experience — https://doi.org/10.1016/j.rser.2024.114994</w:t>
      </w:r>
    </w:p>
    <w:p>
      <w:pPr/>
      <w:r>
        <w:rPr>
          <w:b/>
        </w:rPr>
        <w:t>Later source:</w:t>
      </w:r>
      <w:r>
        <w:t xml:space="preserve"> Sustainable development in the European Union — https://doi.org/10.4324/9780429262081-25</w:t>
      </w:r>
    </w:p>
    <w:p>
      <w:pPr>
        <w:pStyle w:val="SourceNote"/>
      </w:pPr>
      <w:r>
        <w:rPr>
          <w:b/>
        </w:rPr>
        <w:t>Review status:</w:t>
      </w:r>
      <w:r>
        <w:t xml:space="preserve"> unchecked — possible relationship only</w:t>
      </w:r>
    </w:p>
    <w:p>
      <w:pPr>
        <w:pStyle w:val="Heading2"/>
      </w:pPr>
      <w:r>
        <w:t>361.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362. Claim + two later sources: Efficiency of the European Union farm types: Scenarios with and without the 2013 CAP measures</w:t>
      </w:r>
    </w:p>
    <w:p>
      <w:pPr>
        <w:pStyle w:val="SourceNote"/>
      </w:pPr>
      <w:r>
        <w:rPr>
          <w:b/>
        </w:rPr>
        <w:t>Group ID:</w:t>
      </w:r>
      <w:r>
        <w:t xml:space="preserve"> group-8672d0a44ec9106eee4c</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Contract Design for "Enterprise+Farmer" Sharecropping Family Farms — A Comparison of Institutional Evolution in American and French Family Farms — https://doi.org/10.62177/apemr.v3i1.1034</w:t>
      </w:r>
    </w:p>
    <w:p>
      <w:pPr/>
      <w:r>
        <w:rPr>
          <w:b/>
        </w:rPr>
        <w:t>Later source:</w:t>
      </w:r>
      <w:r>
        <w:t xml:space="preserve"> An analysis of the response behaviour of farms in the Farm Structure Survey — https://doi.org/10.71014/sieds.v80i2.507</w:t>
      </w:r>
    </w:p>
    <w:p>
      <w:pPr>
        <w:pStyle w:val="SourceNote"/>
      </w:pPr>
      <w:r>
        <w:rPr>
          <w:b/>
        </w:rPr>
        <w:t>Review status:</w:t>
      </w:r>
      <w:r>
        <w:t xml:space="preserve"> unchecked — possible relationship only</w:t>
      </w:r>
    </w:p>
    <w:p>
      <w:pPr>
        <w:pStyle w:val="Heading2"/>
      </w:pPr>
      <w:r>
        <w:t>363. Claim + two later sources: Towards a decarbonised building stock by 2050: The meaning and the role of zero emission buildings (ZEBs) in Europe</w:t>
      </w:r>
    </w:p>
    <w:p>
      <w:pPr>
        <w:pStyle w:val="SourceNote"/>
      </w:pPr>
      <w:r>
        <w:rPr>
          <w:b/>
        </w:rPr>
        <w:t>Group ID:</w:t>
      </w:r>
      <w:r>
        <w:t xml:space="preserve"> group-2da713d83f2607caeff2</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A BIM–LCA Framework for Whole-Life Carbon Assessment Under EPBD: Scope Alignment, Functional Unit Robustness, and Cross-Tool Validation — https://doi.org/10.3390/app16062637</w:t>
      </w:r>
    </w:p>
    <w:p>
      <w:pPr>
        <w:pStyle w:val="SourceNote"/>
      </w:pPr>
      <w:r>
        <w:rPr>
          <w:b/>
        </w:rPr>
        <w:t>Review status:</w:t>
      </w:r>
      <w:r>
        <w:t xml:space="preserve"> unchecked — possible relationship only</w:t>
      </w:r>
    </w:p>
    <w:p>
      <w:pPr>
        <w:pStyle w:val="Heading2"/>
      </w:pPr>
      <w:r>
        <w:t>364. Claim + two later sources: New European socio-economic scenarios for climate change research: operationalising concepts to extend the shared socio-economic pathways</w:t>
      </w:r>
    </w:p>
    <w:p>
      <w:pPr>
        <w:pStyle w:val="SourceNote"/>
      </w:pPr>
      <w:r>
        <w:rPr>
          <w:b/>
        </w:rPr>
        <w:t>Group ID:</w:t>
      </w:r>
      <w:r>
        <w:t xml:space="preserve"> group-cb8e05d69feb7dfd4cf3</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Scaling Decision‐Support Tools to Promote Soil Health: Insights From Stakeholders in Europe and Turkey — https://doi.org/10.1111/ejss.70113</w:t>
      </w:r>
    </w:p>
    <w:p>
      <w:pPr/>
      <w:r>
        <w:rPr>
          <w:b/>
        </w:rPr>
        <w:t>Later source:</w:t>
      </w:r>
      <w:r>
        <w:t xml:space="preserve"> Understanding and simulating cropland and non-cropland burning in Europe using the BASE (Burnt Area Simulator for Europe) model — https://doi.org/10.5194/bg-21-5539-2024</w:t>
      </w:r>
    </w:p>
    <w:p>
      <w:pPr>
        <w:pStyle w:val="SourceNote"/>
      </w:pPr>
      <w:r>
        <w:rPr>
          <w:b/>
        </w:rPr>
        <w:t>Review status:</w:t>
      </w:r>
      <w:r>
        <w:t xml:space="preserve"> unchecked — possible relationship only</w:t>
      </w:r>
    </w:p>
    <w:p>
      <w:pPr>
        <w:pStyle w:val="Heading2"/>
      </w:pPr>
      <w:r>
        <w:t>365. Claim + two later sources: On European metropolisation scenarios and the future course of metropolitan development in Poland</w:t>
      </w:r>
    </w:p>
    <w:p>
      <w:pPr>
        <w:pStyle w:val="SourceNote"/>
      </w:pPr>
      <w:r>
        <w:rPr>
          <w:b/>
        </w:rPr>
        <w:t>Group ID:</w:t>
      </w:r>
      <w:r>
        <w:t xml:space="preserve"> group-20f2343f59e97488d66b</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Regulatory barriers and incentives for alternative proteins in the European Union and Australia–New Zealand — https://doi.org/10.1108/bfj-06-2024-0650</w:t>
      </w:r>
    </w:p>
    <w:p>
      <w:pPr>
        <w:pStyle w:val="SourceNote"/>
      </w:pPr>
      <w:r>
        <w:rPr>
          <w:b/>
        </w:rPr>
        <w:t>Review status:</w:t>
      </w:r>
      <w:r>
        <w:t xml:space="preserve"> unchecked — possible relationship only</w:t>
      </w:r>
    </w:p>
    <w:p>
      <w:pPr>
        <w:pStyle w:val="Heading2"/>
      </w:pPr>
      <w:r>
        <w:t>366. Claim + two later sources: Convergence of Population Structures of the European Union Member States—The Past and the Future</w:t>
      </w:r>
    </w:p>
    <w:p>
      <w:pPr>
        <w:pStyle w:val="SourceNote"/>
      </w:pPr>
      <w:r>
        <w:rPr>
          <w:b/>
        </w:rPr>
        <w:t>Group ID:</w:t>
      </w:r>
      <w:r>
        <w:t xml:space="preserve"> group-9f52cd2605f5cdbc3c1b</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Different shades of demographic change : the uneven nature of population loss in Europe — https://openalex.org/W7134715160</w:t>
      </w:r>
    </w:p>
    <w:p>
      <w:pPr/>
      <w:r>
        <w:rPr>
          <w:b/>
        </w:rPr>
        <w:t>Later source:</w:t>
      </w:r>
      <w:r>
        <w:t xml:space="preserve"> Forecasting circular economy indicators: A Machine Learning study of European Union member states — https://doi.org/10.1016/j.jclepro.2026.147982</w:t>
      </w:r>
    </w:p>
    <w:p>
      <w:pPr>
        <w:pStyle w:val="SourceNote"/>
      </w:pPr>
      <w:r>
        <w:rPr>
          <w:b/>
        </w:rPr>
        <w:t>Review status:</w:t>
      </w:r>
      <w:r>
        <w:t xml:space="preserve"> unchecked — possible relationship only</w:t>
      </w:r>
    </w:p>
    <w:p>
      <w:pPr>
        <w:pStyle w:val="Heading2"/>
      </w:pPr>
      <w:r>
        <w:t>367. Claim + two later sources: More green infrastructure is required to maintain ecosystem services under current trends in land-use change in Europe</w:t>
      </w:r>
    </w:p>
    <w:p>
      <w:pPr>
        <w:pStyle w:val="SourceNote"/>
      </w:pPr>
      <w:r>
        <w:rPr>
          <w:b/>
        </w:rPr>
        <w:t>Group ID:</w:t>
      </w:r>
      <w:r>
        <w:t xml:space="preserve"> group-d1e359d72ce0b675772d</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Citizens Panels: Assessing their Legitimacy and Meaning for the European Commission — https://openalex.org/W7222989255</w:t>
      </w:r>
    </w:p>
    <w:p>
      <w:pPr/>
      <w:r>
        <w:rPr>
          <w:b/>
        </w:rPr>
        <w:t>Later source:</w:t>
      </w:r>
      <w:r>
        <w:t xml:space="preserve"> Assessment of New Climate And Energy Targets for the Baltic States — https://doi.org/10.5709/ce.1897-9254.563</w:t>
      </w:r>
    </w:p>
    <w:p>
      <w:pPr>
        <w:pStyle w:val="SourceNote"/>
      </w:pPr>
      <w:r>
        <w:rPr>
          <w:b/>
        </w:rPr>
        <w:t>Review status:</w:t>
      </w:r>
      <w:r>
        <w:t xml:space="preserve"> unchecked — possible relationship only</w:t>
      </w:r>
    </w:p>
    <w:p>
      <w:pPr>
        <w:pStyle w:val="Heading2"/>
      </w:pPr>
      <w:r>
        <w:t>368. Claim + two later sources: Finland-Russia rail transport deregulation: future scenarios of market development</w:t>
      </w:r>
    </w:p>
    <w:p>
      <w:pPr>
        <w:pStyle w:val="SourceNote"/>
      </w:pPr>
      <w:r>
        <w:rPr>
          <w:b/>
        </w:rPr>
        <w:t>Group ID:</w:t>
      </w:r>
      <w:r>
        <w:t xml:space="preserve"> group-03abd0295d71d0f4693e</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Kinds, Essences, and Natures — https://doi.org/10.4324/9781315709604-14</w:t>
      </w:r>
    </w:p>
    <w:p>
      <w:pPr/>
      <w:r>
        <w:rPr>
          <w:b/>
        </w:rPr>
        <w:t>Later source:</w:t>
      </w:r>
      <w:r>
        <w:t xml:space="preserve"> Spatial Patterns in Actual Evapotranspiration Climatologies for Europe — https://doi.org/10.3390/rs13122410</w:t>
      </w:r>
    </w:p>
    <w:p>
      <w:pPr>
        <w:pStyle w:val="SourceNote"/>
      </w:pPr>
      <w:r>
        <w:rPr>
          <w:b/>
        </w:rPr>
        <w:t>Review status:</w:t>
      </w:r>
      <w:r>
        <w:t xml:space="preserve"> unchecked — possible relationship only</w:t>
      </w:r>
    </w:p>
    <w:p>
      <w:pPr>
        <w:pStyle w:val="Heading2"/>
      </w:pPr>
      <w:r>
        <w:t>369. Claim + two later sources: Futuribles of learning 2030 - Delphi supports the reform of the core curricula in Finland</w:t>
      </w:r>
    </w:p>
    <w:p>
      <w:pPr>
        <w:pStyle w:val="SourceNote"/>
      </w:pPr>
      <w:r>
        <w:rPr>
          <w:b/>
        </w:rPr>
        <w:t>Group ID:</w:t>
      </w:r>
      <w:r>
        <w:t xml:space="preserve"> group-fe03aae0b34e8ad1b632</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A Review of the AGE Barometer 2023: EU Good Practices and Barriers in the Empowerment of Elderly in the Labour Market - The Case of Hungary — https://doi.org/10.47225/mg/15/42/14315</w:t>
      </w:r>
    </w:p>
    <w:p>
      <w:pPr/>
      <w:r>
        <w:rPr>
          <w:b/>
        </w:rPr>
        <w:t>Later source:</w:t>
      </w:r>
      <w:r>
        <w:t xml:space="preserve"> COVID-19 and schooling: evaluation, assessment and accountability in times of crises—reacting quickly to explore key issues for policy, practice and research with the school barometer — https://doi.org/10.1007/s11092-020-09322-y</w:t>
      </w:r>
    </w:p>
    <w:p>
      <w:pPr>
        <w:pStyle w:val="SourceNote"/>
      </w:pPr>
      <w:r>
        <w:rPr>
          <w:b/>
        </w:rPr>
        <w:t>Review status:</w:t>
      </w:r>
      <w:r>
        <w:t xml:space="preserve"> unchecked — possible relationship only</w:t>
      </w:r>
    </w:p>
    <w:p>
      <w:pPr>
        <w:pStyle w:val="Heading2"/>
      </w:pPr>
      <w:r>
        <w:t>370. Claim + two later sources: Making or breaking climate targets: The AMPERE study on staged accession scenarios for climate policy</w:t>
      </w:r>
    </w:p>
    <w:p>
      <w:pPr>
        <w:pStyle w:val="SourceNote"/>
      </w:pPr>
      <w:r>
        <w:rPr>
          <w:b/>
        </w:rPr>
        <w:t>Group ID:</w:t>
      </w:r>
      <w:r>
        <w:t xml:space="preserve"> group-e285b2374683306ce3f5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Observation of near-inertial oscillations trapped over inclined front on continental shelf of the northwestern South China Sea — https://doi.org/10.1016/j.jmarsys.2026.104305</w:t>
      </w:r>
    </w:p>
    <w:p>
      <w:pPr>
        <w:pStyle w:val="SourceNote"/>
      </w:pPr>
      <w:r>
        <w:rPr>
          <w:b/>
        </w:rPr>
        <w:t>Review status:</w:t>
      </w:r>
      <w:r>
        <w:t xml:space="preserve"> unchecked — possible relationship only</w:t>
      </w:r>
    </w:p>
    <w:p>
      <w:pPr>
        <w:pStyle w:val="Heading2"/>
      </w:pPr>
      <w:r>
        <w:t>371.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372. Claim + two later sources: Potential for hydrogen and Power-to-Liquid in a low-carbon EU energy system using cost optimization</w:t>
      </w:r>
    </w:p>
    <w:p>
      <w:pPr>
        <w:pStyle w:val="SourceNote"/>
      </w:pPr>
      <w:r>
        <w:rPr>
          <w:b/>
        </w:rPr>
        <w:t>Group ID:</w:t>
      </w:r>
      <w:r>
        <w:t xml:space="preserve"> group-ab6d8c5114719b4177ae</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Can a wealth tax reduce CO2 emissions in Europe? — https://doi.org/10.1016/j.ecolecon.2026.109231</w:t>
      </w:r>
    </w:p>
    <w:p>
      <w:pPr/>
      <w:r>
        <w:rPr>
          <w:b/>
        </w:rPr>
        <w:t>Later source:</w:t>
      </w:r>
      <w:r>
        <w:t xml:space="preserve"> Regional Pathways to Internationalization: The Role of Erasmus+ in European HEIs — https://doi.org/10.3390/urbansci9050144</w:t>
      </w:r>
    </w:p>
    <w:p>
      <w:pPr>
        <w:pStyle w:val="SourceNote"/>
      </w:pPr>
      <w:r>
        <w:rPr>
          <w:b/>
        </w:rPr>
        <w:t>Review status:</w:t>
      </w:r>
      <w:r>
        <w:t xml:space="preserve"> unchecked — possible relationship only</w:t>
      </w:r>
    </w:p>
    <w:p>
      <w:pPr>
        <w:pStyle w:val="Heading2"/>
      </w:pPr>
      <w:r>
        <w:t>373. Claim + two later sources: Multi-model ensemble simulations of olive pollen distribution in Europe in 2014: current status and outlook</w:t>
      </w:r>
    </w:p>
    <w:p>
      <w:pPr>
        <w:pStyle w:val="SourceNote"/>
      </w:pPr>
      <w:r>
        <w:rPr>
          <w:b/>
        </w:rPr>
        <w:t>Group ID:</w:t>
      </w:r>
      <w:r>
        <w:t xml:space="preserve"> group-347ecc1d03feea40c7b1</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Factors explaining adolescents’ digital skills in Europe — https://doi.org/10.1057/s41599-025-05241-9</w:t>
      </w:r>
    </w:p>
    <w:p>
      <w:pPr/>
      <w:r>
        <w:rPr>
          <w:b/>
        </w:rPr>
        <w:t>Later source:</w:t>
      </w:r>
      <w:r>
        <w:t xml:space="preserve"> Triple Collocation-Based Uncertainty Analysis and Data Fusion of Multi-Source Evapotranspiration Data Across China — https://doi.org/10.3390/atmos15121410</w:t>
      </w:r>
    </w:p>
    <w:p>
      <w:pPr>
        <w:pStyle w:val="SourceNote"/>
      </w:pPr>
      <w:r>
        <w:rPr>
          <w:b/>
        </w:rPr>
        <w:t>Review status:</w:t>
      </w:r>
      <w:r>
        <w:t xml:space="preserve"> unchecked — possible relationship only</w:t>
      </w:r>
    </w:p>
    <w:p>
      <w:pPr>
        <w:pStyle w:val="Heading2"/>
      </w:pPr>
      <w:r>
        <w:t>374. Claim + two later sources: Policy insights and modelling challenges: The case of passenger car powertrain technology transition in the European Union</w:t>
      </w:r>
    </w:p>
    <w:p>
      <w:pPr>
        <w:pStyle w:val="SourceNote"/>
      </w:pPr>
      <w:r>
        <w:rPr>
          <w:b/>
        </w:rPr>
        <w:t>Group ID:</w:t>
      </w:r>
      <w:r>
        <w:t xml:space="preserve"> group-12409823a863944cd7de</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The Europeanization of constitutions: experience of European Union Member States in the context of Ukraine’s candidate status — https://doi.org/10.33663/0869-2491-2026-37-660-676</w:t>
      </w:r>
    </w:p>
    <w:p>
      <w:pPr/>
      <w:r>
        <w:rPr>
          <w:b/>
        </w:rPr>
        <w:t>Later source:</w:t>
      </w:r>
      <w:r>
        <w:t xml:space="preserve"> Media Policy Transfer in Europe — https://doi.org/10.1017/9781009568159.013</w:t>
      </w:r>
    </w:p>
    <w:p>
      <w:pPr>
        <w:pStyle w:val="SourceNote"/>
      </w:pPr>
      <w:r>
        <w:rPr>
          <w:b/>
        </w:rPr>
        <w:t>Review status:</w:t>
      </w:r>
      <w:r>
        <w:t xml:space="preserve"> unchecked — possible relationship only</w:t>
      </w:r>
    </w:p>
    <w:p>
      <w:pPr>
        <w:pStyle w:val="Heading2"/>
      </w:pPr>
      <w:r>
        <w:t>375. Claim + two later sources: Soil Governance in current European Union Law and in the European Green Deal</w:t>
      </w:r>
    </w:p>
    <w:p>
      <w:pPr>
        <w:pStyle w:val="SourceNote"/>
      </w:pPr>
      <w:r>
        <w:rPr>
          <w:b/>
        </w:rPr>
        <w:t>Group ID:</w:t>
      </w:r>
      <w:r>
        <w:t xml:space="preserve"> group-8c6828e1203cceb71115</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Daylight illuminance modelling for the United Kingdom and Europe — https://doi.org/10.17869/enu.288937</w:t>
      </w:r>
    </w:p>
    <w:p>
      <w:pPr/>
      <w:r>
        <w:rPr>
          <w:b/>
        </w:rPr>
        <w:t>Later source:</w:t>
      </w:r>
      <w:r>
        <w:t xml:space="preserve"> Critical materials and manufacturing: Comparing China, the European Union, Japan, and the United States — https://doi.org/10.1016/j.rcradv.2025.200250</w:t>
      </w:r>
    </w:p>
    <w:p>
      <w:pPr>
        <w:pStyle w:val="SourceNote"/>
      </w:pPr>
      <w:r>
        <w:rPr>
          <w:b/>
        </w:rPr>
        <w:t>Review status:</w:t>
      </w:r>
      <w:r>
        <w:t xml:space="preserve"> unchecked — possible relationship only</w:t>
      </w:r>
    </w:p>
    <w:p>
      <w:pPr>
        <w:pStyle w:val="Heading2"/>
      </w:pPr>
      <w:r>
        <w:t>376.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group-1090e1b5317f8e314677</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Indian Anthropology Against the Backdrop of World Anthropology — https://doi.org/10.1177/0972558x251320485</w:t>
      </w:r>
    </w:p>
    <w:p>
      <w:pPr/>
      <w:r>
        <w:rPr>
          <w:b/>
        </w:rPr>
        <w:t>Later source:</w:t>
      </w:r>
      <w:r>
        <w:t xml:space="preserve"> Housing affordability and poverty in Europe: on the deteriorating position of market renters — https://doi.org/10.1017/s0047279423000703</w:t>
      </w:r>
    </w:p>
    <w:p>
      <w:pPr>
        <w:pStyle w:val="SourceNote"/>
      </w:pPr>
      <w:r>
        <w:rPr>
          <w:b/>
        </w:rPr>
        <w:t>Review status:</w:t>
      </w:r>
      <w:r>
        <w:t xml:space="preserve"> unchecked — possible relationship only</w:t>
      </w:r>
    </w:p>
    <w:p>
      <w:pPr>
        <w:pStyle w:val="Heading2"/>
      </w:pPr>
      <w:r>
        <w:t>377.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group-b05a0201e3f085e148a9</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New Additions to the Mammal List Documented in the Portuguese Red Data Book — https://doi.org/10.3390/ani14172514</w:t>
      </w:r>
    </w:p>
    <w:p>
      <w:pPr>
        <w:pStyle w:val="SourceNote"/>
      </w:pPr>
      <w:r>
        <w:rPr>
          <w:b/>
        </w:rPr>
        <w:t>Review status:</w:t>
      </w:r>
      <w:r>
        <w:t xml:space="preserve"> unchecked — possible relationship only</w:t>
      </w:r>
    </w:p>
    <w:p>
      <w:pPr>
        <w:pStyle w:val="Heading2"/>
      </w:pPr>
      <w:r>
        <w:t>378. Claim + two later sources: Achieving agricultural greenhouse gas emission reductions in the EU post‐2030: What options do we have?</w:t>
      </w:r>
    </w:p>
    <w:p>
      <w:pPr>
        <w:pStyle w:val="SourceNote"/>
      </w:pPr>
      <w:r>
        <w:rPr>
          <w:b/>
        </w:rPr>
        <w:t>Group ID:</w:t>
      </w:r>
      <w:r>
        <w:t xml:space="preserve"> group-26a6336796a06605f0ed</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European Union: In Varietate Concordia - United in Diversity. Differentiated Integration as the Key to the Future of the European Union? — https://doi.org/10.30958/ajpia.2-1-2</w:t>
      </w:r>
    </w:p>
    <w:p>
      <w:pPr/>
      <w:r>
        <w:rPr>
          <w:b/>
        </w:rPr>
        <w:t>Later source:</w:t>
      </w:r>
      <w:r>
        <w:t xml:space="preserve"> The Regulatory Framework for Crypto-Assets in the European Union — https://doi.org/10.18616/rdhs.v9i2.10712</w:t>
      </w:r>
    </w:p>
    <w:p>
      <w:pPr>
        <w:pStyle w:val="SourceNote"/>
      </w:pPr>
      <w:r>
        <w:rPr>
          <w:b/>
        </w:rPr>
        <w:t>Review status:</w:t>
      </w:r>
      <w:r>
        <w:t xml:space="preserve"> unchecked — possible relationship only</w:t>
      </w:r>
    </w:p>
    <w:p>
      <w:pPr>
        <w:pStyle w:val="Heading2"/>
      </w:pPr>
      <w:r>
        <w:t>379. Claim + two later sources: Carrying out a multi-model integrated assessment of European energy transition pathways: Challenges and benefits</w:t>
      </w:r>
    </w:p>
    <w:p>
      <w:pPr>
        <w:pStyle w:val="SourceNote"/>
      </w:pPr>
      <w:r>
        <w:rPr>
          <w:b/>
        </w:rPr>
        <w:t>Group ID:</w:t>
      </w:r>
      <w:r>
        <w:t xml:space="preserve"> group-0d6c75ed1dcb4ba2c40f</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Frailty assessment in kidney transplantation: insights from a European survey — https://doi.org/10.1093/ckj/sfag065</w:t>
      </w:r>
    </w:p>
    <w:p>
      <w:pPr/>
      <w:r>
        <w:rPr>
          <w:b/>
        </w:rPr>
        <w:t>Later source:</w:t>
      </w:r>
      <w:r>
        <w:t xml:space="preserve"> Bridging Borders in Pediatric Oncology: Cross-Regional Insights into Physical Exercise Program Perceptions in Europe, North Africa, and Arab Countries — https://doi.org/10.1055/s-0046-1824334</w:t>
      </w:r>
    </w:p>
    <w:p>
      <w:pPr>
        <w:pStyle w:val="SourceNote"/>
      </w:pPr>
      <w:r>
        <w:rPr>
          <w:b/>
        </w:rPr>
        <w:t>Review status:</w:t>
      </w:r>
      <w:r>
        <w:t xml:space="preserve"> unchecked — possible relationship only</w:t>
      </w:r>
    </w:p>
    <w:p>
      <w:pPr>
        <w:pStyle w:val="Heading2"/>
      </w:pPr>
      <w:r>
        <w:t>380.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group-7298c935e7cded879ace</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European manual on strategic culture — https://openalex.org/W7163482322</w:t>
      </w:r>
    </w:p>
    <w:p>
      <w:pPr/>
      <w:r>
        <w:rPr>
          <w:b/>
        </w:rPr>
        <w:t>Later source:</w:t>
      </w:r>
      <w:r>
        <w:t xml:space="preserve"> European strategic antinomy — https://doi.org/10.1016/j.polgeo.2026.103616</w:t>
      </w:r>
    </w:p>
    <w:p>
      <w:pPr>
        <w:pStyle w:val="SourceNote"/>
      </w:pPr>
      <w:r>
        <w:rPr>
          <w:b/>
        </w:rPr>
        <w:t>Review status:</w:t>
      </w:r>
      <w:r>
        <w:t xml:space="preserve"> unchecked — possible relationship only</w:t>
      </w:r>
    </w:p>
    <w:p>
      <w:pPr>
        <w:pStyle w:val="Heading2"/>
      </w:pPr>
      <w:r>
        <w:t>381. Claim + two later sources: Systemic Design for Policy-Making: Towards the Next Circular Regions</w:t>
      </w:r>
    </w:p>
    <w:p>
      <w:pPr>
        <w:pStyle w:val="SourceNote"/>
      </w:pPr>
      <w:r>
        <w:rPr>
          <w:b/>
        </w:rPr>
        <w:t>Group ID:</w:t>
      </w:r>
      <w:r>
        <w:t xml:space="preserve"> group-9b075c41fc6f521c488c</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Business Model Innovation for Circular Transformation in the Built Environment — https://doi.org/10.1007/978-3-032-35104-3_109</w:t>
      </w:r>
    </w:p>
    <w:p>
      <w:pPr/>
      <w:r>
        <w:rPr>
          <w:b/>
        </w:rPr>
        <w:t>Later source:</w:t>
      </w:r>
      <w:r>
        <w:t xml:space="preserve"> ECONOMIC MONITORING OF THE CIRCULAR TRANSFORMATION AS A CHALLENGE FOR MECHANICAL ENGINEERING — https://openalex.org/W7215135237</w:t>
      </w:r>
    </w:p>
    <w:p>
      <w:pPr>
        <w:pStyle w:val="SourceNote"/>
      </w:pPr>
      <w:r>
        <w:rPr>
          <w:b/>
        </w:rPr>
        <w:t>Review status:</w:t>
      </w:r>
      <w:r>
        <w:t xml:space="preserve"> unchecked — possible relationship only</w:t>
      </w:r>
    </w:p>
    <w:p>
      <w:pPr>
        <w:pStyle w:val="Heading2"/>
      </w:pPr>
      <w:r>
        <w:t>382. Claim + two later sources: O4-2.1 Foresight tackling obesities: future choices</w:t>
      </w:r>
    </w:p>
    <w:p>
      <w:pPr>
        <w:pStyle w:val="SourceNote"/>
      </w:pPr>
      <w:r>
        <w:rPr>
          <w:b/>
        </w:rPr>
        <w:t>Group ID:</w:t>
      </w:r>
      <w:r>
        <w:t xml:space="preserve"> group-8e6bc20df9e5af601c89</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Accuracy of subject-specific prediction of end-systolic time in MRI across a range of RR intervals — https://doi.org/10.1371/journal.pone.0179011</w:t>
      </w:r>
    </w:p>
    <w:p>
      <w:pPr/>
      <w:r>
        <w:rPr>
          <w:b/>
        </w:rPr>
        <w:t>Later source:</w:t>
      </w:r>
      <w:r>
        <w:t xml:space="preserve"> Muscle Synergies Facilitate Computational Prediction of Subject-Specific Walking Motions — https://doi.org/10.3389/fbioe.2016.00077</w:t>
      </w:r>
    </w:p>
    <w:p>
      <w:pPr>
        <w:pStyle w:val="SourceNote"/>
      </w:pPr>
      <w:r>
        <w:rPr>
          <w:b/>
        </w:rPr>
        <w:t>Review status:</w:t>
      </w:r>
      <w:r>
        <w:t xml:space="preserve"> unchecked — possible relationship only</w:t>
      </w:r>
    </w:p>
    <w:p>
      <w:pPr>
        <w:pStyle w:val="Heading2"/>
      </w:pPr>
      <w:r>
        <w:t>383. Claim + two later sources: A 2050 perspective on the role for carbon capture and storage in the European power system and industry sector</w:t>
      </w:r>
    </w:p>
    <w:p>
      <w:pPr>
        <w:pStyle w:val="SourceNote"/>
      </w:pPr>
      <w:r>
        <w:rPr>
          <w:b/>
        </w:rPr>
        <w:t>Group ID:</w:t>
      </w:r>
      <w:r>
        <w:t xml:space="preserve"> group-52e6ecdb2d94f1afa9ff</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Feasible Carbon Sequestration Potential in European Agricultural Mineral Soils Through Improved Management — https://doi.org/10.1111/ejss.70357</w:t>
      </w:r>
    </w:p>
    <w:p>
      <w:pPr/>
      <w:r>
        <w:rPr>
          <w:b/>
        </w:rPr>
        <w:t>Later source:</w:t>
      </w:r>
      <w:r>
        <w:t xml:space="preserve"> Envirotyping framework for wheat in Europe — https://doi.org/10.1016/j.fcr.2026.110616</w:t>
      </w:r>
    </w:p>
    <w:p>
      <w:pPr>
        <w:pStyle w:val="SourceNote"/>
      </w:pPr>
      <w:r>
        <w:rPr>
          <w:b/>
        </w:rPr>
        <w:t>Review status:</w:t>
      </w:r>
      <w:r>
        <w:t xml:space="preserve"> unchecked — possible relationship only</w:t>
      </w:r>
    </w:p>
    <w:p>
      <w:pPr>
        <w:pStyle w:val="Heading2"/>
      </w:pPr>
      <w:r>
        <w:t>384. Claim + two later sources: Impact of climate change on ozone-related mortality and morbidity in Europe</w:t>
      </w:r>
    </w:p>
    <w:p>
      <w:pPr>
        <w:pStyle w:val="SourceNote"/>
      </w:pPr>
      <w:r>
        <w:rPr>
          <w:b/>
        </w:rPr>
        <w:t>Group ID:</w:t>
      </w:r>
      <w:r>
        <w:t xml:space="preserve"> group-f03a621d7d211f3c88e9</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Contact allergy to corticosteroids: Is the European baseline series sufficient? — https://doi.org/10.1111/cod.14358</w:t>
      </w:r>
    </w:p>
    <w:p>
      <w:pPr/>
      <w:r>
        <w:rPr>
          <w:b/>
        </w:rPr>
        <w:t>Later source:</w:t>
      </w:r>
      <w:r>
        <w:t xml:space="preserve"> Emerging new climate extremes over Europe — https://doi.org/10.1007/s00382-021-05917-3</w:t>
      </w:r>
    </w:p>
    <w:p>
      <w:pPr>
        <w:pStyle w:val="SourceNote"/>
      </w:pPr>
      <w:r>
        <w:rPr>
          <w:b/>
        </w:rPr>
        <w:t>Review status:</w:t>
      </w:r>
      <w:r>
        <w:t xml:space="preserve"> unchecked — possible relationship only</w:t>
      </w:r>
    </w:p>
    <w:p>
      <w:pPr>
        <w:pStyle w:val="Heading2"/>
      </w:pPr>
      <w:r>
        <w:t>385. Claim + two later sources: Perspectives from 2037—Can Environmental Impact Assessment be the Solution for an Early Consideration of Climate Change-related Impacts?</w:t>
      </w:r>
    </w:p>
    <w:p>
      <w:pPr>
        <w:pStyle w:val="SourceNote"/>
      </w:pPr>
      <w:r>
        <w:rPr>
          <w:b/>
        </w:rPr>
        <w:t>Group ID:</w:t>
      </w:r>
      <w:r>
        <w:t xml:space="preserve"> group-2c3bf6684a56ff954108</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What good is agroecology? Predominant narratives about agroecology in Africa — https://doi.org/10.1016/j.jrurstud.2025.103706</w:t>
      </w:r>
    </w:p>
    <w:p>
      <w:pPr/>
      <w:r>
        <w:rPr>
          <w:b/>
        </w:rPr>
        <w:t>Later source:</w:t>
      </w:r>
      <w:r>
        <w:t xml:space="preserve"> Ketamine’s Therapeutic Role in Substance Use Disorders: A Narrative Review — https://doi.org/10.3390/neurosci6030083</w:t>
      </w:r>
    </w:p>
    <w:p>
      <w:pPr>
        <w:pStyle w:val="SourceNote"/>
      </w:pPr>
      <w:r>
        <w:rPr>
          <w:b/>
        </w:rPr>
        <w:t>Review status:</w:t>
      </w:r>
      <w:r>
        <w:t xml:space="preserve"> unchecked — possible relationship only</w:t>
      </w:r>
    </w:p>
    <w:p>
      <w:pPr>
        <w:pStyle w:val="Heading2"/>
      </w:pPr>
      <w:r>
        <w:t>386.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387. Claim + two later sources: Forecasting turbulence in the Asian and European stock market using regime-switching models</w:t>
      </w:r>
    </w:p>
    <w:p>
      <w:pPr>
        <w:pStyle w:val="SourceNote"/>
      </w:pPr>
      <w:r>
        <w:rPr>
          <w:b/>
        </w:rPr>
        <w:t>Group ID:</w:t>
      </w:r>
      <w:r>
        <w:t xml:space="preserve"> group-9d33ff3811533c332ccf</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Early warning early action systems for invasive alien species affecting forests in Europe and Central Asia — https://openalex.org/W7164620270</w:t>
      </w:r>
    </w:p>
    <w:p>
      <w:pPr/>
      <w:r>
        <w:rPr>
          <w:b/>
        </w:rPr>
        <w:t>Later source:</w:t>
      </w:r>
      <w:r>
        <w:t xml:space="preserve"> An eXplainable early warning system to predict systemic financial crises — https://doi.org/10.1016/j.ribaf.2026.103591</w:t>
      </w:r>
    </w:p>
    <w:p>
      <w:pPr>
        <w:pStyle w:val="SourceNote"/>
      </w:pPr>
      <w:r>
        <w:rPr>
          <w:b/>
        </w:rPr>
        <w:t>Review status:</w:t>
      </w:r>
      <w:r>
        <w:t xml:space="preserve"> unchecked — possible relationship only</w:t>
      </w:r>
    </w:p>
    <w:p>
      <w:pPr>
        <w:pStyle w:val="Heading2"/>
      </w:pPr>
      <w:r>
        <w:t>388. Claim + two later sources: Modelling sustainable energy futures for the UK</w:t>
      </w:r>
    </w:p>
    <w:p>
      <w:pPr>
        <w:pStyle w:val="SourceNote"/>
      </w:pPr>
      <w:r>
        <w:rPr>
          <w:b/>
        </w:rPr>
        <w:t>Group ID:</w:t>
      </w:r>
      <w:r>
        <w:t xml:space="preserve"> group-2bd99c719c880fcaac1b</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Reducing the sign problem with line integrals — https://doi.org/10.1007/jhep02(2025)041</w:t>
      </w:r>
    </w:p>
    <w:p>
      <w:pPr/>
      <w:r>
        <w:rPr>
          <w:b/>
        </w:rPr>
        <w:t>Later source:</w:t>
      </w:r>
      <w:r>
        <w:t xml:space="preserve"> A Call to Action to Reduce the Need for a Medical Evaluation Prior to Exercise — https://doi.org/10.1249/jsr.0000000000001245</w:t>
      </w:r>
    </w:p>
    <w:p>
      <w:pPr>
        <w:pStyle w:val="SourceNote"/>
      </w:pPr>
      <w:r>
        <w:rPr>
          <w:b/>
        </w:rPr>
        <w:t>Review status:</w:t>
      </w:r>
      <w:r>
        <w:t xml:space="preserve"> unchecked — possible relationship only</w:t>
      </w:r>
    </w:p>
    <w:p>
      <w:pPr>
        <w:pStyle w:val="Heading2"/>
      </w:pPr>
      <w:r>
        <w:t>389. Claim + two later sources: Futures and foresight of Croatian cultural heritage</w:t>
      </w:r>
    </w:p>
    <w:p>
      <w:pPr>
        <w:pStyle w:val="SourceNote"/>
      </w:pPr>
      <w:r>
        <w:rPr>
          <w:b/>
        </w:rPr>
        <w:t>Group ID:</w:t>
      </w:r>
      <w:r>
        <w:t xml:space="preserve"> group-a86f1f1c66e4214918ee</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Two papal Europes: Benedict XVI, Francis and competing Christian imaginaries of Europe — https://doi.org/10.1080/14782804.2026.2718750</w:t>
      </w:r>
    </w:p>
    <w:p>
      <w:pPr/>
      <w:r>
        <w:rPr>
          <w:b/>
        </w:rPr>
        <w:t>Later source:</w:t>
      </w:r>
      <w:r>
        <w:t xml:space="preserve"> Investigating stone materials from some European cultural heritage sites for predicting future decay — https://doi.org/10.1007/s12210-024-01298-x</w:t>
      </w:r>
    </w:p>
    <w:p>
      <w:pPr>
        <w:pStyle w:val="SourceNote"/>
      </w:pPr>
      <w:r>
        <w:rPr>
          <w:b/>
        </w:rPr>
        <w:t>Review status:</w:t>
      </w:r>
      <w:r>
        <w:t xml:space="preserve"> unchecked — possible relationship only</w:t>
      </w:r>
    </w:p>
    <w:p>
      <w:pPr>
        <w:pStyle w:val="Heading2"/>
      </w:pPr>
      <w:r>
        <w:t>390. Claim + two later sources: Soft-linking of a behavioral model for transport with energy system cost optimization applied to hydrogen in EU</w:t>
      </w:r>
    </w:p>
    <w:p>
      <w:pPr>
        <w:pStyle w:val="SourceNote"/>
      </w:pPr>
      <w:r>
        <w:rPr>
          <w:b/>
        </w:rPr>
        <w:t>Group ID:</w:t>
      </w:r>
      <w:r>
        <w:t xml:space="preserve"> group-bb482fcbb57f95d098cf</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The Impact of Deep Decarbonization Policy on the Level of Greenhouse Gas Emissions in the European Union — https://doi.org/10.3390/en17051245</w:t>
      </w:r>
    </w:p>
    <w:p>
      <w:pPr/>
      <w:r>
        <w:rPr>
          <w:b/>
        </w:rPr>
        <w:t>Later source:</w:t>
      </w:r>
      <w:r>
        <w:t xml:space="preserve"> The Effectiveness of the EU ETS Policy in Changing the Energy Mix in Selected European Countries — https://doi.org/10.3390/en17174243</w:t>
      </w:r>
    </w:p>
    <w:p>
      <w:pPr>
        <w:pStyle w:val="SourceNote"/>
      </w:pPr>
      <w:r>
        <w:rPr>
          <w:b/>
        </w:rPr>
        <w:t>Review status:</w:t>
      </w:r>
      <w:r>
        <w:t xml:space="preserve"> unchecked — possible relationship only</w:t>
      </w:r>
    </w:p>
    <w:p>
      <w:pPr>
        <w:pStyle w:val="Heading2"/>
      </w:pPr>
      <w:r>
        <w:t>391. Claim + two later sources: Facilitating transformative science education through futures thinking</w:t>
      </w:r>
    </w:p>
    <w:p>
      <w:pPr>
        <w:pStyle w:val="SourceNote"/>
      </w:pPr>
      <w:r>
        <w:rPr>
          <w:b/>
        </w:rPr>
        <w:t>Group ID:</w:t>
      </w:r>
      <w:r>
        <w:t xml:space="preserve"> group-d1edfde7f04ff1dc00c1</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Using Learning Progressions to Guide AI Feedback for Science Learning — https://openalex.org/W7133571101</w:t>
      </w:r>
    </w:p>
    <w:p>
      <w:pPr/>
      <w:r>
        <w:rPr>
          <w:b/>
        </w:rPr>
        <w:t>Later source:</w:t>
      </w:r>
      <w:r>
        <w:t xml:space="preserve"> Mesenchymal stromal cells in Rheumathology: Recent findings — https://doi.org/10.30574/wjarr.2026.29.3.0619</w:t>
      </w:r>
    </w:p>
    <w:p>
      <w:pPr>
        <w:pStyle w:val="SourceNote"/>
      </w:pPr>
      <w:r>
        <w:rPr>
          <w:b/>
        </w:rPr>
        <w:t>Review status:</w:t>
      </w:r>
      <w:r>
        <w:t xml:space="preserve"> unchecked — possible relationship only</w:t>
      </w:r>
    </w:p>
    <w:p>
      <w:pPr>
        <w:pStyle w:val="Heading2"/>
      </w:pPr>
      <w:r>
        <w:t>392. Claim + two later sources: TRANSPORT PROJECT EVALUATION: FEASIBILITY RISK ASSESSMENT AND SCENARIO FORECASTING</w:t>
      </w:r>
    </w:p>
    <w:p>
      <w:pPr>
        <w:pStyle w:val="SourceNote"/>
      </w:pPr>
      <w:r>
        <w:rPr>
          <w:b/>
        </w:rPr>
        <w:t>Group ID:</w:t>
      </w:r>
      <w:r>
        <w:t xml:space="preserve"> group-5be4ce5c6f7b86bfa724</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Radiative strength functions from the energy-localized Brink-Axel hypothesis — https://doi.org/10.1103/kg6r-t5d1</w:t>
      </w:r>
    </w:p>
    <w:p>
      <w:pPr/>
      <w:r>
        <w:rPr>
          <w:b/>
        </w:rPr>
        <w:t>Later source:</w:t>
      </w:r>
      <w:r>
        <w:t xml:space="preserve"> India and the World Press Freedom Index: A Critical Examination of Media Freedom in the World's Largest Democracy — https://doi.org/10.5281/zenodo.21851588</w:t>
      </w:r>
    </w:p>
    <w:p>
      <w:pPr>
        <w:pStyle w:val="SourceNote"/>
      </w:pPr>
      <w:r>
        <w:rPr>
          <w:b/>
        </w:rPr>
        <w:t>Review status:</w:t>
      </w:r>
      <w:r>
        <w:t xml:space="preserve"> unchecked — possible relationship only</w:t>
      </w:r>
    </w:p>
    <w:p>
      <w:pPr>
        <w:pStyle w:val="Heading2"/>
      </w:pPr>
      <w:r>
        <w:t>393. Claim + two later sources: Investigating European Union Decarbonization Strategies: Evaluating the Pathway to Carbon Neutrality by 2050</w:t>
      </w:r>
    </w:p>
    <w:p>
      <w:pPr>
        <w:pStyle w:val="SourceNote"/>
      </w:pPr>
      <w:r>
        <w:rPr>
          <w:b/>
        </w:rPr>
        <w:t>Group ID:</w:t>
      </w:r>
      <w:r>
        <w:t xml:space="preserve"> group-767c9e52b7a6f5dc2da7</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Functionally rich crop rotations increase calorie and macronutrient outputs across Europe — https://doi.org/10.1038/s43016-026-01293-5</w:t>
      </w:r>
    </w:p>
    <w:p>
      <w:pPr>
        <w:pStyle w:val="SourceNote"/>
      </w:pPr>
      <w:r>
        <w:rPr>
          <w:b/>
        </w:rPr>
        <w:t>Review status:</w:t>
      </w:r>
      <w:r>
        <w:t xml:space="preserve"> unchecked — possible relationship only</w:t>
      </w:r>
    </w:p>
    <w:p>
      <w:pPr>
        <w:pStyle w:val="Heading2"/>
      </w:pPr>
      <w:r>
        <w:t>394. Claim + two later sources: The European Unions Strategic Gas Supply Options and the Prevalence of the Southern Corridor</w:t>
      </w:r>
    </w:p>
    <w:p>
      <w:pPr>
        <w:pStyle w:val="SourceNote"/>
      </w:pPr>
      <w:r>
        <w:rPr>
          <w:b/>
        </w:rPr>
        <w:t>Group ID:</w:t>
      </w:r>
      <w:r>
        <w:t xml:space="preserve"> group-1dbc995cea1726dea132</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Prevalence of Glaucoma in Europe and Projections to 2050 — https://doi.org/10.1016/j.ophtha.2025.06.002</w:t>
      </w:r>
    </w:p>
    <w:p>
      <w:pPr/>
      <w:r>
        <w:rPr>
          <w:b/>
        </w:rPr>
        <w:t>Later source:</w:t>
      </w:r>
      <w:r>
        <w:t xml:space="preserve"> Predicting and preventing preterm birth in Europe: current challenges and gaps — https://doi.org/10.1080/14767058.2025.2547687</w:t>
      </w:r>
    </w:p>
    <w:p>
      <w:pPr>
        <w:pStyle w:val="SourceNote"/>
      </w:pPr>
      <w:r>
        <w:rPr>
          <w:b/>
        </w:rPr>
        <w:t>Review status:</w:t>
      </w:r>
      <w:r>
        <w:t xml:space="preserve"> unchecked — possible relationship only</w:t>
      </w:r>
    </w:p>
    <w:p>
      <w:pPr>
        <w:pStyle w:val="Heading2"/>
      </w:pPr>
      <w:r>
        <w:t>395. Claim + two later sources: Comments: The Long-Term Outlook</w:t>
      </w:r>
    </w:p>
    <w:p>
      <w:pPr>
        <w:pStyle w:val="SourceNote"/>
      </w:pPr>
      <w:r>
        <w:rPr>
          <w:b/>
        </w:rPr>
        <w:t>Group ID:</w:t>
      </w:r>
      <w:r>
        <w:t xml:space="preserve"> group-903da0099fd3bd5e3f9f</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Synonymous but Significant: New Findings of Pathological Variants in Hermansky–Pudlak Syndrome — https://doi.org/10.1111/pcmr.13221</w:t>
      </w:r>
    </w:p>
    <w:p>
      <w:pPr/>
      <w:r>
        <w:rPr>
          <w:b/>
        </w:rPr>
        <w:t>Later source:</w:t>
      </w:r>
      <w:r>
        <w:t xml:space="preserve"> Still Here — https://doi.org/10.7146/ageculturehumanities.v8i.141931</w:t>
      </w:r>
    </w:p>
    <w:p>
      <w:pPr>
        <w:pStyle w:val="SourceNote"/>
      </w:pPr>
      <w:r>
        <w:rPr>
          <w:b/>
        </w:rPr>
        <w:t>Review status:</w:t>
      </w:r>
      <w:r>
        <w:t xml:space="preserve"> unchecked — possible relationship only</w:t>
      </w:r>
    </w:p>
    <w:p>
      <w:pPr>
        <w:pStyle w:val="Heading2"/>
      </w:pPr>
      <w:r>
        <w:t>396. Claim + two later sources: Climate change, extreme weather events, air pollution and respiratory health in Europe</w:t>
      </w:r>
    </w:p>
    <w:p>
      <w:pPr>
        <w:pStyle w:val="SourceNote"/>
      </w:pPr>
      <w:r>
        <w:rPr>
          <w:b/>
        </w:rPr>
        <w:t>Group ID:</w:t>
      </w:r>
      <w:r>
        <w:t xml:space="preserve"> group-d39860cc0cc2fac0b941</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The obstacles and changes in Sino-European trade routes in the twenty-first century due to climate change and geopolitical risks — https://doi.org/10.1057/s41599-026-08607-9</w:t>
      </w:r>
    </w:p>
    <w:p>
      <w:pPr>
        <w:pStyle w:val="SourceNote"/>
      </w:pPr>
      <w:r>
        <w:rPr>
          <w:b/>
        </w:rPr>
        <w:t>Review status:</w:t>
      </w:r>
      <w:r>
        <w:t xml:space="preserve"> unchecked — possible relationship only</w:t>
      </w:r>
    </w:p>
    <w:p>
      <w:pPr>
        <w:pStyle w:val="Heading2"/>
      </w:pPr>
      <w:r>
        <w:t>397. Claim + two later sources: Implementation of the 2030 sustainable development goals - affordable and clean energy in the European Union</w:t>
      </w:r>
    </w:p>
    <w:p>
      <w:pPr>
        <w:pStyle w:val="SourceNote"/>
      </w:pPr>
      <w:r>
        <w:rPr>
          <w:b/>
        </w:rPr>
        <w:t>Group ID:</w:t>
      </w:r>
      <w:r>
        <w:t xml:space="preserve"> group-fa28d16c2eb17d09d8b4</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The European protection order: the question of a predictive toolkit for the protection of victims of criminal offences — https://doi.org/10.24144/2788-6018.2024.02.109</w:t>
      </w:r>
    </w:p>
    <w:p>
      <w:pPr/>
      <w:r>
        <w:rPr>
          <w:b/>
        </w:rPr>
        <w:t>Later source:</w:t>
      </w:r>
      <w:r>
        <w:t xml:space="preserve"> Projecting traffic flows for road-based passenger transport in Europe for the analysis of climate impact — https://doi.org/10.1186/s12544-024-00652-2</w:t>
      </w:r>
    </w:p>
    <w:p>
      <w:pPr>
        <w:pStyle w:val="SourceNote"/>
      </w:pPr>
      <w:r>
        <w:rPr>
          <w:b/>
        </w:rPr>
        <w:t>Review status:</w:t>
      </w:r>
      <w:r>
        <w:t xml:space="preserve"> unchecked — possible relationship only</w:t>
      </w:r>
    </w:p>
    <w:p>
      <w:pPr>
        <w:pStyle w:val="Heading2"/>
      </w:pPr>
      <w:r>
        <w:t>398. Claim + two later sources: Focused Futures from Finland</w:t>
      </w:r>
    </w:p>
    <w:p>
      <w:pPr>
        <w:pStyle w:val="SourceNote"/>
      </w:pPr>
      <w:r>
        <w:rPr>
          <w:b/>
        </w:rPr>
        <w:t>Group ID:</w:t>
      </w:r>
      <w:r>
        <w:t xml:space="preserve"> group-d41f7bcfb10f7f3b5487</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The end of China’s romance with Central and Eastern Europe — https://doi.org/10.1177/2059436421994442</w:t>
      </w:r>
    </w:p>
    <w:p>
      <w:pPr/>
      <w:r>
        <w:rPr>
          <w:b/>
        </w:rPr>
        <w:t>Later source:</w:t>
      </w:r>
      <w:r>
        <w:t xml:space="preserve"> European Union Litigation — https://doi.org/10.1515/ercl-2021-2028</w:t>
      </w:r>
    </w:p>
    <w:p>
      <w:pPr>
        <w:pStyle w:val="SourceNote"/>
      </w:pPr>
      <w:r>
        <w:rPr>
          <w:b/>
        </w:rPr>
        <w:t>Review status:</w:t>
      </w:r>
      <w:r>
        <w:t xml:space="preserve"> unchecked — possible relationship only</w:t>
      </w:r>
    </w:p>
    <w:p>
      <w:pPr>
        <w:pStyle w:val="Heading2"/>
      </w:pPr>
      <w:r>
        <w:t>399. Claim + two later sources: On the Future(s) of Energy Communities in the German Energy Transition: A Derivation of Transformation Pathways</w:t>
      </w:r>
    </w:p>
    <w:p>
      <w:pPr>
        <w:pStyle w:val="SourceNote"/>
      </w:pPr>
      <w:r>
        <w:rPr>
          <w:b/>
        </w:rPr>
        <w:t>Group ID:</w:t>
      </w:r>
      <w:r>
        <w:t xml:space="preserve"> group-7eca829c1639fa493735</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The Changing Liberal World Order : Transatlantic Relations, Europe and Central Europe — https://openalex.org/W7213382557</w:t>
      </w:r>
    </w:p>
    <w:p>
      <w:pPr/>
      <w:r>
        <w:rPr>
          <w:b/>
        </w:rPr>
        <w:t>Later source:</w:t>
      </w:r>
      <w:r>
        <w:t xml:space="preserve"> The Emergence of European Criminal Law in Relation to the European Union Development — https://doi.org/10.54237/profnet.2025.azsvlbffde_10</w:t>
      </w:r>
    </w:p>
    <w:p>
      <w:pPr>
        <w:pStyle w:val="SourceNote"/>
      </w:pPr>
      <w:r>
        <w:rPr>
          <w:b/>
        </w:rPr>
        <w:t>Review status:</w:t>
      </w:r>
      <w:r>
        <w:t xml:space="preserve"> unchecked — possible relationship only</w:t>
      </w:r>
    </w:p>
    <w:p>
      <w:pPr>
        <w:pStyle w:val="Heading2"/>
      </w:pPr>
      <w:r>
        <w:t>400. Claim + two later sources: Strategic European Integration Scenarios of Ukrainian and Polish Research, Education and Innovation Spaces</w:t>
      </w:r>
    </w:p>
    <w:p>
      <w:pPr>
        <w:pStyle w:val="SourceNote"/>
      </w:pPr>
      <w:r>
        <w:rPr>
          <w:b/>
        </w:rPr>
        <w:t>Group ID:</w:t>
      </w:r>
      <w:r>
        <w:t xml:space="preserve"> group-5ffa58807d6215fe06ae</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The Need for Synergy in Foresight Research for Healthcare and Medical Sciences — https://doi.org/10.36401/iddb-25-1</w:t>
      </w:r>
    </w:p>
    <w:p>
      <w:pPr>
        <w:pStyle w:val="SourceNote"/>
      </w:pPr>
      <w:r>
        <w:rPr>
          <w:b/>
        </w:rPr>
        <w:t>Review status:</w:t>
      </w:r>
      <w:r>
        <w:t xml:space="preserve"> unchecked — possible relationship only</w:t>
      </w:r>
    </w:p>
    <w:p>
      <w:pPr>
        <w:pStyle w:val="Heading2"/>
      </w:pPr>
      <w:r>
        <w:t>401. Claim + two later sources: A new approach on renewable energy as a support for regional economic development among the European Union</w:t>
      </w:r>
    </w:p>
    <w:p>
      <w:pPr>
        <w:pStyle w:val="SourceNote"/>
      </w:pPr>
      <w:r>
        <w:rPr>
          <w:b/>
        </w:rPr>
        <w:t>Group ID:</w:t>
      </w:r>
      <w:r>
        <w:t xml:space="preserve"> group-032779807a1a03249143</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Measuring Governance-Enabled Sustainability in Central and Eastern Europe: Development of a Corporate Governance–Sustainability Index (CGSI–CEE) — https://doi.org/10.3390/su18073350</w:t>
      </w:r>
    </w:p>
    <w:p>
      <w:pPr>
        <w:pStyle w:val="SourceNote"/>
      </w:pPr>
      <w:r>
        <w:rPr>
          <w:b/>
        </w:rPr>
        <w:t>Review status:</w:t>
      </w:r>
      <w:r>
        <w:t xml:space="preserve"> unchecked — possible relationship only</w:t>
      </w:r>
    </w:p>
    <w:p>
      <w:pPr>
        <w:pStyle w:val="Heading2"/>
      </w:pPr>
      <w:r>
        <w:t>402. Claim + two later sources: Foresighting addiction and lifestyles in Europe 2030+</w:t>
      </w:r>
    </w:p>
    <w:p>
      <w:pPr>
        <w:pStyle w:val="SourceNote"/>
      </w:pPr>
      <w:r>
        <w:rPr>
          <w:b/>
        </w:rPr>
        <w:t>Group ID:</w:t>
      </w:r>
      <w:r>
        <w:t xml:space="preserve"> group-4e7fb4a2f52c8f599c88</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The Horizon Europe CRM-geothermal project: Deliverable 6.7 – Clustering Network Map. — https://doi.org/10.5281/zenodo.19929926</w:t>
      </w:r>
    </w:p>
    <w:p>
      <w:pPr/>
      <w:r>
        <w:rPr>
          <w:b/>
        </w:rPr>
        <w:t>Later source:</w:t>
      </w:r>
      <w:r>
        <w:t xml:space="preserve"> Animal board invited review: A biocultural perspective of animal farming systems in Europe — https://doi.org/10.1016/j.animal.2025.101515</w:t>
      </w:r>
    </w:p>
    <w:p>
      <w:pPr>
        <w:pStyle w:val="SourceNote"/>
      </w:pPr>
      <w:r>
        <w:rPr>
          <w:b/>
        </w:rPr>
        <w:t>Review status:</w:t>
      </w:r>
      <w:r>
        <w:t xml:space="preserve"> unchecked — possible relationship only</w:t>
      </w:r>
    </w:p>
    <w:p>
      <w:pPr>
        <w:pStyle w:val="Heading2"/>
      </w:pPr>
      <w:r>
        <w:t>403. Claim + two later sources: The Future of Internationalization of Higher Education in Europe</w:t>
      </w:r>
    </w:p>
    <w:p>
      <w:pPr>
        <w:pStyle w:val="SourceNote"/>
      </w:pPr>
      <w:r>
        <w:rPr>
          <w:b/>
        </w:rPr>
        <w:t>Group ID:</w:t>
      </w:r>
      <w:r>
        <w:t xml:space="preserve"> group-a729b5540d78bf7eca7a</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Conceptualizing ‘quality of education’: an analysis of European political documents on education — https://doi.org/10.3389/feduc.2025.1463412</w:t>
      </w:r>
    </w:p>
    <w:p>
      <w:pPr/>
      <w:r>
        <w:rPr>
          <w:b/>
        </w:rPr>
        <w:t>Later source:</w:t>
      </w:r>
      <w:r>
        <w:t xml:space="preserve"> Regional Pathways to Internationalization: The Role of Erasmus+ in European HEIs — https://doi.org/10.3390/urbansci9050144</w:t>
      </w:r>
    </w:p>
    <w:p>
      <w:pPr>
        <w:pStyle w:val="SourceNote"/>
      </w:pPr>
      <w:r>
        <w:rPr>
          <w:b/>
        </w:rPr>
        <w:t>Review status:</w:t>
      </w:r>
      <w:r>
        <w:t xml:space="preserve"> unchecked — possible relationship only</w:t>
      </w:r>
    </w:p>
    <w:p>
      <w:pPr>
        <w:pStyle w:val="Heading2"/>
      </w:pPr>
      <w:r>
        <w:t>404. Claim + two later sources: Situational analysis of EU renewable energy legislation</w:t>
      </w:r>
    </w:p>
    <w:p>
      <w:pPr>
        <w:pStyle w:val="SourceNote"/>
      </w:pPr>
      <w:r>
        <w:rPr>
          <w:b/>
        </w:rPr>
        <w:t>Group ID:</w:t>
      </w:r>
      <w:r>
        <w:t xml:space="preserve"> group-0f49292921e6580ace80</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Scenario-Building Papers for Europe 2030 - INTERNAL AND EXTERNAL DYNAMICS OF EUROPEAN INTEGRATION (DEBUE). — https://doi.org/10.5281/zenodo.17566447</w:t>
      </w:r>
    </w:p>
    <w:p>
      <w:pPr/>
      <w:r>
        <w:rPr>
          <w:b/>
        </w:rPr>
        <w:t>Later source:</w:t>
      </w:r>
      <w:r>
        <w:t xml:space="preserve"> The EU Internal Market in the Next Decade – Quo Vadis? — https://doi.org/10.1163/9789004712119</w:t>
      </w:r>
    </w:p>
    <w:p>
      <w:pPr>
        <w:pStyle w:val="SourceNote"/>
      </w:pPr>
      <w:r>
        <w:rPr>
          <w:b/>
        </w:rPr>
        <w:t>Review status:</w:t>
      </w:r>
      <w:r>
        <w:t xml:space="preserve"> unchecked — possible relationship only</w:t>
      </w:r>
    </w:p>
    <w:p>
      <w:pPr>
        <w:pStyle w:val="Heading2"/>
      </w:pPr>
      <w:r>
        <w:t>405.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group-e078ee0dddde6e5276d0</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Is Digitalization Alone Enough for Tax Revenue Mobilization Across Europe and Asia? — https://doi.org/10.24912/je.v31i2.4056</w:t>
      </w:r>
    </w:p>
    <w:p>
      <w:pPr/>
      <w:r>
        <w:rPr>
          <w:b/>
        </w:rPr>
        <w:t>Later source:</w:t>
      </w:r>
      <w:r>
        <w:t xml:space="preserve"> Was there a notion of ‘enough’ in the European Green Deal? Sufficiency in the European Union’s sustainability discourse — https://doi.org/10.1108/sampj-10-2024-1103</w:t>
      </w:r>
    </w:p>
    <w:p>
      <w:pPr>
        <w:pStyle w:val="SourceNote"/>
      </w:pPr>
      <w:r>
        <w:rPr>
          <w:b/>
        </w:rPr>
        <w:t>Review status:</w:t>
      </w:r>
      <w:r>
        <w:t xml:space="preserve"> unchecked — possible relationship only</w:t>
      </w:r>
    </w:p>
    <w:p>
      <w:pPr>
        <w:pStyle w:val="Heading2"/>
      </w:pPr>
      <w:r>
        <w:t>406. Claim + two later sources: Grassland futures in Great Britain – Productivity assessment and scenarios for land use change opportunities</w:t>
      </w:r>
    </w:p>
    <w:p>
      <w:pPr>
        <w:pStyle w:val="SourceNote"/>
      </w:pPr>
      <w:r>
        <w:rPr>
          <w:b/>
        </w:rPr>
        <w:t>Group ID:</w:t>
      </w:r>
      <w:r>
        <w:t xml:space="preserve"> group-6c3a7e893d5b49cbbe62</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Atmospheric methane removal as a third climate intervention: termination risks and air pollutant effects — https://doi.org/10.1038/s44168-026-00398-8</w:t>
      </w:r>
    </w:p>
    <w:p>
      <w:pPr/>
      <w:r>
        <w:rPr>
          <w:b/>
        </w:rPr>
        <w:t>Later source:</w:t>
      </w:r>
      <w:r>
        <w:t xml:space="preserve"> Climate Change Effects and Mechanisms on Nutritional Quality and Technological Performance of Major Agri-Food Products: A Critical Review — https://doi.org/10.1080/87559129.2026.2713621</w:t>
      </w:r>
    </w:p>
    <w:p>
      <w:pPr>
        <w:pStyle w:val="SourceNote"/>
      </w:pPr>
      <w:r>
        <w:rPr>
          <w:b/>
        </w:rPr>
        <w:t>Review status:</w:t>
      </w:r>
      <w:r>
        <w:t xml:space="preserve"> unchecked — possible relationship only</w:t>
      </w:r>
    </w:p>
    <w:p>
      <w:pPr>
        <w:pStyle w:val="Heading2"/>
      </w:pPr>
      <w:r>
        <w:t>407. Claim + two later sources: Demographic change and the European income distribution</w:t>
      </w:r>
    </w:p>
    <w:p>
      <w:pPr>
        <w:pStyle w:val="SourceNote"/>
      </w:pPr>
      <w:r>
        <w:rPr>
          <w:b/>
        </w:rPr>
        <w:t>Group ID:</w:t>
      </w:r>
      <w:r>
        <w:t xml:space="preserve"> group-b839cf6e0386e08abbc7</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interplay of climate change, urbanization, and species traits shapes European butterfly population trends — https://doi.org/10.1101/2025.02.13.638066</w:t>
      </w:r>
    </w:p>
    <w:p>
      <w:pPr/>
      <w:r>
        <w:rPr>
          <w:b/>
        </w:rPr>
        <w:t>Later source:</w:t>
      </w:r>
      <w:r>
        <w:t xml:space="preserve"> The key pillars of psychosocial disability: a European perspective on challenges and solutions — https://doi.org/10.3389/fpsyt.2025.1574301</w:t>
      </w:r>
    </w:p>
    <w:p>
      <w:pPr>
        <w:pStyle w:val="SourceNote"/>
      </w:pPr>
      <w:r>
        <w:rPr>
          <w:b/>
        </w:rPr>
        <w:t>Review status:</w:t>
      </w:r>
      <w:r>
        <w:t xml:space="preserve"> unchecked — possible relationship only</w:t>
      </w:r>
    </w:p>
    <w:p>
      <w:pPr>
        <w:pStyle w:val="Heading2"/>
      </w:pPr>
      <w:r>
        <w:t>408. Claim + two later sources: A decision support system to find the best water allocation strategies in a Mediterranean river basin in future scenarios of global change</w:t>
      </w:r>
    </w:p>
    <w:p>
      <w:pPr>
        <w:pStyle w:val="SourceNote"/>
      </w:pPr>
      <w:r>
        <w:rPr>
          <w:b/>
        </w:rPr>
        <w:t>Group ID:</w:t>
      </w:r>
      <w:r>
        <w:t xml:space="preserve"> group-7be4f631ad6d1a4cfc99</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Make Any Collection Navigable: Methods for Constructing and Evaluating Hypergraph of Text — https://doi.org/10.48550/arxiv.2604.25906</w:t>
      </w:r>
    </w:p>
    <w:p>
      <w:pPr/>
      <w:r>
        <w:rPr>
          <w:b/>
        </w:rPr>
        <w:t>Later source:</w:t>
      </w:r>
      <w:r>
        <w:t xml:space="preserve"> Understanding and addressing the water footprint in the textile sector: A review — https://doi.org/10.1515/aut-2024-0004</w:t>
      </w:r>
    </w:p>
    <w:p>
      <w:pPr>
        <w:pStyle w:val="SourceNote"/>
      </w:pPr>
      <w:r>
        <w:rPr>
          <w:b/>
        </w:rPr>
        <w:t>Review status:</w:t>
      </w:r>
      <w:r>
        <w:t xml:space="preserve"> unchecked — possible relationship only</w:t>
      </w:r>
    </w:p>
    <w:p>
      <w:pPr>
        <w:pStyle w:val="Heading2"/>
      </w:pPr>
      <w:r>
        <w:t>409. Claim + two later sources: GLOBAL FORECAST OF US NATIONAL INTELLIGENCE COUNCIL</w:t>
      </w:r>
    </w:p>
    <w:p>
      <w:pPr>
        <w:pStyle w:val="SourceNote"/>
      </w:pPr>
      <w:r>
        <w:rPr>
          <w:b/>
        </w:rPr>
        <w:t>Group ID:</w:t>
      </w:r>
      <w:r>
        <w:t xml:space="preserve"> group-015127fb86d395a31d95</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Factors Affecting Long-Term Outcomes for Patients with Inflammatory Bowel Disease—A Cross-Sectional Design — https://doi.org/10.3390/nursrep15070231</w:t>
      </w:r>
    </w:p>
    <w:p>
      <w:pPr>
        <w:pStyle w:val="SourceNote"/>
      </w:pPr>
      <w:r>
        <w:rPr>
          <w:b/>
        </w:rPr>
        <w:t>Review status:</w:t>
      </w:r>
      <w:r>
        <w:t xml:space="preserve"> unchecked — possible relationship only</w:t>
      </w:r>
    </w:p>
    <w:p>
      <w:pPr>
        <w:pStyle w:val="Heading2"/>
      </w:pPr>
      <w:r>
        <w:t>410. Claim + two later sources: Prediction of population with Alzheimer's disease in the European Union using a system dynamics model</w:t>
      </w:r>
    </w:p>
    <w:p>
      <w:pPr>
        <w:pStyle w:val="SourceNote"/>
      </w:pPr>
      <w:r>
        <w:rPr>
          <w:b/>
        </w:rPr>
        <w:t>Group ID:</w:t>
      </w:r>
      <w:r>
        <w:t xml:space="preserve"> group-930216d38f6c934a0b1d</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Projected number of osteoarthritis patients in Austria for the next decades – quantifying the necessity of treatment and prevention strategies in Europe — https://doi.org/10.1186/s12891-022-05091-5</w:t>
      </w:r>
    </w:p>
    <w:p>
      <w:pPr/>
      <w:r>
        <w:rPr>
          <w:b/>
        </w:rPr>
        <w:t>Later source:</w:t>
      </w:r>
      <w:r>
        <w:t xml:space="preserve"> Effects of Immigrants, Health, and Ageing on Economic Growth in the European Union — https://doi.org/10.3390/ijerph20010224</w:t>
      </w:r>
    </w:p>
    <w:p>
      <w:pPr>
        <w:pStyle w:val="SourceNote"/>
      </w:pPr>
      <w:r>
        <w:rPr>
          <w:b/>
        </w:rPr>
        <w:t>Review status:</w:t>
      </w:r>
      <w:r>
        <w:t xml:space="preserve"> unchecked — possible relationship only</w:t>
      </w:r>
    </w:p>
    <w:p>
      <w:pPr>
        <w:pStyle w:val="Heading2"/>
      </w:pPr>
      <w:r>
        <w:t>411. Claim + two later sources: European atmosphere in 2050, a regional air quality and climate perspective under CMIP5 scenarios</w:t>
      </w:r>
    </w:p>
    <w:p>
      <w:pPr>
        <w:pStyle w:val="SourceNote"/>
      </w:pPr>
      <w:r>
        <w:rPr>
          <w:b/>
        </w:rPr>
        <w:t>Group ID:</w:t>
      </w:r>
      <w:r>
        <w:t xml:space="preserve"> group-1a9f66512272b271dc18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Climate &amp; Air Quality projections over Europe for 2030 and 2050 — https://openalex.org/W7213705154</w:t>
      </w:r>
    </w:p>
    <w:p>
      <w:pPr/>
      <w:r>
        <w:rPr>
          <w:b/>
        </w:rPr>
        <w:t>Later source:</w:t>
      </w:r>
      <w:r>
        <w:t xml:space="preserve"> Quantifying the Climate Penalty on Air Quality in Europe – Insights from INSPEnCaT Project — https://doi.org/10.5194/egusphere-egu25-17230</w:t>
      </w:r>
    </w:p>
    <w:p>
      <w:pPr>
        <w:pStyle w:val="SourceNote"/>
      </w:pPr>
      <w:r>
        <w:rPr>
          <w:b/>
        </w:rPr>
        <w:t>Review status:</w:t>
      </w:r>
      <w:r>
        <w:t xml:space="preserve"> accepted — possible relationship only</w:t>
      </w:r>
    </w:p>
    <w:p>
      <w:pPr>
        <w:pStyle w:val="Heading2"/>
      </w:pPr>
      <w:r>
        <w:t>412. Claim + two later sources: Improved Consistency of Climate Projections over Europe after Accounting for Atmospheric Circulation Variability</w:t>
      </w:r>
    </w:p>
    <w:p>
      <w:pPr>
        <w:pStyle w:val="SourceNote"/>
      </w:pPr>
      <w:r>
        <w:rPr>
          <w:b/>
        </w:rPr>
        <w:t>Group ID:</w:t>
      </w:r>
      <w:r>
        <w:t xml:space="preserve"> group-819a178a72079fea97b2</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Climatological characteristics and atmospheric circulation associated with 3D heat wave types in European regions — https://doi.org/10.5194/egusphere-egu25-9748</w:t>
      </w:r>
    </w:p>
    <w:p>
      <w:pPr>
        <w:pStyle w:val="SourceNote"/>
      </w:pPr>
      <w:r>
        <w:rPr>
          <w:b/>
        </w:rPr>
        <w:t>Review status:</w:t>
      </w:r>
      <w:r>
        <w:t xml:space="preserve"> unchecked — possible relationship only</w:t>
      </w:r>
    </w:p>
    <w:p>
      <w:pPr>
        <w:pStyle w:val="Heading2"/>
      </w:pPr>
      <w:r>
        <w:t>413. Claim + two later sources: ‘Energy landscapes’: Meeting energy demands and human aspirations</w:t>
      </w:r>
    </w:p>
    <w:p>
      <w:pPr>
        <w:pStyle w:val="SourceNote"/>
      </w:pPr>
      <w:r>
        <w:rPr>
          <w:b/>
        </w:rPr>
        <w:t>Group ID:</w:t>
      </w:r>
      <w:r>
        <w:t xml:space="preserve"> group-1973f1ca1f715d4527dc</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The effects of critical questions on undergraduate students' argumentative writing — https://doi.org/10.58088/bfrb-jk48</w:t>
      </w:r>
    </w:p>
    <w:p>
      <w:pPr/>
      <w:r>
        <w:rPr>
          <w:b/>
        </w:rPr>
        <w:t>Later source:</w:t>
      </w:r>
      <w:r>
        <w:t xml:space="preserve"> Moduli space of logarithmic states in critical massive gravities — https://doi.org/10.1140/epjc/s10052-024-12614-y</w:t>
      </w:r>
    </w:p>
    <w:p>
      <w:pPr>
        <w:pStyle w:val="SourceNote"/>
      </w:pPr>
      <w:r>
        <w:rPr>
          <w:b/>
        </w:rPr>
        <w:t>Review status:</w:t>
      </w:r>
      <w:r>
        <w:t xml:space="preserve"> unchecked — possible relationship only</w:t>
      </w:r>
    </w:p>
    <w:p>
      <w:pPr>
        <w:pStyle w:val="Heading2"/>
      </w:pPr>
      <w:r>
        <w:t>414. Claim + two later sources: Energy futures as societal futures: Co-evolutionary scenarios linking futures of society and decarbonized energy systems in Switzerland 2050</w:t>
      </w:r>
    </w:p>
    <w:p>
      <w:pPr>
        <w:pStyle w:val="SourceNote"/>
      </w:pPr>
      <w:r>
        <w:rPr>
          <w:b/>
        </w:rPr>
        <w:t>Group ID:</w:t>
      </w:r>
      <w:r>
        <w:t xml:space="preserve"> group-14a81d187a4a2da649e4</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Polyendocrine metabolic ovarian syndrome, the new name for polycystic ovary syndrome: a multistep global consensus process — https://doi.org/10.1016/s0140-6736(26)00717-8</w:t>
      </w:r>
    </w:p>
    <w:p>
      <w:pPr/>
      <w:r>
        <w:rPr>
          <w:b/>
        </w:rPr>
        <w:t>Later source:</w:t>
      </w:r>
      <w:r>
        <w:t xml:space="preserve"> Consensus-Based Resilience Assurance for System of Systems — https://doi.org/10.1109/access.2025.3535519</w:t>
      </w:r>
    </w:p>
    <w:p>
      <w:pPr>
        <w:pStyle w:val="SourceNote"/>
      </w:pPr>
      <w:r>
        <w:rPr>
          <w:b/>
        </w:rPr>
        <w:t>Review status:</w:t>
      </w:r>
      <w:r>
        <w:t xml:space="preserve"> unchecked — possible relationship only</w:t>
      </w:r>
    </w:p>
    <w:p>
      <w:pPr>
        <w:pStyle w:val="Heading2"/>
      </w:pPr>
      <w:r>
        <w:t>415. Claim + two later sources: Imaginary scenarios: Literature and Democracy in Europe</w:t>
      </w:r>
    </w:p>
    <w:p>
      <w:pPr>
        <w:pStyle w:val="SourceNote"/>
      </w:pPr>
      <w:r>
        <w:rPr>
          <w:b/>
        </w:rPr>
        <w:t>Group ID:</w:t>
      </w:r>
      <w:r>
        <w:t xml:space="preserve"> group-f6b927ab1a66985d7c1f</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European Constitutional Imaginaries — https://doi.org/10.1093/oso/9780192855480.003.0001</w:t>
      </w:r>
    </w:p>
    <w:p>
      <w:pPr/>
      <w:r>
        <w:rPr>
          <w:b/>
        </w:rPr>
        <w:t>Later source:</w:t>
      </w:r>
      <w:r>
        <w:t xml:space="preserve"> Popular imaginative geographies and Brexit: Evidence from Mass Observation — https://doi.org/10.1111/tran.12444</w:t>
      </w:r>
    </w:p>
    <w:p>
      <w:pPr>
        <w:pStyle w:val="SourceNote"/>
      </w:pPr>
      <w:r>
        <w:rPr>
          <w:b/>
        </w:rPr>
        <w:t>Review status:</w:t>
      </w:r>
      <w:r>
        <w:t xml:space="preserve"> unchecked — possible relationship only</w:t>
      </w:r>
    </w:p>
    <w:p>
      <w:pPr>
        <w:pStyle w:val="Heading2"/>
      </w:pPr>
      <w:r>
        <w:t>416. Claim + two later sources: Possible Futures towards a Wood-Based Bioeconomy: A Scenario Analysis for Germany</w:t>
      </w:r>
    </w:p>
    <w:p>
      <w:pPr>
        <w:pStyle w:val="SourceNote"/>
      </w:pPr>
      <w:r>
        <w:rPr>
          <w:b/>
        </w:rPr>
        <w:t>Group ID:</w:t>
      </w:r>
      <w:r>
        <w:t xml:space="preserve"> group-2619dca9c337a527bd65</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Economic Analysis of Fossil CO2 Emissions: A European Perspective on Sustainable Development — https://doi.org/10.3390/en18082106</w:t>
      </w:r>
    </w:p>
    <w:p>
      <w:pPr/>
      <w:r>
        <w:rPr>
          <w:b/>
        </w:rPr>
        <w:t>Later source:</w:t>
      </w:r>
      <w:r>
        <w:t xml:space="preserve"> What Factors Drive a Sustainable Energy Transition in Europe? A Data-Driven Exploration of Economic and Policy Influences — https://doi.org/10.22541/au.175883292.27456920/v1</w:t>
      </w:r>
    </w:p>
    <w:p>
      <w:pPr>
        <w:pStyle w:val="SourceNote"/>
      </w:pPr>
      <w:r>
        <w:rPr>
          <w:b/>
        </w:rPr>
        <w:t>Review status:</w:t>
      </w:r>
      <w:r>
        <w:t xml:space="preserve"> unchecked — possible relationship only</w:t>
      </w:r>
    </w:p>
    <w:p>
      <w:pPr>
        <w:pStyle w:val="Heading2"/>
      </w:pPr>
      <w:r>
        <w:t>417. Claim + two later sources: The Boundaries of Scientific Innovation in the EU Green Deal Context</w:t>
      </w:r>
    </w:p>
    <w:p>
      <w:pPr>
        <w:pStyle w:val="SourceNote"/>
      </w:pPr>
      <w:r>
        <w:rPr>
          <w:b/>
        </w:rPr>
        <w:t>Group ID:</w:t>
      </w:r>
      <w:r>
        <w:t xml:space="preserve"> group-3eb24753e76bb7520e15</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The European Union as a Political Hybrid — https://doi.org/10.1017/9781009682633.004</w:t>
      </w:r>
    </w:p>
    <w:p>
      <w:pPr/>
      <w:r>
        <w:rPr>
          <w:b/>
        </w:rPr>
        <w:t>Later source:</w:t>
      </w:r>
      <w:r>
        <w:t xml:space="preserve"> The Role of the European Parliament in Strengthening Democratic Representation in the European Union — https://doi.org/10.70670/sra.v4i1.2448</w:t>
      </w:r>
    </w:p>
    <w:p>
      <w:pPr>
        <w:pStyle w:val="SourceNote"/>
      </w:pPr>
      <w:r>
        <w:rPr>
          <w:b/>
        </w:rPr>
        <w:t>Review status:</w:t>
      </w:r>
      <w:r>
        <w:t xml:space="preserve"> unchecked — possible relationship only</w:t>
      </w:r>
    </w:p>
    <w:p>
      <w:pPr>
        <w:pStyle w:val="Heading2"/>
      </w:pPr>
      <w:r>
        <w:t>418. Claim + two later sources: Neglected futures. Considering overlooked poverty in Europe</w:t>
      </w:r>
    </w:p>
    <w:p>
      <w:pPr>
        <w:pStyle w:val="SourceNote"/>
      </w:pPr>
      <w:r>
        <w:rPr>
          <w:b/>
        </w:rPr>
        <w:t>Group ID:</w:t>
      </w:r>
      <w:r>
        <w:t xml:space="preserve"> group-c64ae483b81caab1b31a</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An Analysis of the Municipal Waste Management of Romania and Bulgaria in the European Context — https://doi.org/10.61801/ouaess.2022.1.21</w:t>
      </w:r>
    </w:p>
    <w:p>
      <w:pPr/>
      <w:r>
        <w:rPr>
          <w:b/>
        </w:rPr>
        <w:t>Later source:</w:t>
      </w:r>
      <w:r>
        <w:t xml:space="preserve"> Dedicated versus mainstreaming approaches in local climate plans in Europe — https://doi.org/10.1016/j.rser.2019.05.014</w:t>
      </w:r>
    </w:p>
    <w:p>
      <w:pPr>
        <w:pStyle w:val="SourceNote"/>
      </w:pPr>
      <w:r>
        <w:rPr>
          <w:b/>
        </w:rPr>
        <w:t>Review status:</w:t>
      </w:r>
      <w:r>
        <w:t xml:space="preserve"> unchecked — possible relationship only</w:t>
      </w:r>
    </w:p>
    <w:p>
      <w:pPr>
        <w:pStyle w:val="Heading2"/>
      </w:pPr>
      <w:r>
        <w:t>419. Claim + two later sources: EUHFORIA: European heliospheric forecasting information asset</w:t>
      </w:r>
    </w:p>
    <w:p>
      <w:pPr>
        <w:pStyle w:val="SourceNote"/>
      </w:pPr>
      <w:r>
        <w:rPr>
          <w:b/>
        </w:rPr>
        <w:t>Group ID:</w:t>
      </w:r>
      <w:r>
        <w:t xml:space="preserve"> group-62ae67a767a631275fb4</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7.L. Workshop: New roles and innovative skill-mix in nursing across Europe: trends and lessons for implementation — https://doi.org/10.1093/eurpub/ckac129.446</w:t>
      </w:r>
    </w:p>
    <w:p>
      <w:pPr/>
      <w:r>
        <w:rPr>
          <w:b/>
        </w:rPr>
        <w:t>Later source:</w:t>
      </w:r>
      <w:r>
        <w:t xml:space="preserve"> The impact of Aeolus wind retrievals on ECMWF global weather forecasts — https://doi.org/10.1002/qj.4142</w:t>
      </w:r>
    </w:p>
    <w:p>
      <w:pPr>
        <w:pStyle w:val="SourceNote"/>
      </w:pPr>
      <w:r>
        <w:rPr>
          <w:b/>
        </w:rPr>
        <w:t>Review status:</w:t>
      </w:r>
      <w:r>
        <w:t xml:space="preserve"> unchecked — possible relationship only</w:t>
      </w:r>
    </w:p>
    <w:p>
      <w:pPr>
        <w:pStyle w:val="Heading2"/>
      </w:pPr>
      <w:r>
        <w:t>420. Claim + two later sources: Sociotechnical imaginaries of a secure future</w:t>
      </w:r>
    </w:p>
    <w:p>
      <w:pPr>
        <w:pStyle w:val="SourceNote"/>
      </w:pPr>
      <w:r>
        <w:rPr>
          <w:b/>
        </w:rPr>
        <w:t>Group ID:</w:t>
      </w:r>
      <w:r>
        <w:t xml:space="preserve"> group-2cbb6adb293490c60810</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Governing knowledge, shaping Europe: research security in the EU’s geopolitical turn — https://doi.org/10.1080/09662839.2026.2680646</w:t>
      </w:r>
    </w:p>
    <w:p>
      <w:pPr/>
      <w:r>
        <w:rPr>
          <w:b/>
        </w:rPr>
        <w:t>Later source:</w:t>
      </w:r>
      <w:r>
        <w:t xml:space="preserve"> Electronic commerce patterns in Europe: Cluster analysis of online shopping intensity — https://doi.org/10.5937/mkng2501005b</w:t>
      </w:r>
    </w:p>
    <w:p>
      <w:pPr>
        <w:pStyle w:val="SourceNote"/>
      </w:pPr>
      <w:r>
        <w:rPr>
          <w:b/>
        </w:rPr>
        <w:t>Review status:</w:t>
      </w:r>
      <w:r>
        <w:t xml:space="preserve"> unchecked — possible relationship only</w:t>
      </w:r>
    </w:p>
    <w:p>
      <w:pPr>
        <w:pStyle w:val="Heading2"/>
      </w:pPr>
      <w:r>
        <w:t>421. Claim + two later sources: Potential implications of future climate and land‐cover changes for the fate and distribution of persistent organic pollutants in Europe</w:t>
      </w:r>
    </w:p>
    <w:p>
      <w:pPr>
        <w:pStyle w:val="SourceNote"/>
      </w:pPr>
      <w:r>
        <w:rPr>
          <w:b/>
        </w:rPr>
        <w:t>Group ID:</w:t>
      </w:r>
      <w:r>
        <w:t xml:space="preserve"> group-9f8c3b1e949b12235715</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European land use and land cover futures: a global computable general equilibrium assessment with sub-national detail and a climate application — https://doi.org/10.48565/bonndoc-923</w:t>
      </w:r>
    </w:p>
    <w:p>
      <w:pPr/>
      <w:r>
        <w:rPr>
          <w:b/>
        </w:rPr>
        <w:t>Later source:</w:t>
      </w:r>
      <w:r>
        <w:t xml:space="preserve"> Impact of the online climate-chemistry in regional climate simulations in meteorological variables over Europe — https://doi.org/10.5194/ems2025-270</w:t>
      </w:r>
    </w:p>
    <w:p>
      <w:pPr>
        <w:pStyle w:val="SourceNote"/>
      </w:pPr>
      <w:r>
        <w:rPr>
          <w:b/>
        </w:rPr>
        <w:t>Review status:</w:t>
      </w:r>
      <w:r>
        <w:t xml:space="preserve"> unchecked — possible relationship only</w:t>
      </w:r>
    </w:p>
    <w:p>
      <w:pPr>
        <w:pStyle w:val="Heading2"/>
      </w:pPr>
      <w:r>
        <w:t>422.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423. Claim + two later sources: EUropean Heliospheric FORecasting Information Asset 2.0</w:t>
      </w:r>
    </w:p>
    <w:p>
      <w:pPr>
        <w:pStyle w:val="SourceNote"/>
      </w:pPr>
      <w:r>
        <w:rPr>
          <w:b/>
        </w:rPr>
        <w:t>Group ID:</w:t>
      </w:r>
      <w:r>
        <w:t xml:space="preserve"> group-3ac6e39aa29e1c2206ca</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The PIANOFORTE partnership: Elevating European research for enhanced radiation protection — https://doi.org/10.1051/epjn/2025009</w:t>
      </w:r>
    </w:p>
    <w:p>
      <w:pPr/>
      <w:r>
        <w:rPr>
          <w:b/>
        </w:rPr>
        <w:t>Later source:</w:t>
      </w:r>
      <w:r>
        <w:t xml:space="preserve"> Exploring Hybrid Forecasting Frameworks for Subseasonal Low Flow Predictions in the European Alps — https://doi.org/10.5194/egusphere-2025-3411</w:t>
      </w:r>
    </w:p>
    <w:p>
      <w:pPr>
        <w:pStyle w:val="SourceNote"/>
      </w:pPr>
      <w:r>
        <w:rPr>
          <w:b/>
        </w:rPr>
        <w:t>Review status:</w:t>
      </w:r>
      <w:r>
        <w:t xml:space="preserve"> unchecked — possible relationship only</w:t>
      </w:r>
    </w:p>
    <w:p>
      <w:pPr>
        <w:pStyle w:val="Heading2"/>
      </w:pPr>
      <w:r>
        <w:t>424. Claim + two later sources: Application of the UK Foresight Obesity Model in Ireland: The Health and Economic Consequences of Projected Obesity Trends in Ireland</w:t>
      </w:r>
    </w:p>
    <w:p>
      <w:pPr>
        <w:pStyle w:val="SourceNote"/>
      </w:pPr>
      <w:r>
        <w:rPr>
          <w:b/>
        </w:rPr>
        <w:t>Group ID:</w:t>
      </w:r>
      <w:r>
        <w:t xml:space="preserve"> group-e9688d7200232d17476a</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Artificial Intelligence in European Healthcare — https://doi.org/10.1553/easac-feam_report_ai-in-healthcare_2026</w:t>
      </w:r>
    </w:p>
    <w:p>
      <w:pPr>
        <w:pStyle w:val="SourceNote"/>
      </w:pPr>
      <w:r>
        <w:rPr>
          <w:b/>
        </w:rPr>
        <w:t>Review status:</w:t>
      </w:r>
      <w:r>
        <w:t xml:space="preserve"> unchecked — possible relationship only</w:t>
      </w:r>
    </w:p>
    <w:p>
      <w:pPr>
        <w:pStyle w:val="Heading2"/>
      </w:pPr>
      <w:r>
        <w:t>425. Claim + two later sources: Solar Photovoltaic Electricity Generation: A Lifeline for the European Coal Regions in Transition</w:t>
      </w:r>
    </w:p>
    <w:p>
      <w:pPr>
        <w:pStyle w:val="SourceNote"/>
      </w:pPr>
      <w:r>
        <w:rPr>
          <w:b/>
        </w:rPr>
        <w:t>Group ID:</w:t>
      </w:r>
      <w:r>
        <w:t xml:space="preserve"> group-4ca6cccf55553885299a</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Empowering whose future? A European policy analysis of children in energy poverty — https://doi.org/10.1016/j.erss.2023.103328</w:t>
      </w:r>
    </w:p>
    <w:p>
      <w:pPr/>
      <w:r>
        <w:rPr>
          <w:b/>
        </w:rPr>
        <w:t>Later source:</w:t>
      </w:r>
      <w:r>
        <w:t xml:space="preserve"> UKRAINE IN THE INTERNATIONAL ENERGY COORDINATE SYSTEM — https://doi.org/10.20998/2313-8890.2023.01.04</w:t>
      </w:r>
    </w:p>
    <w:p>
      <w:pPr>
        <w:pStyle w:val="SourceNote"/>
      </w:pPr>
      <w:r>
        <w:rPr>
          <w:b/>
        </w:rPr>
        <w:t>Review status:</w:t>
      </w:r>
      <w:r>
        <w:t xml:space="preserve"> unchecked — possible relationship only</w:t>
      </w:r>
    </w:p>
    <w:p>
      <w:pPr>
        <w:pStyle w:val="Heading2"/>
      </w:pPr>
      <w:r>
        <w:t>426. Claim + two later sources: When will European Muslim population be majority and in which country?</w:t>
      </w:r>
    </w:p>
    <w:p>
      <w:pPr>
        <w:pStyle w:val="SourceNote"/>
      </w:pPr>
      <w:r>
        <w:rPr>
          <w:b/>
        </w:rPr>
        <w:t>Group ID:</w:t>
      </w:r>
      <w:r>
        <w:t xml:space="preserve"> group-cf42276fd17d0242824d</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Exploring the genetic diversity of recent Ralstonia pseudosolanacearum phylotype I findings in Europe — https://doi.org/10.1007/s10658-026-03191-9</w:t>
      </w:r>
    </w:p>
    <w:p>
      <w:pPr/>
      <w:r>
        <w:rPr>
          <w:b/>
        </w:rPr>
        <w:t>Later source:</w:t>
      </w:r>
      <w:r>
        <w:t xml:space="preserve"> CSR and cost of debt in three European countries — https://doi.org/10.1007/s43621-026-03822-5</w:t>
      </w:r>
    </w:p>
    <w:p>
      <w:pPr>
        <w:pStyle w:val="SourceNote"/>
      </w:pPr>
      <w:r>
        <w:rPr>
          <w:b/>
        </w:rPr>
        <w:t>Review status:</w:t>
      </w:r>
      <w:r>
        <w:t xml:space="preserve"> unchecked — possible relationship only</w:t>
      </w:r>
    </w:p>
    <w:p>
      <w:pPr>
        <w:pStyle w:val="Heading2"/>
      </w:pPr>
      <w:r>
        <w:t>427. Claim + two later sources: Future life expectancy in 35 industrialised countries: projections with a Bayesian model ensemble</w:t>
      </w:r>
    </w:p>
    <w:p>
      <w:pPr>
        <w:pStyle w:val="SourceNote"/>
      </w:pPr>
      <w:r>
        <w:rPr>
          <w:b/>
        </w:rPr>
        <w:t>Group ID:</w:t>
      </w:r>
      <w:r>
        <w:t xml:space="preserve"> group-21f1989e11c426a2db46</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Influence of social determinants of health in the evolution of the quality of life of older adults in Europe: A comparative analysis between men and women — https://doi.org/10.1057/s41599-024-02899-5</w:t>
      </w:r>
    </w:p>
    <w:p>
      <w:pPr/>
      <w:r>
        <w:rPr>
          <w:b/>
        </w:rPr>
        <w:t>Later source:</w:t>
      </w:r>
      <w:r>
        <w:t xml:space="preserve"> Deciphering the sex gap in global life expectancy: the impact of female-specific cancers 1990-2019 — https://doi.org/10.1093/jnci/djae191</w:t>
      </w:r>
    </w:p>
    <w:p>
      <w:pPr>
        <w:pStyle w:val="SourceNote"/>
      </w:pPr>
      <w:r>
        <w:rPr>
          <w:b/>
        </w:rPr>
        <w:t>Review status:</w:t>
      </w:r>
      <w:r>
        <w:t xml:space="preserve"> unchecked — possible relationship only</w:t>
      </w:r>
    </w:p>
    <w:p>
      <w:pPr>
        <w:pStyle w:val="Heading2"/>
      </w:pPr>
      <w:r>
        <w:t>428. Claim + two later sources: The Role of BECCS in Achieving Climate Neutrality in the European Union</w:t>
      </w:r>
    </w:p>
    <w:p>
      <w:pPr>
        <w:pStyle w:val="SourceNote"/>
      </w:pPr>
      <w:r>
        <w:rPr>
          <w:b/>
        </w:rPr>
        <w:t>Group ID:</w:t>
      </w:r>
      <w:r>
        <w:t xml:space="preserve"> group-5de8c814a79c3e6d1602</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Strategizing for Climate Neutrality. How to Make Social Innovation Relevant in the City’s Journey to Climate Neutrality — https://doi.org/10.1007/978-3-031-87726-1_3</w:t>
      </w:r>
    </w:p>
    <w:p>
      <w:pPr/>
      <w:r>
        <w:rPr>
          <w:b/>
        </w:rPr>
        <w:t>Later source:</w:t>
      </w:r>
      <w:r>
        <w:t xml:space="preserve"> CLIMATE POLICY OF UKRAINE IN THE CONTEXT OF EUROPEAN INTEGRATION — https://doi.org/10.29038/2524-2679-2025-01-180-197</w:t>
      </w:r>
    </w:p>
    <w:p>
      <w:pPr>
        <w:pStyle w:val="SourceNote"/>
      </w:pPr>
      <w:r>
        <w:rPr>
          <w:b/>
        </w:rPr>
        <w:t>Review status:</w:t>
      </w:r>
      <w:r>
        <w:t xml:space="preserve"> unchecked — possible relationship only</w:t>
      </w:r>
    </w:p>
    <w:p>
      <w:pPr>
        <w:pStyle w:val="Heading2"/>
      </w:pPr>
      <w:r>
        <w:t>429. Claim + two later sources: Ecosystem service provision in a changing Europe: adapting to the impacts of combined climate and socio-economic change</w:t>
      </w:r>
    </w:p>
    <w:p>
      <w:pPr>
        <w:pStyle w:val="SourceNote"/>
      </w:pPr>
      <w:r>
        <w:rPr>
          <w:b/>
        </w:rPr>
        <w:t>Group ID:</w:t>
      </w:r>
      <w:r>
        <w:t xml:space="preserve"> group-98493d400b57fde4d7dd</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Di Fant et al., Opportunity windows accelerate action and expand options for climate adaptation in Europe_Online datasets — https://doi.org/10.6084/m9.figshare.31249858</w:t>
      </w:r>
    </w:p>
    <w:p>
      <w:pPr>
        <w:pStyle w:val="SourceNote"/>
      </w:pPr>
      <w:r>
        <w:rPr>
          <w:b/>
        </w:rPr>
        <w:t>Review status:</w:t>
      </w:r>
      <w:r>
        <w:t xml:space="preserve"> unchecked — possible relationship only</w:t>
      </w:r>
    </w:p>
    <w:p>
      <w:pPr>
        <w:pStyle w:val="Heading2"/>
      </w:pPr>
      <w:r>
        <w:t>430. Claim + two later sources: Future scenarios for a depressed region of England: the role of education in creating alternative futures</w:t>
      </w:r>
    </w:p>
    <w:p>
      <w:pPr>
        <w:pStyle w:val="SourceNote"/>
      </w:pPr>
      <w:r>
        <w:rPr>
          <w:b/>
        </w:rPr>
        <w:t>Group ID:</w:t>
      </w:r>
      <w:r>
        <w:t xml:space="preserve"> group-37ad6a253dd43dd96132</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Developing a Four-Tier Concept Test on the Topic of Matter for Middle School Students — https://doi.org/10.55549/jeseh.885</w:t>
      </w:r>
    </w:p>
    <w:p>
      <w:pPr>
        <w:pStyle w:val="SourceNote"/>
      </w:pPr>
      <w:r>
        <w:rPr>
          <w:b/>
        </w:rPr>
        <w:t>Review status:</w:t>
      </w:r>
      <w:r>
        <w:t xml:space="preserve"> unchecked — possible relationship only</w:t>
      </w:r>
    </w:p>
    <w:p>
      <w:pPr>
        <w:pStyle w:val="Heading2"/>
      </w:pPr>
      <w:r>
        <w:t>431. Claim + two later sources: Future mobility in an ageing society – Where are we heading?</w:t>
      </w:r>
    </w:p>
    <w:p>
      <w:pPr>
        <w:pStyle w:val="SourceNote"/>
      </w:pPr>
      <w:r>
        <w:rPr>
          <w:b/>
        </w:rPr>
        <w:t>Group ID:</w:t>
      </w:r>
      <w:r>
        <w:t xml:space="preserve"> group-4ea7c3e323f162133e44</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If exercise is medicine, where is the dose? A call to improve reporting and monitoring of exercise interventions in fibromyalgia research — https://doi.org/10.3389/fspor.2026.1777261</w:t>
      </w:r>
    </w:p>
    <w:p>
      <w:pPr/>
      <w:r>
        <w:rPr>
          <w:b/>
        </w:rPr>
        <w:t>Later source:</w:t>
      </w:r>
      <w:r>
        <w:t xml:space="preserve"> Dissemination planning in exercise oncology trials—a systematic review of trial protocols — https://doi.org/10.1007/s00520-025-09532-4</w:t>
      </w:r>
    </w:p>
    <w:p>
      <w:pPr>
        <w:pStyle w:val="SourceNote"/>
      </w:pPr>
      <w:r>
        <w:rPr>
          <w:b/>
        </w:rPr>
        <w:t>Review status:</w:t>
      </w:r>
      <w:r>
        <w:t xml:space="preserve"> unchecked — possible relationship only</w:t>
      </w:r>
    </w:p>
    <w:p>
      <w:pPr>
        <w:pStyle w:val="Heading2"/>
      </w:pPr>
      <w:r>
        <w:t>432. Claim + two later sources: Long‐term trends of Nordic power market: A review</w:t>
      </w:r>
    </w:p>
    <w:p>
      <w:pPr>
        <w:pStyle w:val="SourceNote"/>
      </w:pPr>
      <w:r>
        <w:rPr>
          <w:b/>
        </w:rPr>
        <w:t>Group ID:</w:t>
      </w:r>
      <w:r>
        <w:t xml:space="preserve"> group-adade4b46d61700789a8</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Oblique Impact Response of a Silicone-Rubber-Supported Steel Plate: Analytical Scaling, Explicit Finite Element Assessment, and Energy Transfer Mechanisms — https://doi.org/10.51584/ijrias.2026.11080192</w:t>
      </w:r>
    </w:p>
    <w:p>
      <w:pPr/>
      <w:r>
        <w:rPr>
          <w:b/>
        </w:rPr>
        <w:t>Later source:</w:t>
      </w:r>
      <w:r>
        <w:t xml:space="preserve"> Robust Assessments of Lithium Mining Impacts Embodied in Global Supply Chain Require Spatially Explicit Analyses — https://doi.org/10.1021/acs.est.4c12749</w:t>
      </w:r>
    </w:p>
    <w:p>
      <w:pPr>
        <w:pStyle w:val="SourceNote"/>
      </w:pPr>
      <w:r>
        <w:rPr>
          <w:b/>
        </w:rPr>
        <w:t>Review status:</w:t>
      </w:r>
      <w:r>
        <w:t xml:space="preserve"> unchecked — possible relationship only</w:t>
      </w:r>
    </w:p>
    <w:p>
      <w:pPr>
        <w:pStyle w:val="Heading2"/>
      </w:pPr>
      <w:r>
        <w:t>433. Claim + two later sources: The Economic Impact of Investment in Renewables in Croatia by 2030</w:t>
      </w:r>
    </w:p>
    <w:p>
      <w:pPr>
        <w:pStyle w:val="SourceNote"/>
      </w:pPr>
      <w:r>
        <w:rPr>
          <w:b/>
        </w:rPr>
        <w:t>Group ID:</w:t>
      </w:r>
      <w:r>
        <w:t xml:space="preserve"> group-01799b22a54a0fef6440</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Balancing strategies of small states: The case of the Republic of Serbia and the issue of Kosovo and Metohija — https://doi.org/10.5937/bastina36-66586</w:t>
      </w:r>
    </w:p>
    <w:p>
      <w:pPr/>
      <w:r>
        <w:rPr>
          <w:b/>
        </w:rPr>
        <w:t>Later source:</w:t>
      </w:r>
      <w:r>
        <w:t xml:space="preserve"> THE HUSSITE MOVEMENT IN THE CZECH REPUBLIC — https://doi.org/10.31470/2786-8583-2024-4-105-110</w:t>
      </w:r>
    </w:p>
    <w:p>
      <w:pPr>
        <w:pStyle w:val="SourceNote"/>
      </w:pPr>
      <w:r>
        <w:rPr>
          <w:b/>
        </w:rPr>
        <w:t>Review status:</w:t>
      </w:r>
      <w:r>
        <w:t xml:space="preserve"> unchecked — possible relationship only</w:t>
      </w:r>
    </w:p>
    <w:p>
      <w:pPr>
        <w:pStyle w:val="Heading2"/>
      </w:pPr>
      <w:r>
        <w:t>434. Claim + two later sources: Use of Counterfactual Population Projections for Assessing the Demographic Determinants of Population Ageing</w:t>
      </w:r>
    </w:p>
    <w:p>
      <w:pPr>
        <w:pStyle w:val="SourceNote"/>
      </w:pPr>
      <w:r>
        <w:rPr>
          <w:b/>
        </w:rPr>
        <w:t>Group ID:</w:t>
      </w:r>
      <w:r>
        <w:t xml:space="preserve"> group-0fa63e1344e5570f60ed</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RBP4 in Ageing — https://doi.org/10.3390/biomedicines14020463</w:t>
      </w:r>
    </w:p>
    <w:p>
      <w:pPr/>
      <w:r>
        <w:rPr>
          <w:b/>
        </w:rPr>
        <w:t>Later source:</w:t>
      </w:r>
      <w:r>
        <w:t xml:space="preserve"> Regional Disparities in Ageing and Longevity in Nepal: A Comprehensive Analysis by Province and Ecological Zone — https://doi.org/10.3126/oj.v3i4.91080</w:t>
      </w:r>
    </w:p>
    <w:p>
      <w:pPr>
        <w:pStyle w:val="SourceNote"/>
      </w:pPr>
      <w:r>
        <w:rPr>
          <w:b/>
        </w:rPr>
        <w:t>Review status:</w:t>
      </w:r>
      <w:r>
        <w:t xml:space="preserve"> unchecked — possible relationship only</w:t>
      </w:r>
    </w:p>
    <w:p>
      <w:pPr>
        <w:pStyle w:val="Heading2"/>
      </w:pPr>
      <w:r>
        <w:t>435.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group-3670d4bf43c2c45e52f1</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 Roadmap for Evaluating Foresight Initiatives — https://doi.org/10.5281/zenodo.18092300</w:t>
      </w:r>
    </w:p>
    <w:p>
      <w:pPr/>
      <w:r>
        <w:rPr>
          <w:b/>
        </w:rPr>
        <w:t>Later source:</w:t>
      </w:r>
      <w:r>
        <w:t xml:space="preserve"> Corporate foresight among small- and medium-sized enterprises in forest-based bioeconomy: conceptual framework and empirical evidence from Finland — https://doi.org/10.1139/cjfr-2025-0274</w:t>
      </w:r>
    </w:p>
    <w:p>
      <w:pPr>
        <w:pStyle w:val="SourceNote"/>
      </w:pPr>
      <w:r>
        <w:rPr>
          <w:b/>
        </w:rPr>
        <w:t>Review status:</w:t>
      </w:r>
      <w:r>
        <w:t xml:space="preserve"> unchecked — possible relationship only</w:t>
      </w:r>
    </w:p>
    <w:p>
      <w:pPr>
        <w:pStyle w:val="Heading2"/>
      </w:pPr>
      <w:r>
        <w:t>436. Claim + two later sources: FORECASTED TRENDS IN CHANGES OF VEGETATION IN THE EUROPEAN PART OF RUSSIA IN CONNECTION WITH GLOBAL WARMING</w:t>
      </w:r>
    </w:p>
    <w:p>
      <w:pPr>
        <w:pStyle w:val="SourceNote"/>
      </w:pPr>
      <w:r>
        <w:rPr>
          <w:b/>
        </w:rPr>
        <w:t>Group ID:</w:t>
      </w:r>
      <w:r>
        <w:t xml:space="preserve"> group-d43e205f08d0bbf37240</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Climate-Adapted Potential Vegetation—A European Multiclass Model Estimating the Future Potential of Natural Vegetation — https://doi.org/10.3390/f14020239</w:t>
      </w:r>
    </w:p>
    <w:p>
      <w:pPr/>
      <w:r>
        <w:rPr>
          <w:b/>
        </w:rPr>
        <w:t>Later source:</w:t>
      </w:r>
      <w:r>
        <w:t xml:space="preserve"> Testing the Effect of Relative Pollen Productivity on the REVEALS Model: A Validated Reconstruction of Europe-Wide Holocene Vegetation — https://doi.org/10.3390/land12050986</w:t>
      </w:r>
    </w:p>
    <w:p>
      <w:pPr>
        <w:pStyle w:val="SourceNote"/>
      </w:pPr>
      <w:r>
        <w:rPr>
          <w:b/>
        </w:rPr>
        <w:t>Review status:</w:t>
      </w:r>
      <w:r>
        <w:t xml:space="preserve"> unchecked — possible relationship only</w:t>
      </w:r>
    </w:p>
    <w:p>
      <w:pPr>
        <w:pStyle w:val="Heading2"/>
      </w:pPr>
      <w:r>
        <w:t>437. Claim + two later sources: The role of transmission and energy storage in European decarbonization towards 2050</w:t>
      </w:r>
    </w:p>
    <w:p>
      <w:pPr>
        <w:pStyle w:val="SourceNote"/>
      </w:pPr>
      <w:r>
        <w:rPr>
          <w:b/>
        </w:rPr>
        <w:t>Group ID:</w:t>
      </w:r>
      <w:r>
        <w:t xml:space="preserve"> group-2ec80b56783aabfb9346</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The electricity system value of the local acceptance of onshore wind in Europe — https://openalex.org/W7148177161</w:t>
      </w:r>
    </w:p>
    <w:p>
      <w:pPr/>
      <w:r>
        <w:rPr>
          <w:b/>
        </w:rPr>
        <w:t>Later source:</w:t>
      </w:r>
      <w:r>
        <w:t xml:space="preserve"> Analysing drivers and interdependencies in European electricity markets using XAI — https://doi.org/10.48550/arxiv.2606.19118</w:t>
      </w:r>
    </w:p>
    <w:p>
      <w:pPr>
        <w:pStyle w:val="SourceNote"/>
      </w:pPr>
      <w:r>
        <w:rPr>
          <w:b/>
        </w:rPr>
        <w:t>Review status:</w:t>
      </w:r>
      <w:r>
        <w:t xml:space="preserve"> unchecked — possible relationship only</w:t>
      </w:r>
    </w:p>
    <w:p>
      <w:pPr>
        <w:pStyle w:val="Heading2"/>
      </w:pPr>
      <w:r>
        <w:t>438. Claim + two later sources: Strategies for emerging research and innovation futures</w:t>
      </w:r>
    </w:p>
    <w:p>
      <w:pPr>
        <w:pStyle w:val="SourceNote"/>
      </w:pPr>
      <w:r>
        <w:rPr>
          <w:b/>
        </w:rPr>
        <w:t>Group ID:</w:t>
      </w:r>
      <w:r>
        <w:t xml:space="preserve"> group-d734e93232bd53a1fd4b</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Summary report - Multisite-light dosimetry data set — https://doi.org/10.5281/zenodo.21238932</w:t>
      </w:r>
    </w:p>
    <w:p>
      <w:pPr/>
      <w:r>
        <w:rPr>
          <w:b/>
        </w:rPr>
        <w:t>Later source:</w:t>
      </w:r>
      <w:r>
        <w:t xml:space="preserve"> Light is Calling — https://doi.org/10.5117/9789089649966_ch06</w:t>
      </w:r>
    </w:p>
    <w:p>
      <w:pPr>
        <w:pStyle w:val="SourceNote"/>
      </w:pPr>
      <w:r>
        <w:rPr>
          <w:b/>
        </w:rPr>
        <w:t>Review status:</w:t>
      </w:r>
      <w:r>
        <w:t xml:space="preserve"> unchecked — possible relationship only</w:t>
      </w:r>
    </w:p>
    <w:p>
      <w:pPr>
        <w:pStyle w:val="Heading2"/>
      </w:pPr>
      <w:r>
        <w:t>439. Claim + two later sources: Consistent economic cross-sectoral climate change impact scenario analysis: Method and application to Austria</w:t>
      </w:r>
    </w:p>
    <w:p>
      <w:pPr>
        <w:pStyle w:val="SourceNote"/>
      </w:pPr>
      <w:r>
        <w:rPr>
          <w:b/>
        </w:rPr>
        <w:t>Group ID:</w:t>
      </w:r>
      <w:r>
        <w:t xml:space="preserve"> group-b30193ceb1cb4b0fa635</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Climate resilience of European wine regions — https://doi.org/10.1038/s41467-024-50549-w</w:t>
      </w:r>
    </w:p>
    <w:p>
      <w:pPr/>
      <w:r>
        <w:rPr>
          <w:b/>
        </w:rPr>
        <w:t>Later source:</w:t>
      </w:r>
      <w:r>
        <w:t xml:space="preserve"> The first map of crop sequence types in Europe over 2012–2018 — https://doi.org/10.5194/essd-15-5651-2023</w:t>
      </w:r>
    </w:p>
    <w:p>
      <w:pPr>
        <w:pStyle w:val="SourceNote"/>
      </w:pPr>
      <w:r>
        <w:rPr>
          <w:b/>
        </w:rPr>
        <w:t>Review status:</w:t>
      </w:r>
      <w:r>
        <w:t xml:space="preserve"> unchecked — possible relationship only</w:t>
      </w:r>
    </w:p>
    <w:p>
      <w:pPr>
        <w:pStyle w:val="Heading2"/>
      </w:pPr>
      <w:r>
        <w:t>440. Claim + two later sources: POPULATION FORECAST WITH THE DATA PROCESSING GROUP METHOD (GMDH) type NEURAL NETWORK FOR EUROPEAN UNION COUNTRIES</w:t>
      </w:r>
    </w:p>
    <w:p>
      <w:pPr>
        <w:pStyle w:val="SourceNote"/>
      </w:pPr>
      <w:r>
        <w:rPr>
          <w:b/>
        </w:rPr>
        <w:t>Group ID:</w:t>
      </w:r>
      <w:r>
        <w:t xml:space="preserve"> group-43034bb3d15eb9d834fc</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The Future of Money in Europe: Central Bank Digital Currencies? — https://openalex.org/W7215248674</w:t>
      </w:r>
    </w:p>
    <w:p>
      <w:pPr/>
      <w:r>
        <w:rPr>
          <w:b/>
        </w:rPr>
        <w:t>Later source:</w:t>
      </w:r>
      <w:r>
        <w:t xml:space="preserve"> An Analytical Approach to Comparing Actual Vs. Fundamental “Enterprise Value-to-EBITDA” Ratios on the US and European Stock Markets — https://doi.org/10.37075/faba.2025.2.08</w:t>
      </w:r>
    </w:p>
    <w:p>
      <w:pPr>
        <w:pStyle w:val="SourceNote"/>
      </w:pPr>
      <w:r>
        <w:rPr>
          <w:b/>
        </w:rPr>
        <w:t>Review status:</w:t>
      </w:r>
      <w:r>
        <w:t xml:space="preserve"> unchecked — possible relationship only</w:t>
      </w:r>
    </w:p>
    <w:p>
      <w:pPr>
        <w:pStyle w:val="Heading2"/>
      </w:pPr>
      <w:r>
        <w:t>441.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group-e08173c3683ac3b4570a</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Key сhallenges of EU environmental law arising from the European Green Deal — https://doi.org/10.24144/2307-3322.2026.94.2.29</w:t>
      </w:r>
    </w:p>
    <w:p>
      <w:pPr/>
      <w:r>
        <w:rPr>
          <w:b/>
        </w:rPr>
        <w:t>Later source:</w:t>
      </w:r>
      <w:r>
        <w:t xml:space="preserve"> Cluster Analysis of the Transition to Climate Neutrality in the European Union — https://doi.org/10.1002/sd.70064</w:t>
      </w:r>
    </w:p>
    <w:p>
      <w:pPr>
        <w:pStyle w:val="SourceNote"/>
      </w:pPr>
      <w:r>
        <w:rPr>
          <w:b/>
        </w:rPr>
        <w:t>Review status:</w:t>
      </w:r>
      <w:r>
        <w:t xml:space="preserve"> unchecked — possible relationship only</w:t>
      </w:r>
    </w:p>
    <w:p>
      <w:pPr>
        <w:pStyle w:val="Heading2"/>
      </w:pPr>
      <w:r>
        <w:t>442. Claim + two later sources: The future of polarisation in Europe: relative cosmopolitanism and democracy</w:t>
      </w:r>
    </w:p>
    <w:p>
      <w:pPr>
        <w:pStyle w:val="SourceNote"/>
      </w:pPr>
      <w:r>
        <w:rPr>
          <w:b/>
        </w:rPr>
        <w:t>Group ID:</w:t>
      </w:r>
      <w:r>
        <w:t xml:space="preserve"> group-876be0e44f4a9d4bf4a1</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Martyrdom and Patience of Saint Eustathius of Mtskheta / Translation from Old Georgian, Introductory Article and Commentaries by N. Nazarov — https://doi.org/10.15407/orientw2026.03.109</w:t>
      </w:r>
    </w:p>
    <w:p>
      <w:pPr/>
      <w:r>
        <w:rPr>
          <w:b/>
        </w:rPr>
        <w:t>Later source:</w:t>
      </w:r>
      <w:r>
        <w:t xml:space="preserve"> Polarisation beyond the Pandemic? — https://doi.org/10.17570/stj.2024.v10n1.18</w:t>
      </w:r>
    </w:p>
    <w:p>
      <w:pPr>
        <w:pStyle w:val="SourceNote"/>
      </w:pPr>
      <w:r>
        <w:rPr>
          <w:b/>
        </w:rPr>
        <w:t>Review status:</w:t>
      </w:r>
      <w:r>
        <w:t xml:space="preserve"> unchecked — possible relationship only</w:t>
      </w:r>
    </w:p>
    <w:p>
      <w:pPr>
        <w:pStyle w:val="Heading2"/>
      </w:pPr>
      <w:r>
        <w:t>443. Claim + two later sources: Energy Scenario Analysis for the Nordic Transport Sector: A Critical Review</w:t>
      </w:r>
    </w:p>
    <w:p>
      <w:pPr>
        <w:pStyle w:val="SourceNote"/>
      </w:pPr>
      <w:r>
        <w:rPr>
          <w:b/>
        </w:rPr>
        <w:t>Group ID:</w:t>
      </w:r>
      <w:r>
        <w:t xml:space="preserve"> group-6b237cd4d8b71ad58433</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Transition from Fossil Fuels to Renewables: A Comparative Analysis Between Energy-Rich and Energy-Poor Economies — https://doi.org/10.3390/commodities5020009</w:t>
      </w:r>
    </w:p>
    <w:p>
      <w:pPr/>
      <w:r>
        <w:rPr>
          <w:b/>
        </w:rPr>
        <w:t>Later source:</w:t>
      </w:r>
      <w:r>
        <w:t xml:space="preserve"> Downstream Diversification of Critical Mineral-Rich Countries — https://doi.org/10.1007/978-3-032-06139-3_1</w:t>
      </w:r>
    </w:p>
    <w:p>
      <w:pPr>
        <w:pStyle w:val="SourceNote"/>
      </w:pPr>
      <w:r>
        <w:rPr>
          <w:b/>
        </w:rPr>
        <w:t>Review status:</w:t>
      </w:r>
      <w:r>
        <w:t xml:space="preserve"> unchecked — possible relationship only</w:t>
      </w:r>
    </w:p>
    <w:p>
      <w:pPr>
        <w:pStyle w:val="Heading2"/>
      </w:pPr>
      <w:r>
        <w:t>444. Claim + two later sources: Delphi Prospection on Additive Manufacturing in 2030: Implications for Education and Employment in Spain</w:t>
      </w:r>
    </w:p>
    <w:p>
      <w:pPr>
        <w:pStyle w:val="SourceNote"/>
      </w:pPr>
      <w:r>
        <w:rPr>
          <w:b/>
        </w:rPr>
        <w:t>Group ID:</w:t>
      </w:r>
      <w:r>
        <w:t xml:space="preserve"> group-199d430037c3a4011789</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Spain — https://doi.org/10.4324/9780429263736-8</w:t>
      </w:r>
    </w:p>
    <w:p>
      <w:pPr/>
      <w:r>
        <w:rPr>
          <w:b/>
        </w:rPr>
        <w:t>Later source:</w:t>
      </w:r>
      <w:r>
        <w:t xml:space="preserve"> EUROPEAN LONGITUDE PRIZES. I: LONGITUDE DETERMINATION IN THE SPANISH EMPIRE — https://doi.org/10.3724/sp.j.1440-2807.2020.03.03</w:t>
      </w:r>
    </w:p>
    <w:p>
      <w:pPr>
        <w:pStyle w:val="SourceNote"/>
      </w:pPr>
      <w:r>
        <w:rPr>
          <w:b/>
        </w:rPr>
        <w:t>Review status:</w:t>
      </w:r>
      <w:r>
        <w:t xml:space="preserve"> unchecked — possible relationship only</w:t>
      </w:r>
    </w:p>
    <w:p>
      <w:pPr>
        <w:pStyle w:val="Heading2"/>
      </w:pPr>
      <w:r>
        <w:t>445. Claim + two later sources: Suitability of European climate for the Asian tiger mosquito Aedes albopictus : recent trends and future scenarios</w:t>
      </w:r>
    </w:p>
    <w:p>
      <w:pPr>
        <w:pStyle w:val="SourceNote"/>
      </w:pPr>
      <w:r>
        <w:rPr>
          <w:b/>
        </w:rPr>
        <w:t>Group ID:</w:t>
      </w:r>
      <w:r>
        <w:t xml:space="preserve"> group-a7a0652c0d25bf8bee29</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Trends in relative and absolute mobility of homeownership in Europe — https://doi.org/10.31219/osf.io/zdu2n_v1</w:t>
      </w:r>
    </w:p>
    <w:p>
      <w:pPr/>
      <w:r>
        <w:rPr>
          <w:b/>
        </w:rPr>
        <w:t>Later source:</w:t>
      </w:r>
      <w:r>
        <w:t xml:space="preserve"> #148 Impact of targeted screening in high-risk individuals and guideline-directed medical therapy on CKD burden in Europe: projections from IMPACT CKD — https://doi.org/10.1093/ndt/gfaf116.047</w:t>
      </w:r>
    </w:p>
    <w:p>
      <w:pPr>
        <w:pStyle w:val="SourceNote"/>
      </w:pPr>
      <w:r>
        <w:rPr>
          <w:b/>
        </w:rPr>
        <w:t>Review status:</w:t>
      </w:r>
      <w:r>
        <w:t xml:space="preserve"> unchecked — possible relationship only</w:t>
      </w:r>
    </w:p>
    <w:p>
      <w:pPr>
        <w:pStyle w:val="Heading2"/>
      </w:pPr>
      <w:r>
        <w:t>446. Claim + two later sources: OPERATIONAL EARTHQUAKE FORECASTING. State of Knowledge and Guidelines for Utilization</w:t>
      </w:r>
    </w:p>
    <w:p>
      <w:pPr>
        <w:pStyle w:val="SourceNote"/>
      </w:pPr>
      <w:r>
        <w:rPr>
          <w:b/>
        </w:rPr>
        <w:t>Group ID:</w:t>
      </w:r>
      <w:r>
        <w:t xml:space="preserve"> group-77d8c9ca1efb52305029</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Modelling of the long-term evolution and performance of engineered barrier system — https://doi.org/10.1051/epjn/2022038</w:t>
      </w:r>
    </w:p>
    <w:p>
      <w:pPr>
        <w:pStyle w:val="SourceNote"/>
      </w:pPr>
      <w:r>
        <w:rPr>
          <w:b/>
        </w:rPr>
        <w:t>Review status:</w:t>
      </w:r>
      <w:r>
        <w:t xml:space="preserve"> unchecked — possible relationship only</w:t>
      </w:r>
    </w:p>
    <w:p>
      <w:pPr>
        <w:pStyle w:val="Heading2"/>
      </w:pPr>
      <w:r>
        <w:t>447. Claim + two later sources: The European Health Union: European Union’s Concern about Health for All. Concepts, Definition, and Scenarios</w:t>
      </w:r>
    </w:p>
    <w:p>
      <w:pPr>
        <w:pStyle w:val="SourceNote"/>
      </w:pPr>
      <w:r>
        <w:rPr>
          <w:b/>
        </w:rPr>
        <w:t>Group ID:</w:t>
      </w:r>
      <w:r>
        <w:t xml:space="preserve"> group-f29f19559599fa8c5c40</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The Process and Effectiveness of Strategic Planning in Higher Education: Evidence From Five European Countries — https://doi.org/10.1111/ejed.70585</w:t>
      </w:r>
    </w:p>
    <w:p>
      <w:pPr/>
      <w:r>
        <w:rPr>
          <w:b/>
        </w:rPr>
        <w:t>Later source:</w:t>
      </w:r>
      <w:r>
        <w:t xml:space="preserve"> Drivers of and barriers to adoption of digital therapeutics in five European countries — https://doi.org/10.1177/20552076261492350</w:t>
      </w:r>
    </w:p>
    <w:p>
      <w:pPr>
        <w:pStyle w:val="SourceNote"/>
      </w:pPr>
      <w:r>
        <w:rPr>
          <w:b/>
        </w:rPr>
        <w:t>Review status:</w:t>
      </w:r>
      <w:r>
        <w:t xml:space="preserve"> unchecked — possible relationship only</w:t>
      </w:r>
    </w:p>
    <w:p>
      <w:pPr>
        <w:pStyle w:val="Heading2"/>
      </w:pPr>
      <w:r>
        <w:t>448. Claim + two later sources: Ageing population and labour productivity in Bulgaria</w:t>
      </w:r>
    </w:p>
    <w:p>
      <w:pPr>
        <w:pStyle w:val="SourceNote"/>
      </w:pPr>
      <w:r>
        <w:rPr>
          <w:b/>
        </w:rPr>
        <w:t>Group ID:</w:t>
      </w:r>
      <w:r>
        <w:t xml:space="preserve"> group-5fc5773ec90876c54807</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449. Claim + two later sources: Analysing the potential of integrating wind and solar power in Europe using spatial optimisation under various scenarios</w:t>
      </w:r>
    </w:p>
    <w:p>
      <w:pPr>
        <w:pStyle w:val="SourceNote"/>
      </w:pPr>
      <w:r>
        <w:rPr>
          <w:b/>
        </w:rPr>
        <w:t>Group ID:</w:t>
      </w:r>
      <w:r>
        <w:t xml:space="preserve"> group-37f053c96a832184b4f6</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The opportunities and potential of camelina in marginal land in Europe — https://doi.org/10.1016/j.indcrop.2024.118224</w:t>
      </w:r>
    </w:p>
    <w:p>
      <w:pPr/>
      <w:r>
        <w:rPr>
          <w:b/>
        </w:rPr>
        <w:t>Later source:</w:t>
      </w:r>
      <w:r>
        <w:t xml:space="preserve"> Disparities of Central and Eastern European Countries of European Union in innovation potential: A multi-criteria assessment — https://doi.org/10.1016/j.joitmc.2024.100282</w:t>
      </w:r>
    </w:p>
    <w:p>
      <w:pPr>
        <w:pStyle w:val="SourceNote"/>
      </w:pPr>
      <w:r>
        <w:rPr>
          <w:b/>
        </w:rPr>
        <w:t>Review status:</w:t>
      </w:r>
      <w:r>
        <w:t xml:space="preserve"> unchecked — possible relationship only</w:t>
      </w:r>
    </w:p>
    <w:p>
      <w:pPr>
        <w:pStyle w:val="Heading2"/>
      </w:pPr>
      <w:r>
        <w:t>450. Claim + two later sources: How Sustainable Development Goals interlinkages influence European Union countries’ progress towards the 2030 Agenda</w:t>
      </w:r>
    </w:p>
    <w:p>
      <w:pPr>
        <w:pStyle w:val="SourceNote"/>
      </w:pPr>
      <w:r>
        <w:rPr>
          <w:b/>
        </w:rPr>
        <w:t>Group ID:</w:t>
      </w:r>
      <w:r>
        <w:t xml:space="preserve"> group-701e01f7180865c6e549</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Trade‐Offs in Sustainable Development? The Relationship Between the Sustainable Development Goals and Circular Economy Outcomes in the European Union — https://doi.org/10.1002/sd.71766</w:t>
      </w:r>
    </w:p>
    <w:p>
      <w:pPr/>
      <w:r>
        <w:rPr>
          <w:b/>
        </w:rPr>
        <w:t>Later source:</w:t>
      </w:r>
      <w:r>
        <w:t xml:space="preserve"> Curbing the European Union’s global deforestation footprint through trade — https://doi.org/10.1080/1523908x.2025.2480696</w:t>
      </w:r>
    </w:p>
    <w:p>
      <w:pPr>
        <w:pStyle w:val="SourceNote"/>
      </w:pPr>
      <w:r>
        <w:rPr>
          <w:b/>
        </w:rPr>
        <w:t>Review status:</w:t>
      </w:r>
      <w:r>
        <w:t xml:space="preserve"> unchecked — possible relationship only</w:t>
      </w:r>
    </w:p>
    <w:p>
      <w:pPr>
        <w:pStyle w:val="Heading2"/>
      </w:pPr>
      <w:r>
        <w:t>451. Claim + two later sources: Decoupling transport-related greenhouse gas emissions and economic growth in the European Union countries</w:t>
      </w:r>
    </w:p>
    <w:p>
      <w:pPr>
        <w:pStyle w:val="SourceNote"/>
      </w:pPr>
      <w:r>
        <w:rPr>
          <w:b/>
        </w:rPr>
        <w:t>Group ID:</w:t>
      </w:r>
      <w:r>
        <w:t xml:space="preserve"> group-41bfdb19426101bcdfb8</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A multi-model analysis of hydrogen uptake in a climate-neutral Europe — https://doi.org/10.1038/s41467-026-78681-9</w:t>
      </w:r>
    </w:p>
    <w:p>
      <w:pPr/>
      <w:r>
        <w:rPr>
          <w:b/>
        </w:rPr>
        <w:t>Later source:</w:t>
      </w:r>
      <w:r>
        <w:t xml:space="preserve"> The European Union — https://doi.org/10.1017/9781009293723.009</w:t>
      </w:r>
    </w:p>
    <w:p>
      <w:pPr>
        <w:pStyle w:val="SourceNote"/>
      </w:pPr>
      <w:r>
        <w:rPr>
          <w:b/>
        </w:rPr>
        <w:t>Review status:</w:t>
      </w:r>
      <w:r>
        <w:t xml:space="preserve"> unchecked — possible relationship only</w:t>
      </w:r>
    </w:p>
    <w:p>
      <w:pPr>
        <w:pStyle w:val="Heading2"/>
      </w:pPr>
      <w:r>
        <w:t>452. Claim + two later sources: CROATIAN RURAL FUTURES IN 2030: FOUR ALTERNATIVE SCENARIOS FOR POSTSOCIALIST COUNTRYSIDE IN THE NEWEST E.U. MEMBER STATE</w:t>
      </w:r>
    </w:p>
    <w:p>
      <w:pPr>
        <w:pStyle w:val="SourceNote"/>
      </w:pPr>
      <w:r>
        <w:rPr>
          <w:b/>
        </w:rPr>
        <w:t>Group ID:</w:t>
      </w:r>
      <w:r>
        <w:t xml:space="preserve"> group-f91ad8f879ed17afabc7</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Reliability and Construct Validity of the Short Physical Performance Battery in Croatian Older Adults — https://doi.org/10.3390/geriatrics11020033</w:t>
      </w:r>
    </w:p>
    <w:p>
      <w:pPr/>
      <w:r>
        <w:rPr>
          <w:b/>
        </w:rPr>
        <w:t>Later source:</w:t>
      </w:r>
      <w:r>
        <w:t xml:space="preserve"> Alternative Investment Funds: Regulation in European Union Law and Prospects for Implementation in Ukraine — https://doi.org/10.31359/1993-0909.2026.33.3.386</w:t>
      </w:r>
    </w:p>
    <w:p>
      <w:pPr>
        <w:pStyle w:val="SourceNote"/>
      </w:pPr>
      <w:r>
        <w:rPr>
          <w:b/>
        </w:rPr>
        <w:t>Review status:</w:t>
      </w:r>
      <w:r>
        <w:t xml:space="preserve"> unchecked — possible relationship only</w:t>
      </w:r>
    </w:p>
    <w:p>
      <w:pPr>
        <w:pStyle w:val="Heading2"/>
      </w:pPr>
      <w:r>
        <w:t>453. Claim + two later sources: Modelling street level PM 10 concentrations across Europe: source apportionment and possible futures</w:t>
      </w:r>
    </w:p>
    <w:p>
      <w:pPr>
        <w:pStyle w:val="SourceNote"/>
      </w:pPr>
      <w:r>
        <w:rPr>
          <w:b/>
        </w:rPr>
        <w:t>Group ID:</w:t>
      </w:r>
      <w:r>
        <w:t xml:space="preserve"> group-1b8b5953d2181f4f99bc</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Understanding and predicting the geographic distributions of phlebotomine sand flies in and around Europe — https://doi.org/10.1007/s10584-025-04009-z</w:t>
      </w:r>
    </w:p>
    <w:p>
      <w:pPr>
        <w:pStyle w:val="SourceNote"/>
      </w:pPr>
      <w:r>
        <w:rPr>
          <w:b/>
        </w:rPr>
        <w:t>Review status:</w:t>
      </w:r>
      <w:r>
        <w:t xml:space="preserve"> unchecked — possible relationship only</w:t>
      </w:r>
    </w:p>
    <w:p>
      <w:pPr>
        <w:pStyle w:val="Heading2"/>
      </w:pPr>
      <w:r>
        <w:t>454.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455. Claim + two later sources: Ensemble projections of future streamflow droughts in Europe</w:t>
      </w:r>
    </w:p>
    <w:p>
      <w:pPr>
        <w:pStyle w:val="SourceNote"/>
      </w:pPr>
      <w:r>
        <w:rPr>
          <w:b/>
        </w:rPr>
        <w:t>Group ID:</w:t>
      </w:r>
      <w:r>
        <w:t xml:space="preserve"> group-0bb3329a03b8d946709c</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Ecosystem service trade-offs of upstream afforestation: an integrated hydrological-economic assessment in the Sorraia basin, Portugal — https://doi.org/10.3389/fenvs.2026.1838037</w:t>
      </w:r>
    </w:p>
    <w:p>
      <w:pPr/>
      <w:r>
        <w:rPr>
          <w:b/>
        </w:rPr>
        <w:t>Later source:</w:t>
      </w:r>
      <w:r>
        <w:t xml:space="preserve"> Coupling a power system model with a hydrological model improves the representation of sub-monthly hydropower flexibility — https://doi.org/10.1016/j.apenergy.2025.126694</w:t>
      </w:r>
    </w:p>
    <w:p>
      <w:pPr>
        <w:pStyle w:val="SourceNote"/>
      </w:pPr>
      <w:r>
        <w:rPr>
          <w:b/>
        </w:rPr>
        <w:t>Review status:</w:t>
      </w:r>
      <w:r>
        <w:t xml:space="preserve"> unchecked — possible relationship only</w:t>
      </w:r>
    </w:p>
    <w:p>
      <w:pPr>
        <w:pStyle w:val="Heading2"/>
      </w:pPr>
      <w:r>
        <w:t>456. Claim + two later sources: Brexit deal and demographics drag on long‐term outlook</w:t>
      </w:r>
    </w:p>
    <w:p>
      <w:pPr>
        <w:pStyle w:val="SourceNote"/>
      </w:pPr>
      <w:r>
        <w:rPr>
          <w:b/>
        </w:rPr>
        <w:t>Group ID:</w:t>
      </w:r>
      <w:r>
        <w:t xml:space="preserve"> group-5c68ca39283731572518</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Geopolitical and climate change risks affect FDI inflows: a bayesian panel data analysis — https://doi.org/10.1080/15140326.2026.2691367</w:t>
      </w:r>
    </w:p>
    <w:p>
      <w:pPr/>
      <w:r>
        <w:rPr>
          <w:b/>
        </w:rPr>
        <w:t>Later source:</w:t>
      </w:r>
      <w:r>
        <w:t xml:space="preserve"> Damage — https://doi.org/10.1093/he/9780198949695.003.0035</w:t>
      </w:r>
    </w:p>
    <w:p>
      <w:pPr>
        <w:pStyle w:val="SourceNote"/>
      </w:pPr>
      <w:r>
        <w:rPr>
          <w:b/>
        </w:rPr>
        <w:t>Review status:</w:t>
      </w:r>
      <w:r>
        <w:t xml:space="preserve"> unchecked — possible relationship only</w:t>
      </w:r>
    </w:p>
    <w:p>
      <w:pPr>
        <w:pStyle w:val="Heading2"/>
      </w:pPr>
      <w:r>
        <w:t>457. Claim + two later sources: Analyst earnings forecast revision activity around profit warnings across four European countries</w:t>
      </w:r>
    </w:p>
    <w:p>
      <w:pPr>
        <w:pStyle w:val="SourceNote"/>
      </w:pPr>
      <w:r>
        <w:rPr>
          <w:b/>
        </w:rPr>
        <w:t>Group ID:</w:t>
      </w:r>
      <w:r>
        <w:t xml:space="preserve"> group-cf43ae99c513a0dcf1ca</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The effect of ESG disclosure on firm value in the European context — https://doi.org/10.1108/md-10-2024-2480</w:t>
      </w:r>
    </w:p>
    <w:p>
      <w:pPr/>
      <w:r>
        <w:rPr>
          <w:b/>
        </w:rPr>
        <w:t>Later source:</w:t>
      </w:r>
      <w:r>
        <w:t xml:space="preserve"> Artificial Intelligence (AI): Educational Implications, Limitations and Future of Learning in Higher Education in Oyo State — https://doi.org/10.52589/bjeldp-vjwdllek</w:t>
      </w:r>
    </w:p>
    <w:p>
      <w:pPr>
        <w:pStyle w:val="SourceNote"/>
      </w:pPr>
      <w:r>
        <w:rPr>
          <w:b/>
        </w:rPr>
        <w:t>Review status:</w:t>
      </w:r>
      <w:r>
        <w:t xml:space="preserve"> unchecked — possible relationship only</w:t>
      </w:r>
    </w:p>
    <w:p>
      <w:pPr>
        <w:pStyle w:val="Heading2"/>
      </w:pPr>
      <w:r>
        <w:t>458. Claim + two later sources: A multi-model, multi-scenario, and multi-domain analysis of regional climate projections for the Mediterranean</w:t>
      </w:r>
    </w:p>
    <w:p>
      <w:pPr>
        <w:pStyle w:val="SourceNote"/>
      </w:pPr>
      <w:r>
        <w:rPr>
          <w:b/>
        </w:rPr>
        <w:t>Group ID:</w:t>
      </w:r>
      <w:r>
        <w:t xml:space="preserve"> group-2eafb43bfa5f2f46961d</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Designing integrated and resilient multi-energy systems via multi-objective optimization and scenario analysis — https://doi.org/10.1016/j.apenergy.2025.125281</w:t>
      </w:r>
    </w:p>
    <w:p>
      <w:pPr/>
      <w:r>
        <w:rPr>
          <w:b/>
        </w:rPr>
        <w:t>Later source:</w:t>
      </w:r>
      <w:r>
        <w:t xml:space="preserve"> Designing integrated and resilient multi-energy systems via multi-objective optimization and scenario analysis — https://doi.org/10.5194/egusphere-egu24-3162</w:t>
      </w:r>
    </w:p>
    <w:p>
      <w:pPr>
        <w:pStyle w:val="SourceNote"/>
      </w:pPr>
      <w:r>
        <w:rPr>
          <w:b/>
        </w:rPr>
        <w:t>Review status:</w:t>
      </w:r>
      <w:r>
        <w:t xml:space="preserve"> unchecked — possible relationship only</w:t>
      </w:r>
    </w:p>
    <w:p>
      <w:pPr>
        <w:pStyle w:val="Heading2"/>
      </w:pPr>
      <w:r>
        <w:t>459. Claim + two later sources: A comparison of low carbon investment needs between China and Europe in stringent climate policy scenarios</w:t>
      </w:r>
    </w:p>
    <w:p>
      <w:pPr>
        <w:pStyle w:val="SourceNote"/>
      </w:pPr>
      <w:r>
        <w:rPr>
          <w:b/>
        </w:rPr>
        <w:t>Group ID:</w:t>
      </w:r>
      <w:r>
        <w:t xml:space="preserve"> group-af4cbd401840651ecea0</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Can the European nuclear power industry compete with the Chinese nuclear power industry? — https://doi.org/10.24294/jipd.v8i11.8715</w:t>
      </w:r>
    </w:p>
    <w:p>
      <w:pPr>
        <w:pStyle w:val="SourceNote"/>
      </w:pPr>
      <w:r>
        <w:rPr>
          <w:b/>
        </w:rPr>
        <w:t>Review status:</w:t>
      </w:r>
      <w:r>
        <w:t xml:space="preserve"> unchecked — possible relationship only</w:t>
      </w:r>
    </w:p>
    <w:p>
      <w:pPr>
        <w:pStyle w:val="Heading2"/>
      </w:pPr>
      <w:r>
        <w:t>460. Claim + two later sources: Will we reach the Sustainable Development Goals target for tuberculosis in the European Union/European Economic Area by 2030?</w:t>
      </w:r>
    </w:p>
    <w:p>
      <w:pPr>
        <w:pStyle w:val="SourceNote"/>
      </w:pPr>
      <w:r>
        <w:rPr>
          <w:b/>
        </w:rPr>
        <w:t>Group ID:</w:t>
      </w:r>
      <w:r>
        <w:t xml:space="preserve"> group-6e573a75b5c7d2718ea5</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Predicted decline in common bird and butterfly species even under conservation policy scenarios in Europe — https://doi.org/10.1038/s41559-026-03139-6</w:t>
      </w:r>
    </w:p>
    <w:p>
      <w:pPr/>
      <w:r>
        <w:rPr>
          <w:b/>
        </w:rPr>
        <w:t>Later source:</w:t>
      </w:r>
      <w:r>
        <w:t xml:space="preserve"> Growth decline in European beech associated with temperature-driven increase in reproductive allocation — https://doi.org/10.1073/pnas.2423181122</w:t>
      </w:r>
    </w:p>
    <w:p>
      <w:pPr>
        <w:pStyle w:val="SourceNote"/>
      </w:pPr>
      <w:r>
        <w:rPr>
          <w:b/>
        </w:rPr>
        <w:t>Review status:</w:t>
      </w:r>
      <w:r>
        <w:t xml:space="preserve"> unchecked — possible relationship only</w:t>
      </w:r>
    </w:p>
    <w:p>
      <w:pPr>
        <w:pStyle w:val="Heading2"/>
      </w:pPr>
      <w:r>
        <w:t>461. Claim + two later sources: Wood utilization scenarios and their sustainability impacts in Finland</w:t>
      </w:r>
    </w:p>
    <w:p>
      <w:pPr>
        <w:pStyle w:val="SourceNote"/>
      </w:pPr>
      <w:r>
        <w:rPr>
          <w:b/>
        </w:rPr>
        <w:t>Group ID:</w:t>
      </w:r>
      <w:r>
        <w:t xml:space="preserve"> group-e825d7d0c80972d38b16</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European green bonds, carbon tax and crowding-out: The economic, social and environmental impacts of the EU's green investments under different financing scenarios — https://doi.org/10.1016/j.rser.2025.115330</w:t>
      </w:r>
    </w:p>
    <w:p>
      <w:pPr/>
      <w:r>
        <w:rPr>
          <w:b/>
        </w:rPr>
        <w:t>Later source:</w:t>
      </w:r>
      <w:r>
        <w:t xml:space="preserve"> Promoting the European Sustainable Firm: How Economic, Social, and Green Innovation and the AI‐Based Technologies Create Pathways of Social and Environmental Sustainability — https://doi.org/10.1002/bse.70068</w:t>
      </w:r>
    </w:p>
    <w:p>
      <w:pPr>
        <w:pStyle w:val="SourceNote"/>
      </w:pPr>
      <w:r>
        <w:rPr>
          <w:b/>
        </w:rPr>
        <w:t>Review status:</w:t>
      </w:r>
      <w:r>
        <w:t xml:space="preserve"> unchecked — possible relationship only</w:t>
      </w:r>
    </w:p>
    <w:p>
      <w:pPr>
        <w:pStyle w:val="Heading2"/>
      </w:pPr>
      <w:r>
        <w:t>462. Claim + two later sources: South East Europe electricity roadmap – modelling energy transition in the electricity sectors</w:t>
      </w:r>
    </w:p>
    <w:p>
      <w:pPr>
        <w:pStyle w:val="SourceNote"/>
      </w:pPr>
      <w:r>
        <w:rPr>
          <w:b/>
        </w:rPr>
        <w:t>Group ID:</w:t>
      </w:r>
      <w:r>
        <w:t xml:space="preserve"> group-80cd25d55c96c43fb569</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Unveiling the environmental impact of earthquakes in Europe — https://doi.org/10.1038/s41467-025-68120-6</w:t>
      </w:r>
    </w:p>
    <w:p>
      <w:pPr/>
      <w:r>
        <w:rPr>
          <w:b/>
        </w:rPr>
        <w:t>Later source:</w:t>
      </w:r>
      <w:r>
        <w:t xml:space="preserve"> Challenges in the micropropagation of economically important fruit species in Europe — https://doi.org/10.1007/s11240-025-03165-5</w:t>
      </w:r>
    </w:p>
    <w:p>
      <w:pPr>
        <w:pStyle w:val="SourceNote"/>
      </w:pPr>
      <w:r>
        <w:rPr>
          <w:b/>
        </w:rPr>
        <w:t>Review status:</w:t>
      </w:r>
      <w:r>
        <w:t xml:space="preserve"> unchecked — possible relationship only</w:t>
      </w:r>
    </w:p>
    <w:p>
      <w:pPr>
        <w:pStyle w:val="Heading2"/>
      </w:pPr>
      <w:r>
        <w:t>463. Claim + two later sources: European Scenario Studies on Future In-Stream Nutrient Concentrations</w:t>
      </w:r>
    </w:p>
    <w:p>
      <w:pPr>
        <w:pStyle w:val="SourceNote"/>
      </w:pPr>
      <w:r>
        <w:rPr>
          <w:b/>
        </w:rPr>
        <w:t>Group ID:</w:t>
      </w:r>
      <w:r>
        <w:t xml:space="preserve"> group-551c1a8ad862c974dccc</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Industrial pollutant releases to water in Europe (2010-2024) — https://doi.org/10.2909/898d92dd-b70d-42c1-956f-8e90f78c7952</w:t>
      </w:r>
    </w:p>
    <w:p>
      <w:pPr/>
      <w:r>
        <w:rPr>
          <w:b/>
        </w:rPr>
        <w:t>Later source:</w:t>
      </w:r>
      <w:r>
        <w:t xml:space="preserve"> Industrial pollutant releases to water in Europe (2010-2024) — https://doi.org/10.2909/9f8d7f6c-5c6b-42ee-a684-2d208c088f4a</w:t>
      </w:r>
    </w:p>
    <w:p>
      <w:pPr>
        <w:pStyle w:val="SourceNote"/>
      </w:pPr>
      <w:r>
        <w:rPr>
          <w:b/>
        </w:rPr>
        <w:t>Review status:</w:t>
      </w:r>
      <w:r>
        <w:t xml:space="preserve"> unchecked — possible relationship only</w:t>
      </w:r>
    </w:p>
    <w:p>
      <w:pPr>
        <w:pStyle w:val="Heading2"/>
      </w:pPr>
      <w:r>
        <w:t>464. Claim + two later sources: Imagining the future with citizens: participatory foresight and democratic policy design in Marcoussis, France</w:t>
      </w:r>
    </w:p>
    <w:p>
      <w:pPr>
        <w:pStyle w:val="SourceNote"/>
      </w:pPr>
      <w:r>
        <w:rPr>
          <w:b/>
        </w:rPr>
        <w:t>Group ID:</w:t>
      </w:r>
      <w:r>
        <w:t xml:space="preserve"> group-40952fdfa0c2b752eeb0</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Droughts in South East Europe (SEE): current picture, tendencies and impact — https://doi.org/10.5194/nhess-26-1305-2026</w:t>
      </w:r>
    </w:p>
    <w:p>
      <w:pPr/>
      <w:r>
        <w:rPr>
          <w:b/>
        </w:rPr>
        <w:t>Later source:</w:t>
      </w:r>
      <w:r>
        <w:t xml:space="preserve"> The current state, opportunities and challenges for upscaling private investment in biodiversity in Europe — https://doi.org/10.1038/s41559-024-02632-0</w:t>
      </w:r>
    </w:p>
    <w:p>
      <w:pPr>
        <w:pStyle w:val="SourceNote"/>
      </w:pPr>
      <w:r>
        <w:rPr>
          <w:b/>
        </w:rPr>
        <w:t>Review status:</w:t>
      </w:r>
      <w:r>
        <w:t xml:space="preserve"> unchecked — possible relationship only</w:t>
      </w:r>
    </w:p>
    <w:p>
      <w:pPr>
        <w:pStyle w:val="Heading2"/>
      </w:pPr>
      <w:r>
        <w:t>465. Claim + two later sources: Brexit adds to gloom over long‐term growth prospects</w:t>
      </w:r>
    </w:p>
    <w:p>
      <w:pPr>
        <w:pStyle w:val="SourceNote"/>
      </w:pPr>
      <w:r>
        <w:rPr>
          <w:b/>
        </w:rPr>
        <w:t>Group ID:</w:t>
      </w:r>
      <w:r>
        <w:t xml:space="preserve"> group-d3b14fb5b58171eb007d</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Accurate medium-range global weather forecasting with 3D neural networks — https://doi.org/10.1038/s41586-023-06185-3</w:t>
      </w:r>
    </w:p>
    <w:p>
      <w:pPr/>
      <w:r>
        <w:rPr>
          <w:b/>
        </w:rPr>
        <w:t>Later source:</w:t>
      </w:r>
      <w:r>
        <w:t xml:space="preserve"> Global seasonal forecasts of marine heatwaves — https://doi.org/10.1038/s41586-022-04573-9</w:t>
      </w:r>
    </w:p>
    <w:p>
      <w:pPr>
        <w:pStyle w:val="SourceNote"/>
      </w:pPr>
      <w:r>
        <w:rPr>
          <w:b/>
        </w:rPr>
        <w:t>Review status:</w:t>
      </w:r>
      <w:r>
        <w:t xml:space="preserve"> unchecked — possible relationship only</w:t>
      </w:r>
    </w:p>
    <w:p>
      <w:pPr>
        <w:pStyle w:val="Heading2"/>
      </w:pPr>
      <w:r>
        <w:t>466. Claim + two later sources: The European forest sector: past and future carbon budget and fluxes under different management scenarios</w:t>
      </w:r>
    </w:p>
    <w:p>
      <w:pPr>
        <w:pStyle w:val="SourceNote"/>
      </w:pPr>
      <w:r>
        <w:rPr>
          <w:b/>
        </w:rPr>
        <w:t>Group ID:</w:t>
      </w:r>
      <w:r>
        <w:t xml:space="preserve"> group-73cadad0e76a3a1cd835</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Short Term Impacts of Harvesting 0perations on Soil Chemical Properties in a Mediterranean Oak Ecosystem — https://doi.org/10.5552/crojfe.2021.1100</w:t>
      </w:r>
    </w:p>
    <w:p>
      <w:pPr/>
      <w:r>
        <w:rPr>
          <w:b/>
        </w:rPr>
        <w:t>Later source:</w:t>
      </w:r>
      <w:r>
        <w:t xml:space="preserve"> Does harvest of the European grayling, Thymallus thymallus (Actinopterygii: Salmoniformes: Salmonidae), change over time with different intensity of fish stocking and fishing effort? — https://doi.org/10.3750/aiep/02643</w:t>
      </w:r>
    </w:p>
    <w:p>
      <w:pPr>
        <w:pStyle w:val="SourceNote"/>
      </w:pPr>
      <w:r>
        <w:rPr>
          <w:b/>
        </w:rPr>
        <w:t>Review status:</w:t>
      </w:r>
      <w:r>
        <w:t xml:space="preserve"> unchecked — possible relationship only</w:t>
      </w:r>
    </w:p>
    <w:p>
      <w:pPr>
        <w:pStyle w:val="Heading2"/>
      </w:pPr>
      <w:r>
        <w:t>467. Claim + two later sources: Foresight in Higher Education Institutions: Evidence from Poland</w:t>
      </w:r>
    </w:p>
    <w:p>
      <w:pPr>
        <w:pStyle w:val="SourceNote"/>
      </w:pPr>
      <w:r>
        <w:rPr>
          <w:b/>
        </w:rPr>
        <w:t>Group ID:</w:t>
      </w:r>
      <w:r>
        <w:t xml:space="preserve"> group-2c426b266a69793a1593</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3 Europe as the Crisis of Play — https://doi.org/10.1515/9781438499819-004</w:t>
      </w:r>
    </w:p>
    <w:p>
      <w:pPr/>
      <w:r>
        <w:rPr>
          <w:b/>
        </w:rPr>
        <w:t>Later source:</w:t>
      </w:r>
      <w:r>
        <w:t xml:space="preserve"> Animal Welfare Protocols and Labelling Schemes for Broilers in Europe — https://doi.org/10.3390/poultry4030029</w:t>
      </w:r>
    </w:p>
    <w:p>
      <w:pPr>
        <w:pStyle w:val="SourceNote"/>
      </w:pPr>
      <w:r>
        <w:rPr>
          <w:b/>
        </w:rPr>
        <w:t>Review status:</w:t>
      </w:r>
      <w:r>
        <w:t xml:space="preserve"> unchecked — possible relationship only</w:t>
      </w:r>
    </w:p>
    <w:p>
      <w:pPr>
        <w:pStyle w:val="Heading2"/>
      </w:pPr>
      <w:r>
        <w:t>468. Claim + two later sources: The Future of Rural Poland: the Main Trends and Possible Scenarios.</w:t>
      </w:r>
    </w:p>
    <w:p>
      <w:pPr>
        <w:pStyle w:val="SourceNote"/>
      </w:pPr>
      <w:r>
        <w:rPr>
          <w:b/>
        </w:rPr>
        <w:t>Group ID:</w:t>
      </w:r>
      <w:r>
        <w:t xml:space="preserve"> group-6c90a98777dc06b4f56d</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Abstracts of the 19th European Congress of Psychology — https://doi.org/10.1024/2673-8627/a000085</w:t>
      </w:r>
    </w:p>
    <w:p>
      <w:pPr/>
      <w:r>
        <w:rPr>
          <w:b/>
        </w:rPr>
        <w:t>Later source:</w:t>
      </w:r>
      <w:r>
        <w:t xml:space="preserve"> A DIGITAL MATURITY OF INSTITUTIONS IN POLAND – AN ATTEMPT AT IDENTIFICATION — https://doi.org/10.29119/1641-3466.2025.228.13</w:t>
      </w:r>
    </w:p>
    <w:p>
      <w:pPr>
        <w:pStyle w:val="SourceNote"/>
      </w:pPr>
      <w:r>
        <w:rPr>
          <w:b/>
        </w:rPr>
        <w:t>Review status:</w:t>
      </w:r>
      <w:r>
        <w:t xml:space="preserve"> unchecked — possible relationship only</w:t>
      </w:r>
    </w:p>
    <w:p>
      <w:pPr>
        <w:pStyle w:val="Heading2"/>
      </w:pPr>
      <w:r>
        <w:t>469. Claim + two later sources: Future Projections of Heat Mortality Risk for Major European Cities</w:t>
      </w:r>
    </w:p>
    <w:p>
      <w:pPr>
        <w:pStyle w:val="SourceNote"/>
      </w:pPr>
      <w:r>
        <w:rPr>
          <w:b/>
        </w:rPr>
        <w:t>Group ID:</w:t>
      </w:r>
      <w:r>
        <w:t xml:space="preserve"> group-ba9b6a98dcd8224b1be8</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Electric Vehicle Fleet Penetration and Air Pollution Mortality in Europe — https://doi.org/10.32388/vkflrm</w:t>
      </w:r>
    </w:p>
    <w:p>
      <w:pPr/>
      <w:r>
        <w:rPr>
          <w:b/>
        </w:rPr>
        <w:t>Later source:</w:t>
      </w:r>
      <w:r>
        <w:t xml:space="preserve"> The impact of heat and cold on mortality and life expectancy in Europe, 2015–2024 — https://doi.org/10.1016/j.ehb.2026.101607</w:t>
      </w:r>
    </w:p>
    <w:p>
      <w:pPr>
        <w:pStyle w:val="SourceNote"/>
      </w:pPr>
      <w:r>
        <w:rPr>
          <w:b/>
        </w:rPr>
        <w:t>Review status:</w:t>
      </w:r>
      <w:r>
        <w:t xml:space="preserve"> unchecked — possible relationship only</w:t>
      </w:r>
    </w:p>
    <w:p>
      <w:pPr>
        <w:pStyle w:val="Heading2"/>
      </w:pPr>
      <w:r>
        <w:t>470. Claim + two later sources: Pathways to Deep Decarbonization in Italy</w:t>
      </w:r>
    </w:p>
    <w:p>
      <w:pPr>
        <w:pStyle w:val="SourceNote"/>
      </w:pPr>
      <w:r>
        <w:rPr>
          <w:b/>
        </w:rPr>
        <w:t>Group ID:</w:t>
      </w:r>
      <w:r>
        <w:t xml:space="preserve"> group-6a84fc8116f82a33013e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Cellular agriculture in the media: newspaper coverage in Australia, Brazil, Germany, and India — https://doi.org/10.5194/gh-81-255-2026</w:t>
      </w:r>
    </w:p>
    <w:p>
      <w:pPr/>
      <w:r>
        <w:rPr>
          <w:b/>
        </w:rPr>
        <w:t>Later source:</w:t>
      </w:r>
      <w:r>
        <w:t xml:space="preserve"> BOOK REVIEW: OPEN AND DISTANCE EDUCATION IN AUSTRALIA, EUROPE AND THE AMERICAS: NATIONAL PERSPECTIVES IN A DIGITAL AGE — https://openalex.org/W7167292450</w:t>
      </w:r>
    </w:p>
    <w:p>
      <w:pPr>
        <w:pStyle w:val="SourceNote"/>
      </w:pPr>
      <w:r>
        <w:rPr>
          <w:b/>
        </w:rPr>
        <w:t>Review status:</w:t>
      </w:r>
      <w:r>
        <w:t xml:space="preserve"> unchecked — possible relationship only</w:t>
      </w:r>
    </w:p>
    <w:p>
      <w:pPr>
        <w:pStyle w:val="Heading2"/>
      </w:pPr>
      <w:r>
        <w:t>471. Claim + two later sources: COVID-19 and European maritime futures: different pathways to deal with the pandemic</w:t>
      </w:r>
    </w:p>
    <w:p>
      <w:pPr>
        <w:pStyle w:val="SourceNote"/>
      </w:pPr>
      <w:r>
        <w:rPr>
          <w:b/>
        </w:rPr>
        <w:t>Group ID:</w:t>
      </w:r>
      <w:r>
        <w:t xml:space="preserve"> group-e823fe09fbf972cd2350</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Governing Critical Maritime Infrastructure in the European Union; Path-Dependent Transformation and Institutional Change — https://doi.org/10.1007/s41125-026-00113-y</w:t>
      </w:r>
    </w:p>
    <w:p>
      <w:pPr/>
      <w:r>
        <w:rPr>
          <w:b/>
        </w:rPr>
        <w:t>Later source:</w:t>
      </w:r>
      <w:r>
        <w:t xml:space="preserve"> FACTORS CONSTRAINING OPERATIONAL EFFICIENCY IN MARITIME TRANSPORTATION: A COMPARATIVE ANALYSIS OF QUANTITATIVE DECISION SUPPORT MODELS AND FIELD REALITIES — https://doi.org/10.17753/sosekev.1889137</w:t>
      </w:r>
    </w:p>
    <w:p>
      <w:pPr>
        <w:pStyle w:val="SourceNote"/>
      </w:pPr>
      <w:r>
        <w:rPr>
          <w:b/>
        </w:rPr>
        <w:t>Review status:</w:t>
      </w:r>
      <w:r>
        <w:t xml:space="preserve"> unchecked — possible relationship only</w:t>
      </w:r>
    </w:p>
    <w:p>
      <w:pPr>
        <w:pStyle w:val="Heading2"/>
      </w:pPr>
      <w:r>
        <w:t>472. Claim + two later sources: The Impact of Decarbonization Scenarios on Air Quality and Human Health in Poland—Analysis of Scenarios up to 2050</w:t>
      </w:r>
    </w:p>
    <w:p>
      <w:pPr>
        <w:pStyle w:val="SourceNote"/>
      </w:pPr>
      <w:r>
        <w:rPr>
          <w:b/>
        </w:rPr>
        <w:t>Group ID:</w:t>
      </w:r>
      <w:r>
        <w:t xml:space="preserve"> group-f0de2d50e80eda1f2592</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Emission Scenarios for Europe under the CATALYSE Project: Beyond the Green Deal — https://openalex.org/W7125621332</w:t>
      </w:r>
    </w:p>
    <w:p>
      <w:pPr/>
      <w:r>
        <w:rPr>
          <w:b/>
        </w:rPr>
        <w:t>Later source:</w:t>
      </w:r>
      <w:r>
        <w:t xml:space="preserve"> Laboratory Experiments on Savannah and European Boreal Forest Fire Emissions — https://doi.org/10.1029/2025jd044543</w:t>
      </w:r>
    </w:p>
    <w:p>
      <w:pPr>
        <w:pStyle w:val="SourceNote"/>
      </w:pPr>
      <w:r>
        <w:rPr>
          <w:b/>
        </w:rPr>
        <w:t>Review status:</w:t>
      </w:r>
      <w:r>
        <w:t xml:space="preserve"> unchecked — possible relationship only</w:t>
      </w:r>
    </w:p>
    <w:p>
      <w:pPr>
        <w:pStyle w:val="Heading2"/>
      </w:pPr>
      <w:r>
        <w:t>473. Claim + two later sources: Regional growth and disparities in a post‐COVID Europe: A new normality scenario</w:t>
      </w:r>
    </w:p>
    <w:p>
      <w:pPr>
        <w:pStyle w:val="SourceNote"/>
      </w:pPr>
      <w:r>
        <w:rPr>
          <w:b/>
        </w:rPr>
        <w:t>Group ID:</w:t>
      </w:r>
      <w:r>
        <w:t xml:space="preserve"> group-a6b0ee31a52f2b56e867</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Filling the Gap to Address Vaccine Hesitancy in Europe — https://doi.org/10.3389/phrs.2025.1608208</w:t>
      </w:r>
    </w:p>
    <w:p>
      <w:pPr/>
      <w:r>
        <w:rPr>
          <w:b/>
        </w:rPr>
        <w:t>Later source:</w:t>
      </w:r>
      <w:r>
        <w:t xml:space="preserve"> Challenges in the micropropagation of economically important fruit species in Europe — https://doi.org/10.1007/s11240-025-03165-5</w:t>
      </w:r>
    </w:p>
    <w:p>
      <w:pPr>
        <w:pStyle w:val="SourceNote"/>
      </w:pPr>
      <w:r>
        <w:rPr>
          <w:b/>
        </w:rPr>
        <w:t>Review status:</w:t>
      </w:r>
      <w:r>
        <w:t xml:space="preserve"> unchecked — possible relationship only</w:t>
      </w:r>
    </w:p>
    <w:p>
      <w:pPr>
        <w:pStyle w:val="Heading2"/>
      </w:pPr>
      <w:r>
        <w:t>474. Claim + two later sources: Developing scenarios for the Norwegian travel industry 2025</w:t>
      </w:r>
    </w:p>
    <w:p>
      <w:pPr>
        <w:pStyle w:val="SourceNote"/>
      </w:pPr>
      <w:r>
        <w:rPr>
          <w:b/>
        </w:rPr>
        <w:t>Group ID:</w:t>
      </w:r>
      <w:r>
        <w:t xml:space="preserve"> group-771ec15b0d1fa227ce7e</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Traditional Understanding of Lawmaking by Appellate Courts — https://doi.org/10.1017/9781009589307.003</w:t>
      </w:r>
    </w:p>
    <w:p>
      <w:pPr/>
      <w:r>
        <w:rPr>
          <w:b/>
        </w:rPr>
        <w:t>Later source:</w:t>
      </w:r>
      <w:r>
        <w:t xml:space="preserve"> Education–work transition: skill gaps in the construction industry — https://doi.org/10.3389/fbuil.2025.1623609</w:t>
      </w:r>
    </w:p>
    <w:p>
      <w:pPr>
        <w:pStyle w:val="SourceNote"/>
      </w:pPr>
      <w:r>
        <w:rPr>
          <w:b/>
        </w:rPr>
        <w:t>Review status:</w:t>
      </w:r>
      <w:r>
        <w:t xml:space="preserve"> unchecked — possible relationship only</w:t>
      </w:r>
    </w:p>
    <w:p>
      <w:pPr>
        <w:pStyle w:val="Heading2"/>
      </w:pPr>
      <w:r>
        <w:t>475. Claim + two later sources: Investigating scenario planning – a European tourism perspective</w:t>
      </w:r>
    </w:p>
    <w:p>
      <w:pPr>
        <w:pStyle w:val="SourceNote"/>
      </w:pPr>
      <w:r>
        <w:rPr>
          <w:b/>
        </w:rPr>
        <w:t>Group ID:</w:t>
      </w:r>
      <w:r>
        <w:t xml:space="preserve"> group-05f0c48bd974307ef165</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European Wild Bees: moving from assessment to conservation planning — https://doi.org/10.2779/5662020kh-01-25-230</w:t>
      </w:r>
    </w:p>
    <w:p>
      <w:pPr/>
      <w:r>
        <w:rPr>
          <w:b/>
        </w:rPr>
        <w:t>Later source:</w:t>
      </w:r>
      <w:r>
        <w:t xml:space="preserve"> An assessment of the state of conservation planning in Europe — https://doi.org/10.1098/rstb.2023.0015</w:t>
      </w:r>
    </w:p>
    <w:p>
      <w:pPr>
        <w:pStyle w:val="SourceNote"/>
      </w:pPr>
      <w:r>
        <w:rPr>
          <w:b/>
        </w:rPr>
        <w:t>Review status:</w:t>
      </w:r>
      <w:r>
        <w:t xml:space="preserve"> unchecked — possible relationship only</w:t>
      </w:r>
    </w:p>
    <w:p>
      <w:pPr>
        <w:pStyle w:val="Heading2"/>
      </w:pPr>
      <w:r>
        <w:t>476. Claim + two later sources: Integrating field data into individual-based models of the migration of European eel larvae</w:t>
      </w:r>
    </w:p>
    <w:p>
      <w:pPr>
        <w:pStyle w:val="SourceNote"/>
      </w:pPr>
      <w:r>
        <w:rPr>
          <w:b/>
        </w:rPr>
        <w:t>Group ID:</w:t>
      </w:r>
      <w:r>
        <w:t xml:space="preserve"> group-422b14dc5317bb803468</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Impact of the model representation of PBL and convection on the PM concentrations over Europe — https://doi.org/10.5194/egusphere-egu21-2417</w:t>
      </w:r>
    </w:p>
    <w:p>
      <w:pPr/>
      <w:r>
        <w:rPr>
          <w:b/>
        </w:rPr>
        <w:t>Later source:</w:t>
      </w:r>
      <w:r>
        <w:t xml:space="preserve"> A climate-sensitive forest model for assessing impacts of forest management in Europe — https://doi.org/10.1016/j.envsoft.2019.02.009</w:t>
      </w:r>
    </w:p>
    <w:p>
      <w:pPr>
        <w:pStyle w:val="SourceNote"/>
      </w:pPr>
      <w:r>
        <w:rPr>
          <w:b/>
        </w:rPr>
        <w:t>Review status:</w:t>
      </w:r>
      <w:r>
        <w:t xml:space="preserve"> unchecked — possible relationship only</w:t>
      </w:r>
    </w:p>
    <w:p>
      <w:pPr>
        <w:pStyle w:val="Heading2"/>
      </w:pPr>
      <w:r>
        <w:t>477. Claim + two later sources: Wild cards in transport</w:t>
      </w:r>
    </w:p>
    <w:p>
      <w:pPr>
        <w:pStyle w:val="SourceNote"/>
      </w:pPr>
      <w:r>
        <w:rPr>
          <w:b/>
        </w:rPr>
        <w:t>Group ID:</w:t>
      </w:r>
      <w:r>
        <w:t xml:space="preserve"> group-e52c676f62e802afe755</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Virome landscape of wild rodents and shrews in Central China — https://doi.org/10.1186/s40168-025-02059-0</w:t>
      </w:r>
    </w:p>
    <w:p>
      <w:pPr>
        <w:pStyle w:val="SourceNote"/>
      </w:pPr>
      <w:r>
        <w:rPr>
          <w:b/>
        </w:rPr>
        <w:t>Review status:</w:t>
      </w:r>
      <w:r>
        <w:t xml:space="preserve"> unchecked — possible relationship only</w:t>
      </w:r>
    </w:p>
    <w:p>
      <w:pPr>
        <w:pStyle w:val="Heading2"/>
      </w:pPr>
      <w:r>
        <w:t>478. Claim + two later sources: Perspective of comprehensive and comprehensible multi-model energy and climate science in Europe</w:t>
      </w:r>
    </w:p>
    <w:p>
      <w:pPr>
        <w:pStyle w:val="SourceNote"/>
      </w:pPr>
      <w:r>
        <w:rPr>
          <w:b/>
        </w:rPr>
        <w:t>Group ID:</w:t>
      </w:r>
      <w:r>
        <w:t xml:space="preserve"> group-0f2dd5c624db2300e84f</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Europe and the Geopolitics of AGI: The Need for a Preparedness Plan — https://doi.org/10.48550/arxiv.2605.13634</w:t>
      </w:r>
    </w:p>
    <w:p>
      <w:pPr/>
      <w:r>
        <w:rPr>
          <w:b/>
        </w:rPr>
        <w:t>Later source:</w:t>
      </w:r>
      <w:r>
        <w:t xml:space="preserve"> Emerging risk of Xylella fastidiosa in Europe under global change — https://doi.org/10.1007/s10530-026-03869-5</w:t>
      </w:r>
    </w:p>
    <w:p>
      <w:pPr>
        <w:pStyle w:val="SourceNote"/>
      </w:pPr>
      <w:r>
        <w:rPr>
          <w:b/>
        </w:rPr>
        <w:t>Review status:</w:t>
      </w:r>
      <w:r>
        <w:t xml:space="preserve"> unchecked — possible relationship only</w:t>
      </w:r>
    </w:p>
    <w:p>
      <w:pPr>
        <w:pStyle w:val="Heading2"/>
      </w:pPr>
      <w:r>
        <w:t>479. Claim + two later sources: Realising transition pathways for a more electric, low-carbon energy system in the United Kingdom: Challenges, insights and opportunities</w:t>
      </w:r>
    </w:p>
    <w:p>
      <w:pPr>
        <w:pStyle w:val="SourceNote"/>
      </w:pPr>
      <w:r>
        <w:rPr>
          <w:b/>
        </w:rPr>
        <w:t>Group ID:</w:t>
      </w:r>
      <w:r>
        <w:t xml:space="preserve"> group-46559baccc5d4346d710</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Open-Source AI and Market Competition: Why the United Kingdom Is Well Placed to Promote Openness as Competition Policy — https://doi.org/10.2139/ssrn.7431620</w:t>
      </w:r>
    </w:p>
    <w:p>
      <w:pPr/>
      <w:r>
        <w:rPr>
          <w:b/>
        </w:rPr>
        <w:t>Later source:</w:t>
      </w:r>
      <w:r>
        <w:t xml:space="preserve"> United Kingdom — https://doi.org/10.1093/9780197758847.003.0031</w:t>
      </w:r>
    </w:p>
    <w:p>
      <w:pPr>
        <w:pStyle w:val="SourceNote"/>
      </w:pPr>
      <w:r>
        <w:rPr>
          <w:b/>
        </w:rPr>
        <w:t>Review status:</w:t>
      </w:r>
      <w:r>
        <w:t xml:space="preserve"> unchecked — possible relationship only</w:t>
      </w:r>
    </w:p>
    <w:p>
      <w:pPr>
        <w:pStyle w:val="Heading2"/>
      </w:pPr>
      <w:r>
        <w:t>480. Claim + two later sources: By 2050 the Mitigation Effects of EU Forests Could Nearly Double through Climate Smart Forestry</w:t>
      </w:r>
    </w:p>
    <w:p>
      <w:pPr>
        <w:pStyle w:val="SourceNote"/>
      </w:pPr>
      <w:r>
        <w:rPr>
          <w:b/>
        </w:rPr>
        <w:t>Group ID:</w:t>
      </w:r>
      <w:r>
        <w:t xml:space="preserve"> group-1485a39ff89749745b4a</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The Right to Abortion – Between the Need for Protection at the European Level and Respect for the Constitutional Traditions of the Member States — https://doi.org/10.54148/eltelj.2025.2.9</w:t>
      </w:r>
    </w:p>
    <w:p>
      <w:pPr/>
      <w:r>
        <w:rPr>
          <w:b/>
        </w:rPr>
        <w:t>Later source:</w:t>
      </w:r>
      <w:r>
        <w:t xml:space="preserve"> Harmonisation of Corporate Income Tax Incentives in SADC: Addressing the Challenges Posed by the Sovereign Right of SADC Member States to Set Their Own Economic and Tax Policies — https://doi.org/10.25159/2522-3062/15912</w:t>
      </w:r>
    </w:p>
    <w:p>
      <w:pPr>
        <w:pStyle w:val="SourceNote"/>
      </w:pPr>
      <w:r>
        <w:rPr>
          <w:b/>
        </w:rPr>
        <w:t>Review status:</w:t>
      </w:r>
      <w:r>
        <w:t xml:space="preserve"> unchecked — possible relationship only</w:t>
      </w:r>
    </w:p>
    <w:p>
      <w:pPr>
        <w:pStyle w:val="Heading2"/>
      </w:pPr>
      <w:r>
        <w:t>481.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482. Claim + two later sources: Towards the 2030 Agenda: Measuring the Progress of the European Union Countries through the SDGs Achievement Index</w:t>
      </w:r>
    </w:p>
    <w:p>
      <w:pPr>
        <w:pStyle w:val="SourceNote"/>
      </w:pPr>
      <w:r>
        <w:rPr>
          <w:b/>
        </w:rPr>
        <w:t>Group ID:</w:t>
      </w:r>
      <w:r>
        <w:t xml:space="preserve"> group-5a6d628cf33369cf0b20</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Quantifying the Performance of European Agriculture Through the New European Sustainability Model — https://doi.org/10.3390/agriculture15020210</w:t>
      </w:r>
    </w:p>
    <w:p>
      <w:pPr/>
      <w:r>
        <w:rPr>
          <w:b/>
        </w:rPr>
        <w:t>Later source:</w:t>
      </w:r>
      <w:r>
        <w:t xml:space="preserve"> Construction Cost Index: Political, Economic, and Financial Risk Indices Within the European Continent — https://doi.org/10.3390/su17030917</w:t>
      </w:r>
    </w:p>
    <w:p>
      <w:pPr>
        <w:pStyle w:val="SourceNote"/>
      </w:pPr>
      <w:r>
        <w:rPr>
          <w:b/>
        </w:rPr>
        <w:t>Review status:</w:t>
      </w:r>
      <w:r>
        <w:t xml:space="preserve"> unchecked — possible relationship only</w:t>
      </w:r>
    </w:p>
    <w:p>
      <w:pPr>
        <w:pStyle w:val="Heading2"/>
      </w:pPr>
      <w:r>
        <w:t>483. Claim + two later sources: Enabling forecasts of environmental exposure to chemicals in European agriculture under global change</w:t>
      </w:r>
    </w:p>
    <w:p>
      <w:pPr>
        <w:pStyle w:val="SourceNote"/>
      </w:pPr>
      <w:r>
        <w:rPr>
          <w:b/>
        </w:rPr>
        <w:t>Group ID:</w:t>
      </w:r>
      <w:r>
        <w:t xml:space="preserve"> group-e669ab8bfa13128d28af</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Mapping the landscape of mycological organizations in europe: where citizen science meets professional mycology — https://doi.org/10.1007/s10531-025-03219-2</w:t>
      </w:r>
    </w:p>
    <w:p>
      <w:pPr/>
      <w:r>
        <w:rPr>
          <w:b/>
        </w:rPr>
        <w:t>Later source:</w:t>
      </w:r>
      <w:r>
        <w:t xml:space="preserve"> Evolution of Equality as a Constitutional Principle in Romania: European Union Membership Impacts and Current Challenges — https://doi.org/10.62733/2026.1.9-31</w:t>
      </w:r>
    </w:p>
    <w:p>
      <w:pPr>
        <w:pStyle w:val="SourceNote"/>
      </w:pPr>
      <w:r>
        <w:rPr>
          <w:b/>
        </w:rPr>
        <w:t>Review status:</w:t>
      </w:r>
      <w:r>
        <w:t xml:space="preserve"> unchecked — possible relationship only</w:t>
      </w:r>
    </w:p>
    <w:p>
      <w:pPr>
        <w:pStyle w:val="Heading2"/>
      </w:pPr>
      <w:r>
        <w:t>484. Claim + two later sources: Climate change mitigation: evidences from the European scenario</w:t>
      </w:r>
    </w:p>
    <w:p>
      <w:pPr>
        <w:pStyle w:val="SourceNote"/>
      </w:pPr>
      <w:r>
        <w:rPr>
          <w:b/>
        </w:rPr>
        <w:t>Group ID:</w:t>
      </w:r>
      <w:r>
        <w:t xml:space="preserve"> group-3165f690b109a8af32cd</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Changes in greenhouse gas emissions from agriculture in selected European Union countries — https://doi.org/10.14254/2071-8330.2026/19-1/10</w:t>
      </w:r>
    </w:p>
    <w:p>
      <w:pPr/>
      <w:r>
        <w:rPr>
          <w:b/>
        </w:rPr>
        <w:t>Later source:</w:t>
      </w:r>
      <w:r>
        <w:t xml:space="preserve"> Mapping urban CO2 emission spatiotemporal dynamics in Europe via a nighttime light composite index — https://doi.org/10.1038/s42949-026-00437-7</w:t>
      </w:r>
    </w:p>
    <w:p>
      <w:pPr>
        <w:pStyle w:val="SourceNote"/>
      </w:pPr>
      <w:r>
        <w:rPr>
          <w:b/>
        </w:rPr>
        <w:t>Review status:</w:t>
      </w:r>
      <w:r>
        <w:t xml:space="preserve"> unchecked — possible relationship only</w:t>
      </w:r>
    </w:p>
    <w:p>
      <w:pPr>
        <w:pStyle w:val="Heading2"/>
      </w:pPr>
      <w:r>
        <w:t>485. Claim + two later sources: Seeds of good anthropocenes: developing sustainability scenarios for Northern Europe</w:t>
      </w:r>
    </w:p>
    <w:p>
      <w:pPr>
        <w:pStyle w:val="SourceNote"/>
      </w:pPr>
      <w:r>
        <w:rPr>
          <w:b/>
        </w:rPr>
        <w:t>Group ID:</w:t>
      </w:r>
      <w:r>
        <w:t xml:space="preserve"> group-3bb932fa2e396be5df42</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The European Union’s role in European defence industry policy — https://doi.org/10.1080/14702436.2025.2472694</w:t>
      </w:r>
    </w:p>
    <w:p>
      <w:pPr>
        <w:pStyle w:val="SourceNote"/>
      </w:pPr>
      <w:r>
        <w:rPr>
          <w:b/>
        </w:rPr>
        <w:t>Review status:</w:t>
      </w:r>
      <w:r>
        <w:t xml:space="preserve"> unchecked — possible relationship only</w:t>
      </w:r>
    </w:p>
    <w:p>
      <w:pPr>
        <w:pStyle w:val="Heading2"/>
      </w:pPr>
      <w:r>
        <w:t>486. Claim + two later sources: PROJEKCJA ZMIAN WIELKOŚCI PLONÓW PSZENICY W POLSCE I UNII EUROPEJSKIEJ W LATACH 2030 I 2050 NA PODSTAWIE MODELU CAPRI</w:t>
      </w:r>
    </w:p>
    <w:p>
      <w:pPr>
        <w:pStyle w:val="SourceNote"/>
      </w:pPr>
      <w:r>
        <w:rPr>
          <w:b/>
        </w:rPr>
        <w:t>Group ID:</w:t>
      </w:r>
      <w:r>
        <w:t xml:space="preserve"> group-80240569d711e6b81a08</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Effect of different treatments on the dissipation and persistence of iodosulfuron-methyl applied in soils with wheat crop under greenhouse conditions — https://doi.org/10.1016/j.ecoenv.2025.118454</w:t>
      </w:r>
    </w:p>
    <w:p>
      <w:pPr/>
      <w:r>
        <w:rPr>
          <w:b/>
        </w:rPr>
        <w:t>Later source:</w:t>
      </w:r>
      <w:r>
        <w:t xml:space="preserve"> Improved modelling framework for assessing the interactions between the energy, agriculture, forestry and land use change sectors: Integrating the CAPRI, LUISA-BEES, CBM and POTEnCIA models — https://doi.org/10.2760/900305</w:t>
      </w:r>
    </w:p>
    <w:p>
      <w:pPr>
        <w:pStyle w:val="SourceNote"/>
      </w:pPr>
      <w:r>
        <w:rPr>
          <w:b/>
        </w:rPr>
        <w:t>Review status:</w:t>
      </w:r>
      <w:r>
        <w:t xml:space="preserve"> unchecked — possible relationship only</w:t>
      </w:r>
    </w:p>
    <w:p>
      <w:pPr>
        <w:pStyle w:val="Heading2"/>
      </w:pPr>
      <w:r>
        <w:t>487. Claim + two later sources: Recycling of European plastic is a pathway for plastic debris in the ocean</w:t>
      </w:r>
    </w:p>
    <w:p>
      <w:pPr>
        <w:pStyle w:val="SourceNote"/>
      </w:pPr>
      <w:r>
        <w:rPr>
          <w:b/>
        </w:rPr>
        <w:t>Group ID:</w:t>
      </w:r>
      <w:r>
        <w:t xml:space="preserve"> group-e71274530f33ef5423a5</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Does Economic Policy Uncertainty Influence ESG Performance? Evidence from European Banking Sector — https://doi.org/10.5539/ijbm.v21n5p163</w:t>
      </w:r>
    </w:p>
    <w:p>
      <w:pPr/>
      <w:r>
        <w:rPr>
          <w:b/>
        </w:rPr>
        <w:t>Later source:</w:t>
      </w:r>
      <w:r>
        <w:t xml:space="preserve"> Cash Flow Associations of European Investment Funds in Times of High Uncertainty — https://doi.org/10.5709/ce.1897-9254.593</w:t>
      </w:r>
    </w:p>
    <w:p>
      <w:pPr>
        <w:pStyle w:val="SourceNote"/>
      </w:pPr>
      <w:r>
        <w:rPr>
          <w:b/>
        </w:rPr>
        <w:t>Review status:</w:t>
      </w:r>
      <w:r>
        <w:t xml:space="preserve"> unchecked — possible relationship only</w:t>
      </w:r>
    </w:p>
    <w:p>
      <w:pPr>
        <w:pStyle w:val="Heading2"/>
      </w:pPr>
      <w:r>
        <w:t>488.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489. Claim + two later sources: Land use implications of future energy system trajectories—The case of the UK 2050 Carbon Plan</w:t>
      </w:r>
    </w:p>
    <w:p>
      <w:pPr>
        <w:pStyle w:val="SourceNote"/>
      </w:pPr>
      <w:r>
        <w:rPr>
          <w:b/>
        </w:rPr>
        <w:t>Group ID:</w:t>
      </w:r>
      <w:r>
        <w:t xml:space="preserve"> group-7e6c70f851b6f8db2a54</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Four pathways for energy citizenship initiatives to contribute to a more democratic European energy system — https://doi.org/10.1080/07036337.2025.2458592</w:t>
      </w:r>
    </w:p>
    <w:p>
      <w:pPr/>
      <w:r>
        <w:rPr>
          <w:b/>
        </w:rPr>
        <w:t>Later source:</w:t>
      </w:r>
      <w:r>
        <w:t xml:space="preserve"> Developing multi-risk DRM pathways — Lessons from four European case studies — https://doi.org/10.1016/j.crm.2025.100753</w:t>
      </w:r>
    </w:p>
    <w:p>
      <w:pPr>
        <w:pStyle w:val="SourceNote"/>
      </w:pPr>
      <w:r>
        <w:rPr>
          <w:b/>
        </w:rPr>
        <w:t>Review status:</w:t>
      </w:r>
      <w:r>
        <w:t xml:space="preserve"> unchecked — possible relationship only</w:t>
      </w:r>
    </w:p>
    <w:p>
      <w:pPr>
        <w:pStyle w:val="Heading2"/>
      </w:pPr>
      <w:r>
        <w:t>490. Claim + two later sources: Future projections of temperature and mixing regime of  European temperate lakes</w:t>
      </w:r>
    </w:p>
    <w:p>
      <w:pPr>
        <w:pStyle w:val="SourceNote"/>
      </w:pPr>
      <w:r>
        <w:rPr>
          <w:b/>
        </w:rPr>
        <w:t>Group ID:</w:t>
      </w:r>
      <w:r>
        <w:t xml:space="preserve"> group-9e814531bcd393424cd3</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Emergent constraint indicates forced decline in European winter windstorm frequency — https://doi.org/10.1088/1748-9326/ae845f</w:t>
      </w:r>
    </w:p>
    <w:p>
      <w:pPr/>
      <w:r>
        <w:rPr>
          <w:b/>
        </w:rPr>
        <w:t>Later source:</w:t>
      </w:r>
      <w:r>
        <w:t xml:space="preserve"> Winter thunderstorms in Poland (1951–2020) — https://doi.org/10.2478/environ-2024-0021</w:t>
      </w:r>
    </w:p>
    <w:p>
      <w:pPr>
        <w:pStyle w:val="SourceNote"/>
      </w:pPr>
      <w:r>
        <w:rPr>
          <w:b/>
        </w:rPr>
        <w:t>Review status:</w:t>
      </w:r>
      <w:r>
        <w:t xml:space="preserve"> unchecked — possible relationship only</w:t>
      </w:r>
    </w:p>
    <w:p>
      <w:pPr>
        <w:pStyle w:val="Heading2"/>
      </w:pPr>
      <w:r>
        <w:t>491. Claim + two later sources: Lyme Disease Risks in Europe under Multiple Uncertain Drivers of Change</w:t>
      </w:r>
    </w:p>
    <w:p>
      <w:pPr>
        <w:pStyle w:val="SourceNote"/>
      </w:pPr>
      <w:r>
        <w:rPr>
          <w:b/>
        </w:rPr>
        <w:t>Group ID:</w:t>
      </w:r>
      <w:r>
        <w:t xml:space="preserve"> group-b8b1ba54d8754052874b</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Model Code and Data for "Future projections of burned area in Europe highlight the importance of human action" — https://doi.org/10.5281/zenodo.18740007</w:t>
      </w:r>
    </w:p>
    <w:p>
      <w:pPr/>
      <w:r>
        <w:rPr>
          <w:b/>
        </w:rPr>
        <w:t>Later source:</w:t>
      </w:r>
      <w:r>
        <w:t xml:space="preserve"> Extreme precipitation projections over Europe from the Euro-CORDEX regional climate models — https://doi.org/10.2139/ssrn.7352664</w:t>
      </w:r>
    </w:p>
    <w:p>
      <w:pPr>
        <w:pStyle w:val="SourceNote"/>
      </w:pPr>
      <w:r>
        <w:rPr>
          <w:b/>
        </w:rPr>
        <w:t>Review status:</w:t>
      </w:r>
      <w:r>
        <w:t xml:space="preserve"> unchecked — possible relationship only</w:t>
      </w:r>
    </w:p>
    <w:p>
      <w:pPr>
        <w:pStyle w:val="Heading2"/>
      </w:pPr>
      <w:r>
        <w:t>492. Claim + two later sources: Imagining energy futures: Sociotechnical imaginaries of the future Smart Grid in Norway</w:t>
      </w:r>
    </w:p>
    <w:p>
      <w:pPr>
        <w:pStyle w:val="SourceNote"/>
      </w:pPr>
      <w:r>
        <w:rPr>
          <w:b/>
        </w:rPr>
        <w:t>Group ID:</w:t>
      </w:r>
      <w:r>
        <w:t xml:space="preserve"> group-33fd62738a36b6ca13af</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Towards consumer-oriented smart grids : investigating consumer perspectives on the adoption of smart technologies and services — https://openalex.org/W7222853900</w:t>
      </w:r>
    </w:p>
    <w:p>
      <w:pPr/>
      <w:r>
        <w:rPr>
          <w:b/>
        </w:rPr>
        <w:t>Later source:</w:t>
      </w:r>
      <w:r>
        <w:t xml:space="preserve"> Smart Grids and Sustainability: The Impact of Digital Technologies on the Energy Transition — https://doi.org/10.3390/en18092149</w:t>
      </w:r>
    </w:p>
    <w:p>
      <w:pPr>
        <w:pStyle w:val="SourceNote"/>
      </w:pPr>
      <w:r>
        <w:rPr>
          <w:b/>
        </w:rPr>
        <w:t>Review status:</w:t>
      </w:r>
      <w:r>
        <w:t xml:space="preserve"> unchecked — possible relationship only</w:t>
      </w:r>
    </w:p>
    <w:p>
      <w:pPr>
        <w:pStyle w:val="Heading2"/>
      </w:pPr>
      <w:r>
        <w:t>493. Claim + two later sources: Long-Term Projection of Renewable Energy Technology Diffusion</w:t>
      </w:r>
    </w:p>
    <w:p>
      <w:pPr>
        <w:pStyle w:val="SourceNote"/>
      </w:pPr>
      <w:r>
        <w:rPr>
          <w:b/>
        </w:rPr>
        <w:t>Group ID:</w:t>
      </w:r>
      <w:r>
        <w:t xml:space="preserve"> group-dd85a9a957ca3f1ba19b</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A Novel Fuzzy Model for Knowledge-Driven Process Optimization in Renewable Energy Projects — https://doi.org/10.1007/s13132-024-02074-w</w:t>
      </w:r>
    </w:p>
    <w:p>
      <w:pPr/>
      <w:r>
        <w:rPr>
          <w:b/>
        </w:rPr>
        <w:t>Later source:</w:t>
      </w:r>
      <w:r>
        <w:t xml:space="preserve"> ASEAN’s Energy Transition towards Cleaner Energy System: Energy Modelling Scenarios and Policy Implications — https://doi.org/10.3390/su13052819</w:t>
      </w:r>
    </w:p>
    <w:p>
      <w:pPr>
        <w:pStyle w:val="SourceNote"/>
      </w:pPr>
      <w:r>
        <w:rPr>
          <w:b/>
        </w:rPr>
        <w:t>Review status:</w:t>
      </w:r>
      <w:r>
        <w:t xml:space="preserve"> unchecked — possible relationship only</w:t>
      </w:r>
    </w:p>
    <w:p>
      <w:pPr>
        <w:pStyle w:val="Heading2"/>
      </w:pPr>
      <w:r>
        <w:t>494. Claim + two later sources: Climate change mitigation: evidences from the European scenario</w:t>
      </w:r>
    </w:p>
    <w:p>
      <w:pPr>
        <w:pStyle w:val="SourceNote"/>
      </w:pPr>
      <w:r>
        <w:rPr>
          <w:b/>
        </w:rPr>
        <w:t>Group ID:</w:t>
      </w:r>
      <w:r>
        <w:t xml:space="preserve"> group-30e78cb66140d61892e8</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Changes in greenhouse gas emissions from agriculture in selected European Union countries — https://doi.org/10.14254/2071-8330.2026/19-1/10</w:t>
      </w:r>
    </w:p>
    <w:p>
      <w:pPr/>
      <w:r>
        <w:rPr>
          <w:b/>
        </w:rPr>
        <w:t>Later source:</w:t>
      </w:r>
      <w:r>
        <w:t xml:space="preserve"> Mapping urban CO2 emission spatiotemporal dynamics in Europe via a nighttime light composite index — https://doi.org/10.1038/s42949-026-00437-7</w:t>
      </w:r>
    </w:p>
    <w:p>
      <w:pPr>
        <w:pStyle w:val="SourceNote"/>
      </w:pPr>
      <w:r>
        <w:rPr>
          <w:b/>
        </w:rPr>
        <w:t>Review status:</w:t>
      </w:r>
      <w:r>
        <w:t xml:space="preserve"> unchecked — possible relationship only</w:t>
      </w:r>
    </w:p>
    <w:p>
      <w:pPr>
        <w:pStyle w:val="Heading2"/>
      </w:pPr>
      <w:r>
        <w:t>495.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group-e78438cb924c3ffbf207</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United States and European Union aid cuts risk exacerbating links between aid, trade, and human and environmental crises — https://doi.org/10.1038/s44458-025-00011-9</w:t>
      </w:r>
    </w:p>
    <w:p>
      <w:pPr/>
      <w:r>
        <w:rPr>
          <w:b/>
        </w:rPr>
        <w:t>Later source:</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pStyle w:val="SourceNote"/>
      </w:pPr>
      <w:r>
        <w:rPr>
          <w:b/>
        </w:rPr>
        <w:t>Review status:</w:t>
      </w:r>
      <w:r>
        <w:t xml:space="preserve"> unchecked — possible relationship only</w:t>
      </w:r>
    </w:p>
    <w:p>
      <w:pPr>
        <w:pStyle w:val="Heading2"/>
      </w:pPr>
      <w:r>
        <w:t>496. Claim + two later sources: Assessing the EU’s 2030 Climate and Energy Policy Framework: Incremental change toward radical transformation?</w:t>
      </w:r>
    </w:p>
    <w:p>
      <w:pPr>
        <w:pStyle w:val="SourceNote"/>
      </w:pPr>
      <w:r>
        <w:rPr>
          <w:b/>
        </w:rPr>
        <w:t>Group ID:</w:t>
      </w:r>
      <w:r>
        <w:t xml:space="preserve"> group-2d05df16bf62fc23d1e5</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Protecting Wildlife in Europe: A Comprehensive Analysis of Legislative Frameworks and Their Shortcomings — https://doi.org/10.1080/13880292.2025.2619363</w:t>
      </w:r>
    </w:p>
    <w:p>
      <w:pPr/>
      <w:r>
        <w:rPr>
          <w:b/>
        </w:rPr>
        <w:t>Later source:</w:t>
      </w:r>
      <w:r>
        <w:t xml:space="preserve"> A systematic literature review focusing on luxury hotels in Europe and Asia — https://doi.org/10.15170/tvt.2025.10.01.05</w:t>
      </w:r>
    </w:p>
    <w:p>
      <w:pPr>
        <w:pStyle w:val="SourceNote"/>
      </w:pPr>
      <w:r>
        <w:rPr>
          <w:b/>
        </w:rPr>
        <w:t>Review status:</w:t>
      </w:r>
      <w:r>
        <w:t xml:space="preserve"> unchecked — possible relationship only</w:t>
      </w:r>
    </w:p>
    <w:p>
      <w:pPr>
        <w:pStyle w:val="Heading2"/>
      </w:pPr>
      <w:r>
        <w:t>497. Claim + two later sources: Society in need of transformation. Citizen-Foresight as a method to co-create urban future</w:t>
      </w:r>
    </w:p>
    <w:p>
      <w:pPr>
        <w:pStyle w:val="SourceNote"/>
      </w:pPr>
      <w:r>
        <w:rPr>
          <w:b/>
        </w:rPr>
        <w:t>Group ID:</w:t>
      </w:r>
      <w:r>
        <w:t xml:space="preserve"> group-16afa9985c4c8db06d5a</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Unmasking the spatial-temporal characteristics of knowledge workers’ third-place remote work — https://doi.org/10.1177/27541231261444208</w:t>
      </w:r>
    </w:p>
    <w:p>
      <w:pPr/>
      <w:r>
        <w:rPr>
          <w:b/>
        </w:rPr>
        <w:t>Later source:</w:t>
      </w:r>
      <w:r>
        <w:t xml:space="preserve"> Work as a Third Pathway to New Longevity — https://doi.org/10.12660/gvexec.v25n1.2026.98714</w:t>
      </w:r>
    </w:p>
    <w:p>
      <w:pPr>
        <w:pStyle w:val="SourceNote"/>
      </w:pPr>
      <w:r>
        <w:rPr>
          <w:b/>
        </w:rPr>
        <w:t>Review status:</w:t>
      </w:r>
      <w:r>
        <w:t xml:space="preserve"> unchecked — possible relationship only</w:t>
      </w:r>
    </w:p>
    <w:p>
      <w:pPr>
        <w:pStyle w:val="Heading2"/>
      </w:pPr>
      <w:r>
        <w:t>498.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499. Claim + two later sources: European carbon storage resource requirements of climate change mitigation targets</w:t>
      </w:r>
    </w:p>
    <w:p>
      <w:pPr>
        <w:pStyle w:val="SourceNote"/>
      </w:pPr>
      <w:r>
        <w:rPr>
          <w:b/>
        </w:rPr>
        <w:t>Group ID:</w:t>
      </w:r>
      <w:r>
        <w:t xml:space="preserve"> group-12623b112a560febcda8</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Climate plan for municipality of Utsjoki — https://openalex.org/W7152954980</w:t>
      </w:r>
    </w:p>
    <w:p>
      <w:pPr/>
      <w:r>
        <w:rPr>
          <w:b/>
        </w:rPr>
        <w:t>Later source:</w:t>
      </w:r>
      <w:r>
        <w:t xml:space="preserve"> Can a wealth tax reduce CO2 emissions in Europe? — https://doi.org/10.1016/j.ecolecon.2026.109231</w:t>
      </w:r>
    </w:p>
    <w:p>
      <w:pPr>
        <w:pStyle w:val="SourceNote"/>
      </w:pPr>
      <w:r>
        <w:rPr>
          <w:b/>
        </w:rPr>
        <w:t>Review status:</w:t>
      </w:r>
      <w:r>
        <w:t xml:space="preserve"> unchecked — possible relationship only</w:t>
      </w:r>
    </w:p>
    <w:p>
      <w:pPr>
        <w:pStyle w:val="Heading2"/>
      </w:pPr>
      <w:r>
        <w:t>500. Claim + two later sources: Transition pathways to sustainability in greater than 2 °C climate futures of Europe</w:t>
      </w:r>
    </w:p>
    <w:p>
      <w:pPr>
        <w:pStyle w:val="SourceNote"/>
      </w:pPr>
      <w:r>
        <w:rPr>
          <w:b/>
        </w:rPr>
        <w:t>Group ID:</w:t>
      </w:r>
      <w:r>
        <w:t xml:space="preserve"> group-1cdb6852e60d16fdc721</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Competing corporate visions, ambiguous policy proposals: Complexities surrounding the emerging EU hydrogen market — https://doi.org/10.1016/j.enpol.2026.115463</w:t>
      </w:r>
    </w:p>
    <w:p>
      <w:pPr/>
      <w:r>
        <w:rPr>
          <w:b/>
        </w:rPr>
        <w:t>Later source:</w:t>
      </w:r>
      <w:r>
        <w:t xml:space="preserve"> The European Society of Cataract and Refractive Surgeons Cataract Simulation Curriculum: Wet Lab and Virtual Reality Pathways to Competency — https://doi.org/10.1097/j.jcrs.0000000000002036</w:t>
      </w:r>
    </w:p>
    <w:p>
      <w:pPr>
        <w:pStyle w:val="SourceNote"/>
      </w:pPr>
      <w:r>
        <w:rPr>
          <w:b/>
        </w:rPr>
        <w:t>Review status:</w:t>
      </w:r>
      <w:r>
        <w:t xml:space="preserve"> unchecked — possible relationship only</w:t>
      </w:r>
    </w:p>
    <w:p>
      <w:pPr>
        <w:pStyle w:val="Heading2"/>
      </w:pPr>
      <w:r>
        <w:t>501. Claim + two later sources: European packaging industry foresight study—identifying global drivers and driven packaging industry implications of the global megatrends</w:t>
      </w:r>
    </w:p>
    <w:p>
      <w:pPr>
        <w:pStyle w:val="SourceNote"/>
      </w:pPr>
      <w:r>
        <w:rPr>
          <w:b/>
        </w:rPr>
        <w:t>Group ID:</w:t>
      </w:r>
      <w:r>
        <w:t xml:space="preserve"> group-4808549bd27b0644ffb4</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Environmental consequences of replacing polyethylene packaging in the United States and Europe — https://doi.org/10.1016/j.resenv.2026.100390</w:t>
      </w:r>
    </w:p>
    <w:p>
      <w:pPr/>
      <w:r>
        <w:rPr>
          <w:b/>
        </w:rPr>
        <w:t>Later source:</w:t>
      </w:r>
      <w:r>
        <w:t xml:space="preserve"> Assessing Ochratoxin A Contamination in Pre-Packaged Grated Cheese: Implications for Food Safety — https://doi.org/10.3390/foods14091504</w:t>
      </w:r>
    </w:p>
    <w:p>
      <w:pPr>
        <w:pStyle w:val="SourceNote"/>
      </w:pPr>
      <w:r>
        <w:rPr>
          <w:b/>
        </w:rPr>
        <w:t>Review status:</w:t>
      </w:r>
      <w:r>
        <w:t xml:space="preserve"> unchecked — possible relationship only</w:t>
      </w:r>
    </w:p>
    <w:p>
      <w:pPr>
        <w:pStyle w:val="Heading2"/>
      </w:pPr>
      <w:r>
        <w:t>502. Claim + two later sources: Trends and forecast of obesity in Finland</w:t>
      </w:r>
    </w:p>
    <w:p>
      <w:pPr>
        <w:pStyle w:val="SourceNote"/>
      </w:pPr>
      <w:r>
        <w:rPr>
          <w:b/>
        </w:rPr>
        <w:t>Group ID:</w:t>
      </w:r>
      <w:r>
        <w:t xml:space="preserve"> group-68ebce1f666c037f2467</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Global prevalence of obesity in the older adults: A meta-analysis — https://doi.org/10.1016/j.puhip.2025.100585</w:t>
      </w:r>
    </w:p>
    <w:p>
      <w:pPr/>
      <w:r>
        <w:rPr>
          <w:b/>
        </w:rPr>
        <w:t>Later source:</w:t>
      </w:r>
      <w:r>
        <w:t xml:space="preserve"> Sarcopenia prevalence and functional outcomes in older men with obesity: Comparing the use of the EWGSOP2 sarcopenia versus ESPEN-EASO sarcopenic obesity consensus definitions — https://doi.org/10.1016/j.clnu.2023.07.014</w:t>
      </w:r>
    </w:p>
    <w:p>
      <w:pPr>
        <w:pStyle w:val="SourceNote"/>
      </w:pPr>
      <w:r>
        <w:rPr>
          <w:b/>
        </w:rPr>
        <w:t>Review status:</w:t>
      </w:r>
      <w:r>
        <w:t xml:space="preserve"> unchecked — possible relationship only</w:t>
      </w:r>
    </w:p>
    <w:p>
      <w:pPr>
        <w:pStyle w:val="Heading2"/>
      </w:pPr>
      <w:r>
        <w:t>503. Claim + two later sources: The role of gases in the European energy transition</w:t>
      </w:r>
    </w:p>
    <w:p>
      <w:pPr>
        <w:pStyle w:val="SourceNote"/>
      </w:pPr>
      <w:r>
        <w:rPr>
          <w:b/>
        </w:rPr>
        <w:t>Group ID:</w:t>
      </w:r>
      <w:r>
        <w:t xml:space="preserve"> group-cdfe00d42eef92f8bbf2</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Net Zero Emissions and Positive Energy Districts: A Potential Solution to Achieve the European Climate Targets — https://doi.org/10.1109/tia.2026.3661957</w:t>
      </w:r>
    </w:p>
    <w:p>
      <w:pPr/>
      <w:r>
        <w:rPr>
          <w:b/>
        </w:rPr>
        <w:t>Later source:</w:t>
      </w:r>
      <w:r>
        <w:t xml:space="preserve"> Green energy and steel imports reduce Europe’s net-zero infrastructure needs — https://doi.org/10.1038/s41467-025-60652-1</w:t>
      </w:r>
    </w:p>
    <w:p>
      <w:pPr>
        <w:pStyle w:val="SourceNote"/>
      </w:pPr>
      <w:r>
        <w:rPr>
          <w:b/>
        </w:rPr>
        <w:t>Review status:</w:t>
      </w:r>
      <w:r>
        <w:t xml:space="preserve"> unchecked — possible relationship only</w:t>
      </w:r>
    </w:p>
    <w:p>
      <w:pPr>
        <w:pStyle w:val="Heading2"/>
      </w:pPr>
      <w:r>
        <w:t>504. Individual research leads — not grouped</w:t>
      </w:r>
    </w:p>
    <w:p>
      <w:pPr/>
      <w:r>
        <w:t>These are single claim–paper research leads, not claim + paper A + paper B proposals. A paper in a rejected group may still be useful in a different combination.</w:t>
      </w:r>
    </w:p>
    <w:p>
      <w:pPr>
        <w:pStyle w:val="Heading2"/>
      </w:pPr>
      <w:r>
        <w:t>505.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2026:</w:t>
      </w:r>
      <w:r>
        <w:t xml:space="preserve"> Environmental risks and ecological integrity: the new european rules on nature restoration — https://doi.org/10.5194/egusphere-egu26-17987</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In May 1998, the area of the Sarno district in Campania was hit by an exceptional rainfall event, which caused rivers of mud, 161 deaths and numerous injuries.The tragedy was caused by various factors: the morphology of this territory, rainfall, reduced vegetation cover and the lack of an efficient network of stormwater drainage channels. The vegetation cover of the ground is essential on these slopes, because trees play a decisive role in the stability of the slopes. In those areas, in previous years, large fires had reduced the forest area and therefore stability. Furthermore, the lack of a valid warning system and risk communication contributed to the collective tragedy.The event marked a regulatory turning point in Italy, leading to the approval of the so-called "Sarno Decree," which introduced the requirement for municipalities to map areas at hydrogeological risk.The response of the law, in an attempt to stem these catastrophic events, was immediate. However, in relation to vegetation protection, in 2024 must be cited the approval of the Nature Restoration Law, an expression of the new path taken by European environmental law. Its prerequisites appear to be based on urgency, immediacy, and the need to pursue environmental objectives within a certain timeframe and monitor them over time, thus ensuring the survival of living beings in an intact environment.Indeed, it seems </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r>
        <w:rPr>
          <w:b/>
        </w:rPr>
        <w:t>POSSIBLE 2025:</w:t>
      </w:r>
      <w:r>
        <w:t xml:space="preserve"> Extreme environmental events – a proposed classification (based on the example of Central Europe) — https://doi.org/10.14746/quageo-2025-0033</w:t>
      </w:r>
    </w:p>
    <w:p>
      <w:pPr/>
      <w:r>
        <w:rPr>
          <w:b/>
        </w:rPr>
        <w:t>Shared claim-specific concepts:</w:t>
      </w:r>
      <w:r>
        <w:t xml:space="preserve"> based, environmental, example, project; EU scope visible. This is a provisional connection, not an outcome finding.</w:t>
      </w:r>
    </w:p>
    <w:p>
      <w:pPr>
        <w:pStyle w:val="SourceNote"/>
      </w:pPr>
      <w:r>
        <w:rPr>
          <w:b/>
        </w:rPr>
        <w:t>Available abstract (not full text):</w:t>
      </w:r>
      <w:r>
        <w:t xml:space="preserve"> This paper presents a classification concept for extreme environmental events, particularly emphasising meteorological, hydrological and geomorphological phenomena. The scheme was originally developed during the Polish national research project Extreme Meteorological and Hydrological Events in Poland – Assessment and Forecasting of Their Impacts on the Human Environment (2004–2009). Over the past decade and a half, it has been verified against observed extreme events and the international literature. Although devised primarily for Poland, the typology applies to the wider Central-European region. Events are grouped according to their genetic origin. Capital letters denote the five principal categories identifying the immediate physical cause: M – meteorological, H – hydrological, G – geomorphological, O – oceanographical and X – other (including complex or poorly defined) environmental events. Within each category, types and subtypes are distinguished. The framework also allows the combination of two or more categories or types and can be further expanded or modified in the future.</w:t>
      </w:r>
    </w:p>
    <w:p>
      <w:pPr/>
      <w:r>
        <w:rPr>
          <w:b/>
        </w:rPr>
        <w:t>POSSIBLE 2025:</w:t>
      </w:r>
      <w:r>
        <w:t xml:space="preserve"> Ecological activity of European SMEs: resources, green capabilities and environmental support — https://doi.org/10.29119/1641-3466.2025.234.20</w:t>
      </w:r>
    </w:p>
    <w:p>
      <w:pPr/>
      <w:r>
        <w:rPr>
          <w:b/>
        </w:rPr>
        <w:t>Shared claim-specific concepts:</w:t>
      </w:r>
      <w:r>
        <w:t xml:space="preserve"> concepts, environmental, three; EU scope visible. This is a provisional connection, not an outcome finding.</w:t>
      </w:r>
    </w:p>
    <w:p>
      <w:pPr>
        <w:pStyle w:val="SourceNote"/>
      </w:pPr>
      <w:r>
        <w:rPr>
          <w:b/>
        </w:rPr>
        <w:t>Available abstract (not full text):</w:t>
      </w:r>
      <w:r>
        <w:t xml:space="preserve"> Purpose: Despite the existence of many valuable scientific studies on the sustainable initiatives of modern enterprises, there is a lack of empirical analyses that could offer specific insights into the predictors of such activities, especially in the context of consolidating various theoretical concepts. Therefore, this study aimed to answer the question: What factors contribute to European SMEs offering an increasingly wider range of green products or services, and how can these companies simultaneously develop internal resources, green capabilities and leverage external support to successfully undertake such activities? Design/methodology/approach: The analysis is quantitative and covers 573 SMEs operating in all 27 EU countries. The data source is the Flash Eurobarometer FL549 survey entitled ‘SMEs, resource efficiency and green markets’, conducted by Ipsos European Public Affairs in 2024 on behalf of the European Commission. Findings: The study’s results indicate that environmental support for SMEs is relatively insignificant compared to the role of their internal resources and green capabilities, which, according to statistical modeling, significantly strengthen these companies’ potential to offer green products or services. Originality/value: The paper’s critical scientific contribution lies in the conceptual consideration of three complementary theoretical perspectives:</w:t>
      </w:r>
    </w:p>
    <w:p>
      <w:pPr/>
      <w:r>
        <w:rPr>
          <w:b/>
        </w:rPr>
        <w:t>POSSIBLE 2025:</w:t>
      </w:r>
      <w:r>
        <w:t xml:space="preserve"> Agricultural sustainability in the European Union: a review of concepts, policies and economic perspectives — https://doi.org/10.3389/fagro.2025.1714297</w:t>
      </w:r>
    </w:p>
    <w:p>
      <w:pPr/>
      <w:r>
        <w:rPr>
          <w:b/>
        </w:rPr>
        <w:t>Shared claim-specific concepts:</w:t>
      </w:r>
      <w:r>
        <w:t xml:space="preserve"> based, concepts, environmental, show; EU scope visible. This is a provisional connection, not an outcome finding.</w:t>
      </w:r>
    </w:p>
    <w:p>
      <w:pPr>
        <w:pStyle w:val="SourceNote"/>
      </w:pPr>
      <w:r>
        <w:rPr>
          <w:b/>
        </w:rPr>
        <w:t>Available abstract (not full text):</w:t>
      </w:r>
      <w:r>
        <w:t xml:space="preserve"> Introduction Sustainability in European Union (EU) agriculture has become a priority in both academic research and public policy, reflecting its central role in shaping resilient and balanced development models. The European agricultural landscape is characterized by significant agronomic diversity, including cereals, oilseeds, protein crops, industrial crops, vegetables, fruits, and fodder crops that support the livestock sector. These are integrated into multiple production systems: conservation agriculture, organic farming, integrated crop management, permanent pastures, and agroforestry, each contributing differently to environmental protection, economic efficiency, and social equity. Land use structures reveal a mosaic of arable land, permanent pastures, permanent crops, and mixed systems, reflecting the climatic and socio-economic diversity of Europe. In this context, the study examines how the economic, social, and environmental dimensions of sustainability are conceptualized and integrated into EU agricultural strategies. Methods The study uses a multi-level methodological approach, integrating conceptual, legislative, empirical, and bibliometric analyses. First, key concepts of agricultural sustainability were examined through a systematic review of academic literature and EU policy documents. Second, a legislative analysis assessed the regulatory framework shaping sus</w:t>
      </w:r>
    </w:p>
    <w:p>
      <w:pPr/>
      <w:r>
        <w:rPr>
          <w:b/>
        </w:rPr>
        <w:t>POSSIBLE 2025:</w:t>
      </w:r>
      <w:r>
        <w:t xml:space="preserve"> BioINSouth: Enhancing Regional Policies and Environmental Sustainability for Bio-based Sectors to Boost Innovation and Inclusivity in Southern Europe — https://doi.org/10.5281/zenodo.17772487</w:t>
      </w:r>
    </w:p>
    <w:p>
      <w:pPr/>
      <w:r>
        <w:rPr>
          <w:b/>
        </w:rPr>
        <w:t>Shared claim-specific concepts:</w:t>
      </w:r>
      <w:r>
        <w:t xml:space="preserve"> based, environmental, them, project; EU scope visible. This is a provisional connection, not an outcome finding.</w:t>
      </w:r>
    </w:p>
    <w:p>
      <w:pPr>
        <w:pStyle w:val="SourceNote"/>
      </w:pPr>
      <w:r>
        <w:rPr>
          <w:b/>
        </w:rPr>
        <w:t>Available abstract (not full text):</w:t>
      </w:r>
      <w:r>
        <w:t xml:space="preserve"> BioINSouth project aims to support regional policymakers in integrating ecological limits into bioeconomy strategies and roadmaps for circular bio-based activities. By developing guidelines and digital tools within the safe and sustainable by design (SSbD) assessment framework, the project fosters innovative methodologies for assessing environmental impacts across various industrial bio-based systems. Targeting Southern Mediterranean European regions, particularly those lagging behind such as Cyprus, Slovenia, Greece, and Portugal, BioINSouth will also involve broader participation from Spain, France, Italy, and international cooperation with Türkiye. Leveraging the BIOEAST initiative that focuses on central Europe, BioINSouth will establish QH-based regional Multi-Actor Regional Groups (MARGs) to lead co-creation activities in the establishment of eight bioeconomy-oriented regional HUBs in Campania (Italy), Peloponnese (Greece), Andalusia and Asturias (Spain), Centro (Portugal), Slovenia, Nouvelle-Aquitaine (France), and Cyprus. These HUBs will promote the exchange of best practices, and foster innovative methodologies for assessing environmental impacts and circularity in bio-based sectors. BioINSouth aims to enhance regional competitiveness, innovation capacity, and contribute to the EU's fair and green transition. A key component of BioINSouth is the analysis of regional st</w:t>
      </w:r>
    </w:p>
    <w:p>
      <w:pPr/>
      <w:r>
        <w:rPr>
          <w:b/>
        </w:rPr>
        <w:t>POSSIBLE 2025:</w:t>
      </w:r>
      <w:r>
        <w:t xml:space="preserve"> Defining habitat scenarios to integrate non-target arthropod relevance into landscape-based environmental risk assessment: A proof of concept — https://doi.org/10.1016/j.ecolind.2025.114548</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Environmental risk assessment of plant protection products increasingly requires methods that incorporate the complexity of agricultural landscapes and the roles of non-target arthropods in ecosystem service provision. However, existing approaches often lack spatial specificity and fail to support the development of targeted and ecologically meaningful protection goals. This study presents a proof-of-concept method designed to assess the relevance of non-target arthropods families across agricultural habitat scenarios, serving as a step toward more spatially explicit and biodiversity-sensitive environmental risk assessment frameworks. Using high-resolution landscape data from seven European countries, we randomly generated 29,500 agricultural landscapes across nine major crops and grouped them into four habitat scenarios categories based on crop diversity and the proportion of natural habitat. We used a bibliographic dataset covering 30 representative non-target arthropods families as a proxy to estimate family-level relevance scores for each habitat scenario, based on the proportion of land use types and literature-derived occurrence data. The results from this first application are exploratory and serve to evaluate the method's operational structure and scalability. They are not intended as definitive ecological patterns but rather illustrate how the proposed habitat scenario</w:t>
      </w:r>
    </w:p>
    <w:p>
      <w:pPr/>
      <w:r>
        <w:rPr>
          <w:b/>
        </w:rPr>
        <w:t>POSSIBLE 2024:</w:t>
      </w:r>
      <w:r>
        <w:t xml:space="preserve"> Transformation of environmental policy based on the concept of ecological modernization — https://doi.org/10.1051/bioconf/20249305018</w:t>
      </w:r>
    </w:p>
    <w:p>
      <w:pPr/>
      <w:r>
        <w:rPr>
          <w:b/>
        </w:rPr>
        <w:t>Shared claim-specific concepts:</w:t>
      </w:r>
      <w:r>
        <w:t xml:space="preserve"> based, concepts, environmental; EU scope not established. This is a provisional connection, not an outcome finding.</w:t>
      </w:r>
    </w:p>
    <w:p>
      <w:pPr>
        <w:pStyle w:val="SourceNote"/>
      </w:pPr>
      <w:r>
        <w:rPr>
          <w:b/>
        </w:rPr>
        <w:t>Available abstract (not full text):</w:t>
      </w:r>
      <w:r>
        <w:t xml:space="preserve"> The urgency of solving contemporary problems of efficiency and preservation of environmental quality necessitates the formation of a new environmental policy. The article outlines the main theoretical approaches to the study of environmental problems within the framework of theoretical concepts of economics. The point of view of the concept, system of tools and models of environmental policy is presented. The authors view environmental policy as social transformation from the perspective of a three-dimensional implicit analytical framework. It is shown that nature is integrated into the service sector through the creation of a new apparatus. This process has led to a profound institutionalization, commoditization and homogenization of the relationship between nature and society.</w:t>
      </w:r>
    </w:p>
    <w:p>
      <w:pPr/>
      <w:r>
        <w:rPr>
          <w:b/>
        </w:rPr>
        <w:t>POSSIBLE 2024:</w:t>
      </w:r>
      <w:r>
        <w:t xml:space="preserve"> Implementation in the European Union. A concept structural meta-study of environmental and social policy — https://doi.org/10.1080/14782804.2024.2383699</w:t>
      </w:r>
    </w:p>
    <w:p>
      <w:pPr/>
      <w:r>
        <w:rPr>
          <w:b/>
        </w:rPr>
        <w:t>Shared claim-specific concepts:</w:t>
      </w:r>
      <w:r>
        <w:t xml:space="preserve"> based, concepts, environmental, alternative; EU scope visible. This is a provisional connection, not an outcome finding.</w:t>
      </w:r>
    </w:p>
    <w:p>
      <w:pPr>
        <w:pStyle w:val="SourceNote"/>
      </w:pPr>
      <w:r>
        <w:rPr>
          <w:b/>
        </w:rPr>
        <w:t>Available abstract (not full text):</w:t>
      </w:r>
      <w:r>
        <w:t xml:space="preserve"> The implementation of EU law has been investigated since the 1980s without pinpointing any general explanatory mechanisms, while most studies focus on highly specific empirical analysis without going beyond basic conceptual descriptions. Theoretically, this paper proposes an alternative comparative framework to conceptualize and analyze differentiated policy implementation based on concept structural considerations. Empirically, existing case studies are compared in a meta-study by transferring their statements on explanatory conditions and outcomes into a parsimonious, procedural model. This approach enables a theory-guided, systematic comparison of qualitative case studies which has long been considered a desideratum in the implementation literature. The paper addresses the question under which conditions correct implementation (i.e. transposition and application) of EU directives occurs. Starting from a literature assessment, explanatory patterns are extracted and formalized as set-theoretic conditions connected to transposition and application as outcomes. The resulting concept structural model links the conceptual and explanatory levels of the underlying concepts. Using fuzzy set QCA, cases from environmental and social policy directives are assessed empirically based on case study data. The results largely confirm the expectation that only a conjunction of willingness- an</w:t>
      </w:r>
    </w:p>
    <w:p>
      <w:pPr>
        <w:pStyle w:val="Heading2"/>
      </w:pPr>
      <w:r>
        <w:t>506.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2025:</w:t>
      </w:r>
      <w:r>
        <w:t xml:space="preserve"> The European Social Model in the age of AI — https://doi.org/10.60054/peu.2025.12.290-300</w:t>
      </w:r>
    </w:p>
    <w:p>
      <w:pPr/>
      <w:r>
        <w:rPr>
          <w:b/>
        </w:rPr>
        <w:t>Shared claim-specific concepts:</w:t>
      </w:r>
      <w:r>
        <w:t xml:space="preserve"> enable, creation, sustainability, policies; EU scope visible. This is a provisional connection, not an outcome finding.</w:t>
      </w:r>
    </w:p>
    <w:p>
      <w:pPr>
        <w:pStyle w:val="SourceNote"/>
      </w:pPr>
      <w:r>
        <w:rPr>
          <w:b/>
        </w:rPr>
        <w:t>Available abstract (not full text):</w:t>
      </w:r>
      <w:r>
        <w:t xml:space="preserve"> The European social model (ESM) has been a pillar of the European Union, balancing economic growth with social justice. Yet, the emergence of digitalization and artificial intelligence (AI) is fundamentally transforming labour markets, welfare policies and social protection. This paper explores the impact of AI on the ESM, with particular attention to job creation and displacement, digital skill gaps, and changing welfare architecture. The methodology is based on a qualitative policy analysis and labour market data from the Eurostat and European Commission sources. The study analyses the ways in which AI-led changes will influence job losses, skills mismatches and the sustainability of the systems of social security. The results emphasize the importance of proactive regulation, investments in digital literacy, and regulatory measures to enable AI to drive inclusive economic growth rather than increasing inequality. The recommendations include lifelong learning, adapting welfare systems to new forms of work and responsible governance of AI.</w:t>
      </w:r>
    </w:p>
    <w:p>
      <w:pPr/>
      <w:r>
        <w:rPr>
          <w:b/>
        </w:rPr>
        <w:t>POSSIBLE 2025:</w:t>
      </w:r>
      <w:r>
        <w:t xml:space="preserve"> Scaling sustainable start-ups: barriers and enablers in talent attraction in Europe — https://openalex.org/W7171609687</w:t>
      </w:r>
    </w:p>
    <w:p>
      <w:pPr/>
      <w:r>
        <w:rPr>
          <w:b/>
        </w:rPr>
        <w:t>Shared claim-specific concepts:</w:t>
      </w:r>
      <w:r>
        <w:t xml:space="preserve"> enable, policies, literature, review; EU scope visible. This is a provisional connection, not an outcome finding.</w:t>
      </w:r>
    </w:p>
    <w:p>
      <w:pPr>
        <w:pStyle w:val="SourceNote"/>
      </w:pPr>
      <w:r>
        <w:rPr>
          <w:b/>
        </w:rPr>
        <w:t>Available abstract (not full text):</w:t>
      </w:r>
      <w:r>
        <w:t xml:space="preserve"> This thesis examines barriers and enablers of scaling sustainable start-ups in Europe across regulation, financing, and talent. Building on a structured literature review and 15 semi-structured interviews with founders, venture capitalists, and sustainable industry experts, it shows how regulation in form of administrative burdens and policy volatility slow market adoption, while well-designed policies can create demand niches. Findings also reveal a persistent funding gap and the need for blended finance mechanisms. Finally, purpose attracts talent, but retention depends on mission execution and clear people structures. It derivesactionable implications for founders to enable resilient growth during the scaling phase.</w:t>
      </w:r>
    </w:p>
    <w:p>
      <w:pPr/>
      <w:r>
        <w:rPr>
          <w:b/>
        </w:rPr>
        <w:t>POSSIBLE 2025:</w:t>
      </w:r>
      <w:r>
        <w:t xml:space="preserve"> Scaling sustainable start-ups: barriers and enablers in financing in Europe — https://openalex.org/W7162970613</w:t>
      </w:r>
    </w:p>
    <w:p>
      <w:pPr/>
      <w:r>
        <w:rPr>
          <w:b/>
        </w:rPr>
        <w:t>Shared claim-specific concepts:</w:t>
      </w:r>
      <w:r>
        <w:t xml:space="preserve"> enable, policies, literature, review; EU scope visible. This is a provisional connection, not an outcome finding.</w:t>
      </w:r>
    </w:p>
    <w:p>
      <w:pPr>
        <w:pStyle w:val="SourceNote"/>
      </w:pPr>
      <w:r>
        <w:rPr>
          <w:b/>
        </w:rPr>
        <w:t>Available abstract (not full text):</w:t>
      </w:r>
      <w:r>
        <w:t xml:space="preserve"> This thesis examines barriers and enablers of scaling sustainable start-ups in Europe across regulation, financing, and talent. Building on a structured literature review and 15 semi structured interviews with founders, venture capitalists, and sustainable industry experts, it shows how regulation in form of administrative burdens and policy volatility slow market adoption, while well-designed policies can create demand niches. Findings also reveal a persistent funding gap and the need for blended finance mechanisms. Finally, purpose attracts talent, but retention depends on mission execution and clear people structures. It derives actionable implications for founders to enable resilient growth during the scaling phase.</w:t>
      </w:r>
    </w:p>
    <w:p>
      <w:pPr/>
      <w:r>
        <w:rPr>
          <w:b/>
        </w:rPr>
        <w:t>POSSIBLE 2025:</w:t>
      </w:r>
      <w:r>
        <w:t xml:space="preserve"> Waste Hierarchy in Action. Italian and European Models for a Sustainable Future — https://openalex.org/W7113130641</w:t>
      </w:r>
    </w:p>
    <w:p>
      <w:pPr/>
      <w:r>
        <w:rPr>
          <w:b/>
        </w:rPr>
        <w:t>Shared claim-specific concepts:</w:t>
      </w:r>
      <w:r>
        <w:t xml:space="preserve"> sustainability, decision-makers, policies, transition; EU scope visible. This is a provisional connection, not an outcome finding.</w:t>
      </w:r>
    </w:p>
    <w:p>
      <w:pPr>
        <w:pStyle w:val="SourceNote"/>
      </w:pPr>
      <w:r>
        <w:rPr>
          <w:b/>
        </w:rPr>
        <w:t>Available abstract (not full text):</w:t>
      </w:r>
      <w:r>
        <w:t xml:space="preserve"> The “waste hierarchy” principle is a pillar of European environmental policy. Despite the presence of common objectives set by the European Union, each country maintains a wide margin of autonomy in implementation, deciding how to incentivize the most effective actions (reduction, reuse, recycling) and discourage those that are less sustainable (incineration and landfill). This causes considerable heterogeneity, both in the strategies adopted and in the results obtained: some countries have achieved significant milestones, while others still show significant room for improvement.Intervening with targeted and ambitious policies is increasingly urgent. Through the analysis of six emblematic cases, the volume identifies the necessary conditions to make the waste hierarchy principle a reality. Strong determination from political or corporate leadership, the involvement of authoritative and passionate experts, stakeholder engagement, the availability of adequate resources, and project flexibility emerge as decisive enabling factors to overcome bottlenecks and the many regulatory, cultural, and industrial resistances.From the cross-sectional reading of the cases, it emerges that there is no ideal context or single model for scaling the waste hierarchy, just as no single “best practice” can be identified, but rather a plurality of good practices that can be combined synergistically.Th</w:t>
      </w:r>
    </w:p>
    <w:p>
      <w:pPr/>
      <w:r>
        <w:rPr>
          <w:b/>
        </w:rPr>
        <w:t>POSSIBLE 2025:</w:t>
      </w:r>
      <w:r>
        <w:t xml:space="preserve"> Furniture reuse: Institutional models in Turkey and Europe — https://doi.org/10.33725/mamad.1736195</w:t>
      </w:r>
    </w:p>
    <w:p>
      <w:pPr/>
      <w:r>
        <w:rPr>
          <w:b/>
        </w:rPr>
        <w:t>Shared claim-specific concepts:</w:t>
      </w:r>
      <w:r>
        <w:t xml:space="preserve"> sustainability, literature, review; EU scope visible. This is a provisional connection, not an outcome finding.</w:t>
      </w:r>
    </w:p>
    <w:p>
      <w:pPr>
        <w:pStyle w:val="SourceNote"/>
      </w:pPr>
      <w:r>
        <w:rPr>
          <w:b/>
        </w:rPr>
        <w:t>Available abstract (not full text):</w:t>
      </w:r>
      <w:r>
        <w:t xml:space="preserve"> This study provides a comparative examination of repurposing strategies developed within the furniture sector in line with sustainability and circular economy principles, with a focus on the contexts of Europe and Turkey. The aim is to investigate institutional models for reusing furniture with potential for extended life cycles, analyze the recovery capacity of wood-based materials, and propose a sustainable and applicable framework for Turkey. A qualitative research approach was adopted, in which the activities of European organizations such as RREUSE, WRAP, Repair Café, ENVIE, RepaNet, and AERESS were evaluated through a literature review and document-based analysis. In parallel, official reports and case studies from metropolitan municipalities including Istanbul, Kocaeli, and Izmir were analyzed. In the material assessment, solid wood, MDF, and particleboard were classified according to criteria such as technical suitability, structural durability, and potential for surface renewal. The findings indicate that multi-actor, socially driven models are prevalent in Europe, while in Turkey, initiatives remain limited and largely charity-oriented. The study concludes by proposing a new model based on collaboration with local governments, offering a roadmap for strengthening Turkey’s institutional capacity in sustainable furniture repurposing.</w:t>
      </w:r>
    </w:p>
    <w:p>
      <w:pPr>
        <w:pStyle w:val="Heading2"/>
      </w:pPr>
      <w:r>
        <w:t>507.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union, must, place, not, but, agricultural;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2026:</w:t>
      </w:r>
      <w:r>
        <w:t xml:space="preserve"> European Union — https://openalex.org/W7204068056</w:t>
      </w:r>
    </w:p>
    <w:p>
      <w:pPr/>
      <w:r>
        <w:rPr>
          <w:b/>
        </w:rPr>
        <w:t>Shared claim-specific concepts:</w:t>
      </w:r>
      <w:r>
        <w:t xml:space="preserve"> union, regulatory, not, also; EU scope visible. This is a provisional connection, not an outcome finding.</w:t>
      </w:r>
    </w:p>
    <w:p>
      <w:pPr>
        <w:pStyle w:val="SourceNote"/>
      </w:pPr>
      <w:r>
        <w:rPr>
          <w:b/>
        </w:rPr>
        <w:t>Available abstract (not full text):</w:t>
      </w:r>
      <w:r>
        <w:t xml:space="preserve"> The post–Cold War beliefs that once sustained the European project have unraveled. Economic integration no longer guarantees political harmony. Also, soft power by itself does not secure a continent. In an era of hard-edged rivalry, the European Union faces a stark paradox: it is a global regulatory superpower, yet increasingly strained by internal fragmentation. How can the EU endure when its founding certainties fade? European Union: Ideas for the Future moves beyond the stale binary of “more or less Europe” to confront the defining dialectic of the mid-2020s: the tension between strategic unity abroad and democratic legitimacy at home. The book presents nine scholarly perspectives spanning governance, democracy, and geopolitics. It explores the EU as a geopolitical actor, its democratic capacity to defend cohesion against illiberal drift, and how science and innovation can be harnessed in a multipolar world with pressing climate and digital challenges. Written for scholars, policymakers, and citizens who refuse to accept the fraying of the European project, this book offers a bold vision of a Europe capable of wielding power without sacrificing legitimacy, combining the protection of a superpower with the intimacy of local democracy.</w:t>
      </w:r>
    </w:p>
    <w:p>
      <w:pPr/>
      <w:r>
        <w:rPr>
          <w:b/>
        </w:rPr>
        <w:t>POSSIBLE 2025:</w:t>
      </w:r>
      <w:r>
        <w:t xml:space="preserve"> Regulatory Landscape of Nutraceuticals in the European Union — https://doi.org/10.1201/9781003465041-9</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The regulatory landscape for nutraceuticals in the European Union (EU) is a complex framework designed to ensure the safety and quality of these products while promoting innovation in the industry. This abstract provides a concise overview of the key regulatory requirements governing nutraceuticals in the EU. The regulatory framework primarily revolves around the principle of placing safe and appropriately labeled products on the market. Nutraceuticals, positioned at the intersection of food and pharmaceuticals, are subject to stringent standards set forth in EU regulations. These regulations encompass aspects such as ingredient safety, permissible health claims, and labeling requirements. The European Food Safety Authority (EFSA) plays a pivotal role in evaluating and approving health claims associated with nutraceuticals. Additionally, manufacturers must adhere to Good Manufacturing Practices (GMP) to ensure the consistent quality of their products. Novel foods, including certain nutraceutical ingredients, undergo a separate approval process to assess their safety and potential impact on public health. Harmonizing regulations across EU member states, this framework facilitates the free movement of nutraceuticals within the single market while safeguarding consumer health. Navigating this regulatory landscape demands a comprehensive understanding of the evolving requirements, </w:t>
      </w:r>
    </w:p>
    <w:p>
      <w:pPr/>
      <w:r>
        <w:rPr>
          <w:b/>
        </w:rPr>
        <w:t>POSSIBLE 2025:</w:t>
      </w:r>
      <w:r>
        <w:t xml:space="preserve"> Capitalism, imperialism and European Union Law: towards a Marxist approach — https://doi.org/10.1017/elo.2025.10018</w:t>
      </w:r>
    </w:p>
    <w:p>
      <w:pPr/>
      <w:r>
        <w:rPr>
          <w:b/>
        </w:rPr>
        <w:t>Shared claim-specific concepts:</w:t>
      </w:r>
      <w:r>
        <w:t xml:space="preserve"> abstract, union, must, not, but; EU scope visible. This is a provisional connection, not an outcome finding.</w:t>
      </w:r>
    </w:p>
    <w:p>
      <w:pPr>
        <w:pStyle w:val="SourceNote"/>
      </w:pPr>
      <w:r>
        <w:rPr>
          <w:b/>
        </w:rPr>
        <w:t>Available abstract (not full text):</w:t>
      </w:r>
      <w:r>
        <w:t xml:space="preserve"> Abstract This article establishes a foundation for the development of Marxist approaches to European Union (EU) law. While Marxist scholarship has engaged with European integration throughout its history, it has largely overlooked the legal architecture of the EU. Conversely, EU legal studies have remained largely insulated from Marxist thought, even as critical approaches have begun to gain traction. Bridging this mutual neglect, the article argues that EU law must be understood not as a neutral or technocratic system, but as a central element of capitalist social relations both in Europe, and in terms of Europe’s wider integration in the global market. In this way, EU law is bound up with processes of accumulation, imperialism, and racialised social reproduction. Drawing on key currents within Marxist theory, the article situates EU law within the historical dynamics of capitalist development, demonstrating how a materialist legal analysis can deepen and enrich existing critiques of European integration.</w:t>
      </w:r>
    </w:p>
    <w:p>
      <w:pPr/>
      <w:r>
        <w:rPr>
          <w:b/>
        </w:rPr>
        <w:t>POSSIBLE 2025:</w:t>
      </w:r>
      <w:r>
        <w:t xml:space="preserve"> Accounting regulation in the European Union — https://doi.org/10.1007/s11142-025-09909-0</w:t>
      </w:r>
    </w:p>
    <w:p>
      <w:pPr/>
      <w:r>
        <w:rPr>
          <w:b/>
        </w:rPr>
        <w:t>Shared claim-specific concepts:</w:t>
      </w:r>
      <w:r>
        <w:t xml:space="preserve"> abstract, union, regulatory, improve; EU scope visible. This is a provisional connection, not an outcome finding.</w:t>
      </w:r>
    </w:p>
    <w:p>
      <w:pPr>
        <w:pStyle w:val="SourceNote"/>
      </w:pPr>
      <w:r>
        <w:rPr>
          <w:b/>
        </w:rPr>
        <w:t>Available abstract (not full text):</w:t>
      </w:r>
      <w:r>
        <w:t xml:space="preserve"> Abstract We provide a comprehensive overview of accounting-related regulatory changes (financial accounting, auditing, tax, and other disclosures) in the 27 European Union countries and the United Kingdom since 1993 based on an extensive literature review, survey, and topic and country expert input. Across all countries and years, we find that more than 16 regulatory events occur in a typical difference-in-differences research design that includes pre- and post-periods of four years. On average 3.4 out of four accounting disciplines are affected, emphasizing the need for interdisciplinary awareness. Our accompanying website ( http://www.eu-regulations.com ) offers visual representations of these events, regulation summaries, literature links, and source documents, all by country. This work aims to (1) lower the cost for researchers, reviewers, and editors to understand the EU’s evolving regulatory landscape; (2) improve research designs by identifying concurrent regulatory events; and (3) highlight research opportunities for those studying the EU or specific member states.</w:t>
      </w:r>
    </w:p>
    <w:p>
      <w:pPr/>
      <w:r>
        <w:rPr>
          <w:b/>
        </w:rPr>
        <w:t>POSSIBLE 2025:</w:t>
      </w:r>
      <w:r>
        <w:t xml:space="preserve"> Water reuse in the European Union: fostering and constraining public acceptance — https://doi.org/10.1093/jel/eqaf026</w:t>
      </w:r>
    </w:p>
    <w:p>
      <w:pPr/>
      <w:r>
        <w:rPr>
          <w:b/>
        </w:rPr>
        <w:t>Shared claim-specific concepts:</w:t>
      </w:r>
      <w:r>
        <w:t xml:space="preserve"> abstract, union, must; EU scope visible. This is a provisional connection, not an outcome finding.</w:t>
      </w:r>
    </w:p>
    <w:p>
      <w:pPr>
        <w:pStyle w:val="SourceNote"/>
      </w:pPr>
      <w:r>
        <w:rPr>
          <w:b/>
        </w:rPr>
        <w:t>Available abstract (not full text):</w:t>
      </w:r>
      <w:r>
        <w:t xml:space="preserve"> ABSTRACT Water reuse is indicated by the European institutions as a key tool in promoting a circular economy and addressing the current dramatic overuse and pollution of freshwater. Nevertheless, this practice is encountering a certain degree of resistance from the public, understood as the main stakeholders and social actors involved in the water cycle. This article poses a series of questions concerning the ways in which the public's apparent reluctance to embrace reuse practices might be addressed, exploring the capacity of the Union to implement environmental and climate strategies. By analysing the legal nature of water reuse and risk management plans, the idea is put forward that water reuse is a measure that must be considered and that, under certain conditions, should be mandatory. This argument is substantiated by an examination of the cross-cutting nature of water reuse practices and the associated obligations, encompassing environmental protection, energy efficiency, and intergenerational justice.</w:t>
      </w:r>
    </w:p>
    <w:p>
      <w:pPr/>
      <w:r>
        <w:rPr>
          <w:b/>
        </w:rPr>
        <w:t>POSSIBLE 2025:</w:t>
      </w:r>
      <w:r>
        <w:t xml:space="preserve"> Adaptation of Ukrainian Legislation to the Legislation of the European Union: Current Status and Prospects — https://doi.org/10.23939/veritas2025.01.044</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Abstract. The article examines the current state and prospects for adapting Ukrainian legislation to European Union law. It finds that the term “adaptation of legislation” has increasingly been used to describe the process of harmonizing and aligning a candidate country’s national legislation with EU acts, standards, and rules. Since participants in the European integration process must implement and comply with EU legislation, legal adaptation has become a key stage in ensuring the incorporation of European Union standards into national legal systems. This process involves modifying existing legal norms, creating new regulatory acts, reforming institutions and authorities responsible for implementing legislation, and fostering changes in societal culture and consciousness to uphold European standards and values. The study concludes that the essence of adapting Ukrainian legislation to EU law lies in amending and implementing national legislation to ensure compliance and harmonization with EU requirements. Legislative adaptation is a fundamental obligation under the Association Agreement between Ukraine and the European Union, which outlines commitments necessary for Ukraine’s eventual EU membership. This agreement, in terms of scope and thematic coverage, is the most extensive international legal document in Ukraine’s history and the largest international agreement the EU has </w:t>
      </w:r>
    </w:p>
    <w:p>
      <w:pPr/>
      <w:r>
        <w:rPr>
          <w:b/>
        </w:rPr>
        <w:t>POSSIBLE 2025:</w:t>
      </w:r>
      <w:r>
        <w:t xml:space="preserve"> Essential oils – a review of the regulatory framework in the European Union — https://doi.org/10.3897/pharmacia.72.e154479</w:t>
      </w:r>
    </w:p>
    <w:p>
      <w:pPr/>
      <w:r>
        <w:rPr>
          <w:b/>
        </w:rPr>
        <w:t>Shared claim-specific concepts:</w:t>
      </w:r>
      <w:r>
        <w:t xml:space="preserve"> union, regulatory, also; EU scope visible. This is a provisional connection, not an outcome finding.</w:t>
      </w:r>
    </w:p>
    <w:p>
      <w:pPr>
        <w:pStyle w:val="SourceNote"/>
      </w:pPr>
      <w:r>
        <w:rPr>
          <w:b/>
        </w:rPr>
        <w:t>Available abstract (not full text):</w:t>
      </w:r>
      <w:r>
        <w:t xml:space="preserve"> The current trend in consumers’ preferences for healthy lifestyles resulted in an increased demand for natural products. Many companies replaced synthetic compounds, used as preservatives, flavourings, or active ingredients, with natural ones. Nowadays, essential oils (EOs) and compounds isolated from EOs are regarded as promising and safe alternatives for many synthetic substances used as food additives, food preservatives, repellents, antimicrobial agents, etc. A great dynamic regarding the studies on EOs and in the global market of EOs was also reported. Moreover, the European market of EOs represents a significant share of the global EOs market. According to some recent reports, the European EOs market generated a revenue of more than 11 billion USD per year recently and is expected to reach well over 20 billion USD per year in 2030. The article provides an overview concerning EOs regulation in the European Union (EU). In the EU, the different product categories containing EOs are controlled under specific regulations to enhance product quality and safety. The manuscript highlights the key points of the EU legislation on EOs intended for food purposes, cosmetics, and health care.</w:t>
      </w:r>
    </w:p>
    <w:p>
      <w:pPr/>
      <w:r>
        <w:rPr>
          <w:b/>
        </w:rPr>
        <w:t>POSSIBLE 2025:</w:t>
      </w:r>
      <w:r>
        <w:t xml:space="preserve"> Cell-Based Meat in the European Union: A Regulatory Crossroads — https://doi.org/10.1007/978-3-032-14624-3_4</w:t>
      </w:r>
    </w:p>
    <w:p>
      <w:pPr/>
      <w:r>
        <w:rPr>
          <w:b/>
        </w:rPr>
        <w:t>Shared claim-specific concepts:</w:t>
      </w:r>
      <w:r>
        <w:t xml:space="preserve"> union, regulatory, not, only, agriculture, but; EU scope visible. This is a provisional connection, not an outcome finding.</w:t>
      </w:r>
    </w:p>
    <w:p>
      <w:pPr>
        <w:pStyle w:val="SourceNote"/>
      </w:pPr>
      <w:r>
        <w:rPr>
          <w:b/>
        </w:rPr>
        <w:t>Available abstract (not full text):</w:t>
      </w:r>
      <w:r>
        <w:t xml:space="preserve"> Abstract In recent years, we have witnessed the emergence of cell-based meat as a transformative innovation, bearing significant implications for the ongoing debate on the European Union (EU) regulatory framework. The inherently novel and ethically debated nature of cultivated meat calls for a comprehensive and forward-looking regulatory approach—one that can address not only scientific and safety concerns, but also societal, economic, ethical and environmental dimensions. As the discussion around the legitimacy of national provisions limiting the marketing of this product continues to evolve, it remains to be seen whether the current Novel Foods Regulation will prove sufficiently robust, or if further legislative reforms will be required to effectively integrate the emerging sector of cellular agriculture into the EU’s regulatory landscape. This chapter explores the recent debate and political initiatives put forward by various Member States, as well as the responses of different EU institutions, offering an in-depth analysis of future scenarios and challenges.</w:t>
      </w:r>
    </w:p>
    <w:p>
      <w:pPr>
        <w:pStyle w:val="Heading2"/>
      </w:pPr>
      <w:r>
        <w:t>508.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2026:</w:t>
      </w:r>
      <w:r>
        <w:t xml:space="preserve"> Impact of climate change on the proposed Pwalugu hydropower plant based on shared socio-economic pathway (SSP) scenarios — https://doi.org/10.1007/s43621-025-01056-5</w:t>
      </w:r>
    </w:p>
    <w:p>
      <w:pPr/>
      <w:r>
        <w:rPr>
          <w:b/>
        </w:rPr>
        <w:t>Shared claim-specific concepts:</w:t>
      </w:r>
      <w:r>
        <w:t xml:space="preserve"> shared, ssps; EU scope not established. This is a provisional connection, not an outcome finding.</w:t>
      </w:r>
    </w:p>
    <w:p>
      <w:pPr>
        <w:pStyle w:val="SourceNote"/>
      </w:pPr>
      <w:r>
        <w:rPr>
          <w:b/>
        </w:rPr>
        <w:t>Available abstract (not full text):</w:t>
      </w:r>
      <w:r>
        <w:t xml:space="preserve"> In this study, we examined the two main factors of climate change (precipitation and temperature) based on SSP1-2.6, SSP2-4.5, and SSP5-8.5, under three future periods: near future (2015–2043), mid-far future (2044–2072), and far future (2073–2100). Three machine learning models: Artificial Neural Network (ANN), Long Short-Term Memory (LSTM), and Support Vector Machine (SVM) were compared using statistical metrics: Nash–Sutcliffe Efficiency (NSE), Percent Bias (PBias), and R-squared (R 2 ). The ANN outperforms LSTM and SVM in terms of training and testing metrics, particularly NSE and R 2 . The findings showed that temperature and precipitation patterns would increase especially by the end of the century. In the Near Future, SSP5-8.5 estimates a maximum temperature of 43.32 °C, SSP1-2.6’s 41.74 °C, and SSP2-4.5’s 41.66 °C. Minimum temperatures in the Near Future estimate SSP5-8.5 of 47 °C, SSP1-2.6 of 37.97 °C, and SSP2-4.5 is 36.30 °C. Precipitation patterns exhibit notable variations across the different SSPs and future periods. In the Near Future, SSP5-8.5 estimates the highest maximum precipitation at 340.91 mm, compared to SSP1-2.6 at 308.34 mm and SSP2-4.5 at 329.53 mm. This trend of increasing maximum precipitation continues into the mid- and far-future, with SSP5-8.5 maintaining the highest values. Precipitation and temperature projections suggest significant climate ch</w:t>
      </w:r>
    </w:p>
    <w:p>
      <w:pPr/>
      <w:r>
        <w:rPr>
          <w:b/>
        </w:rPr>
        <w:t>POSSIBLE 2026:</w:t>
      </w:r>
      <w:r>
        <w:t xml:space="preserve"> Future Timber Cities: Global Scenarios for GHG Mitigation aligned with Shared Socio-economic Pathways (SSPs) - Data repository — https://doi.org/10.5281/zenodo.23158550</w:t>
      </w:r>
    </w:p>
    <w:p>
      <w:pPr/>
      <w:r>
        <w:rPr>
          <w:b/>
        </w:rPr>
        <w:t>Shared claim-specific concepts:</w:t>
      </w:r>
      <w:r>
        <w:t xml:space="preserve"> shared, pathways, ssps;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Socio-Economic Conditions Of Coir Workers And Problems Of Coir Industry East Godavari District in Andhra Pradesh — https://doi.org/10.71097/ijsat.v16.i4.8529</w:t>
      </w:r>
    </w:p>
    <w:p>
      <w:pPr/>
      <w:r>
        <w:rPr>
          <w:b/>
        </w:rPr>
        <w:t>Shared claim-specific concepts:</w:t>
      </w:r>
      <w:r>
        <w:t xml:space="preserve"> abstract, socio; EU scope not established. This is a provisional connection, not an outcome finding.</w:t>
      </w:r>
    </w:p>
    <w:p>
      <w:pPr>
        <w:pStyle w:val="SourceNote"/>
      </w:pPr>
      <w:r>
        <w:rPr>
          <w:b/>
        </w:rPr>
        <w:t>Available abstract (not full text):</w:t>
      </w:r>
      <w:r>
        <w:t xml:space="preserve"> Abstract Socio-economic status refers to a wide range of interrelated and diverse aspects and variables relating to or involving a combination of social and economic factors. These aspects and variables could, in general, be categorized into several categories including, economic, demographic, public services, fiscal and social. Socio economics an important determinant of the livelihood assist influences levels of knowledge, skills and income conditions which means for their living. For the purpose of analyses the present divided into two parts, the first part deals with the socio- economic status of coir workers in the study area.The second part analyses the problems of coir industry.</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shared, pathways, ssps, widely, but, applied;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2024:</w:t>
      </w:r>
      <w:r>
        <w:t xml:space="preserve"> Abstract WMP47: Neighborhood Socio-Economic Status as a Predictor of All-Cause Long-Term Post-Stroke Mortality — https://doi.org/10.1161/str.55.suppl_1.wmp47</w:t>
      </w:r>
    </w:p>
    <w:p>
      <w:pPr/>
      <w:r>
        <w:rPr>
          <w:b/>
        </w:rPr>
        <w:t>Shared claim-specific concepts:</w:t>
      </w:r>
      <w:r>
        <w:t xml:space="preserve"> abstract, socioeconomic, used; EU scope not established. This is a provisional connection, not an outcome finding.</w:t>
      </w:r>
    </w:p>
    <w:p>
      <w:pPr>
        <w:pStyle w:val="SourceNote"/>
      </w:pPr>
      <w:r>
        <w:rPr>
          <w:b/>
        </w:rPr>
        <w:t>Available abstract (not full text):</w:t>
      </w:r>
      <w:r>
        <w:t xml:space="preserve"> Background: Previous studies have shown that neighborhood socioeconomic status may be associated with post-stroke mortality. However, these studies did not adjust for stroke severity. We aim to determine the association between neighborhood of residence on long-term mortality after stroke. Methods: Within our population of 1.3 million in the Greater Cincinnati Northern Kentucky area, incident strokes among adult residents were ascertained at all area hospitals during calendar years 2005, 2010 and 2015. Participants addresses were used to geocode and determine their census tract and then used a validated index to determine neighborhood socio-economic status. We used national death index data to determine mortality status at 5 years post stroke. Individuals who survived at least 30 days were included in the analysis. We used cox proportional hazards to determine the association between neighborhood of residence deprivation and case fatality rate after stroke. Results: Among 4514 incident ischemic strokes, there were 1719 deaths over 5 years; for an all-cause post-stroke mortality rate of 38.08% among survivors of 30 days post-stroke. Similarly, there were 552 intracerebral hemorrhages with 224 deaths over 5 years: yielding an all-cause post-stroke mortality rate of 40.58%. Individuals in the quartile of neighborhoods with lowest neighborhood socio-economic status had 1.3 times th</w:t>
      </w:r>
    </w:p>
    <w:p>
      <w:pPr/>
      <w:r>
        <w:rPr>
          <w:b/>
        </w:rPr>
        <w:t>POSSIBLE 2024:</w:t>
      </w:r>
      <w:r>
        <w:t xml:space="preserve"> The socio-economic performance of agroecology. A review — https://doi.org/10.1007/s13593-024-00945-9</w:t>
      </w:r>
    </w:p>
    <w:p>
      <w:pPr/>
      <w:r>
        <w:rPr>
          <w:b/>
        </w:rPr>
        <w:t>Shared claim-specific concepts:</w:t>
      </w:r>
      <w:r>
        <w:t xml:space="preserve"> abstract, used, them; EU scope not established. This is a provisional connection, not an outcome finding.</w:t>
      </w:r>
    </w:p>
    <w:p>
      <w:pPr>
        <w:pStyle w:val="SourceNote"/>
      </w:pPr>
      <w:r>
        <w:rPr>
          <w:b/>
        </w:rPr>
        <w:t>Available abstract (not full text):</w:t>
      </w:r>
      <w:r>
        <w:t xml:space="preserve"> Abstract Agroecology is identified as an important solution to increase the sustainability of agricultural and food systems. Despite the increasing number of publications assessing the socio-economic outcomes of agroecology, very few studies have consolidated the scattered results obtained on various case studies. This paper provides new insights by consolidating evidence on the varied socio-economic effects of agroecology across a large number of cases at a global level. To this purpose, we used a rapid review methodology, screening more than 13,000 publications to retrieve evidence on the socio-economic outcomes of the implementation of agroecological practices. The results of the review indicate that (1) agroecological practices are associated more often with positive socio-economic outcomes across the broad range of evaluated metrics (51% positive, 30% negative, 10% neutral, and 9% inconclusive outcomes); (2) the socio-economic metrics associated with financial capital represent the vast majority of evaluated metrics (83% of total) and are affected positively in a large share of cases (53%), due to favourable outcomes on income, revenues, productivity and efficiency; (3) human capital metrics (16%) are associated with a larger number of negative outcomes (46% versus 38% positive), due to higher labour requirements and costs that are however partly compensated by an overall </w:t>
      </w:r>
    </w:p>
    <w:p>
      <w:pPr/>
      <w:r>
        <w:rPr>
          <w:b/>
        </w:rPr>
        <w:t>POSSIBLE 2024:</w:t>
      </w:r>
      <w:r>
        <w:t xml:space="preserve"> Socio-economic Status Scales in India &amp; Globally: A Review — https://doi.org/10.4103/pmrr.pmrr_133_24</w:t>
      </w:r>
    </w:p>
    <w:p>
      <w:pPr/>
      <w:r>
        <w:rPr>
          <w:b/>
        </w:rPr>
        <w:t>Shared claim-specific concepts:</w:t>
      </w:r>
      <w:r>
        <w:t xml:space="preserve"> abstract, socio, used, applied; EU scope not established. This is a provisional connection, not an outcome finding.</w:t>
      </w:r>
    </w:p>
    <w:p>
      <w:pPr>
        <w:pStyle w:val="SourceNote"/>
      </w:pPr>
      <w:r>
        <w:rPr>
          <w:b/>
        </w:rPr>
        <w:t>Available abstract (not full text):</w:t>
      </w:r>
      <w:r>
        <w:t xml:space="preserve"> Abstract Socio Economic Status (SES) Scales as used for investigating social status and related health conditions are comprehensively reviewed for their background, development, strengths, weaknesses and popularity. They measure components such as education, occupation, income and possessions either individually or in combination for urban/rural population. Level of socio-economic status is in turn related to health status. Although carrying limitations, yet Kuppuswamy, BG Prasad and Udai Pareek remain the most accepted, updated and longstanding Indian scales. Others scales such as Tiwari and Kumar, Gaur and Agarwal can also be harnessed. Below Poverty Line (BPL) scale and multidimensional poverty index, Hashim and identical scales should also be applied to identify BPL families for delivering medical benefits through a government initiative such as- Ayushman Bharat Pradhan Mantri Jan Arogya Yojana. Few international scales are also discussed. Nevertheless, a combination of scales or an all-encompassing scale with the most relevant classification of the Indian society and identification of the poor is always desired by researchers and policy makers for a reasonable outcome.</w:t>
      </w:r>
    </w:p>
    <w:p>
      <w:pPr>
        <w:pStyle w:val="Heading2"/>
      </w:pPr>
      <w:r>
        <w:t>509.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2026:</w:t>
      </w:r>
      <w:r>
        <w:t xml:space="preserve"> GHG emissions of all world countries — https://doi.org/10.2760/7717504</w:t>
      </w:r>
    </w:p>
    <w:p>
      <w:pPr/>
      <w:r>
        <w:rPr>
          <w:b/>
        </w:rPr>
        <w:t>Shared claim-specific concepts:</w:t>
      </w:r>
      <w:r>
        <w:t xml:space="preserve"> countries, ghg, until;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Mitigating farm-gate GHG emissions in low- and middle-income countries: The role of agricultural productivity — https://doi.org/10.1007/s11027-026-10316-2</w:t>
      </w:r>
    </w:p>
    <w:p>
      <w:pPr/>
      <w:r>
        <w:rPr>
          <w:b/>
        </w:rPr>
        <w:t>Shared claim-specific concepts:</w:t>
      </w:r>
      <w:r>
        <w:t xml:space="preserve"> countries, consistent, ghg, but, increased; EU scope not established. This is a provisional connection, not an outcome finding.</w:t>
      </w:r>
    </w:p>
    <w:p>
      <w:pPr>
        <w:pStyle w:val="SourceNote"/>
      </w:pPr>
      <w:r>
        <w:rPr>
          <w:b/>
        </w:rPr>
        <w:t>Available abstract (not full text):</w:t>
      </w:r>
      <w:r>
        <w:t xml:space="preserve"> Abstract Agriculture significantly contributes to global greenhouse gas emissions while facing increasing climate risks, raising concerns about balancing mitigation and food security. Productivity improvements consistent with Climate-Smart Agriculture are often seen as a way to reconcile this trade-off, but empirical evidence on their effects across sectors and development levels remains limited. This study examines the relationship between agricultural total factor productivity and emissions across farm-gate, crop, and livestock systems in low- to upper-middle-income countries spanning 1993–2021. Results show that population growth and food production are the primary drivers of emissions, reflecting strong production scale effects. In contrast, higher agricultural total factor productivity generally reduces emissions, partially offsetting pressures from increased output. However, this effect varies by income level and sector. Mitigation benefits are strongest in low-income countries and weaken with development, likely due to diminishing efficiency gains and rebound effects. Sectorally, productivity-driven emission reductions are most robust in crop production, moderate at the aggregate farm-gate level, and weakest in livestock systems, likely due to biological constraints. Overall, agricultural productivity growth can mitigates without compromising food security, but its effec</w:t>
      </w:r>
    </w:p>
    <w:p>
      <w:pPr/>
      <w:r>
        <w:rPr>
          <w:b/>
        </w:rPr>
        <w:t>POSSIBLE 2026:</w:t>
      </w:r>
      <w:r>
        <w:t xml:space="preserve"> The cost and benefit of GHG emissions and default risk — https://doi.org/10.1007/s10479-026-07193-y</w:t>
      </w:r>
    </w:p>
    <w:p>
      <w:pPr/>
      <w:r>
        <w:rPr>
          <w:b/>
        </w:rPr>
        <w:t>Shared claim-specific concepts:</w:t>
      </w:r>
      <w:r>
        <w:t xml:space="preserve"> ghg, reduction, per, increased;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rate;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2025:</w:t>
      </w:r>
      <w:r>
        <w:t xml:space="preserve"> Risks and benefits of artificial intelligence deepfakes: Systematic review and comparison of public attitudes in seven European Countries — https://doi.org/10.1016/j.jik.2025.100782</w:t>
      </w:r>
    </w:p>
    <w:p>
      <w:pPr/>
      <w:r>
        <w:rPr>
          <w:b/>
        </w:rPr>
        <w:t>Shared claim-specific concepts:</w:t>
      </w:r>
      <w:r>
        <w:t xml:space="preserve"> though, countries, rate, required; EU scope visible. This is a provisional connection, not an outcome finding.</w:t>
      </w:r>
    </w:p>
    <w:p>
      <w:pPr>
        <w:pStyle w:val="SourceNote"/>
      </w:pPr>
      <w:r>
        <w:rPr>
          <w:b/>
        </w:rPr>
        <w:t>Available abstract (not full text):</w:t>
      </w:r>
      <w:r>
        <w:t xml:space="preserve"> This study provides an evidence-based integrated appraisal of artificial intelligence (AI)-generated deepfakes by integrating a cross-disciplinary literature synthesis with original opinion-poll evidence from seven European countries. A SWOT matrix distils convergent concerns—weaponised disinformation, privacy erosion, and the detection arms race—alongside under-explored opportunities in education, therapy, and creative industries. To test whether these scholarly themes resonate with citizens, a computer-assisted web survey (N = 7,083) measured perceived risks and benefits across 10 specific scenarios for each theme. Correspondence analysis and Bonferroni-adjusted means reveal a pronounced age gradient for benefits, whereas risk perceptions vary by country—younger cohorts are noticeably less alarmed only in Sweden, France, and Czechia. Geographically, Dutch, German, British, and Italian publics prove the most enthusiastic: the United Kingdom (UK) couples similar enthusiasm with markedly higher risk vigilance, whereas Czech and Swedish respondents remain consistently sceptical, underscoring a broad, though imperfect, west/south versus central/north divide. The Netherlands, Germany, the UK, and Italy value pro-social applications (i.e., realistic crisis drills, public-interest campaigns, and therapeutic ‘mental-health’ avatars), with the Netherlands topping four benefit items and</w:t>
      </w:r>
    </w:p>
    <w:p>
      <w:pPr/>
      <w:r>
        <w:rPr>
          <w:b/>
        </w:rPr>
        <w:t>POSSIBLE 2025:</w:t>
      </w:r>
      <w:r>
        <w:t xml:space="preserve"> A framework for 1.5°C-aligned GHG budgets in architecture — https://doi.org/10.5334/bc.664</w:t>
      </w:r>
    </w:p>
    <w:p>
      <w:pPr/>
      <w:r>
        <w:rPr>
          <w:b/>
        </w:rPr>
        <w:t>Shared claim-specific concepts:</w:t>
      </w:r>
      <w:r>
        <w:t xml:space="preserve"> countries, targets, ghg, per; EU scope visible. This is a provisional connection, not an outcome finding.</w:t>
      </w:r>
    </w:p>
    <w:p>
      <w:pPr>
        <w:pStyle w:val="SourceNote"/>
      </w:pPr>
      <w:r>
        <w:rPr>
          <w:b/>
        </w:rPr>
        <w:t>Available abstract (not full text):</w:t>
      </w:r>
      <w:r>
        <w:t xml:space="preserve"> A methodological framework is presented for integrating 1.5°C-aligned greenhouse gas (GHG) budgets into architectural practice. Responding to the urgent need to decarbonise the built environment, this practice-oriented approach is based on the Carbon Risk Real Estate Monitor (CRREM) and the Science-Based Targets initiative (SBTi). The framework enables GHG budgets to be set early, requiring only a functional brief and target completion year as inputs. It establishes absolute GHG budgets per m2 and completion year for eight core building usage categories, allowing the early integration of climate targets in design processes. Mixed-use buildings are addressed through the area-weighted allocation of usage-specific budgets. Although developed for the European context, the framework can be adapted to other countries. The proposed 1.5°C-reduction pathways are compared with national frameworks such as France’s RE 2020 and Denmark’s BR 18, as well as with 20 recent mixed-use projects from a large German architectural practice. Achieving 1.5°C alignment will require halving GHG budgets roughly every seven years, highlighting the need for transformative change in architectural design and construction. Limitations include the use of global embodied carbon benchmarks and the assumption of functional stability over a 50-year reference study period. Practice relevance The proposed framework </w:t>
      </w:r>
    </w:p>
    <w:p>
      <w:pPr/>
      <w:r>
        <w:rPr>
          <w:b/>
        </w:rPr>
        <w:t>POSSIBLE 2024:</w:t>
      </w:r>
      <w:r>
        <w:t xml:space="preserve"> Investigating the heterogeneity within Wild bird indices in Europe — https://doi.org/10.1016/j.biocon.2024.110452</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Decarbonization of waste management practices and GHG accounting for energy transition: evidence from European electricity corporations’ reporting — https://doi.org/10.1007/s10668-024-04629-y</w:t>
      </w:r>
    </w:p>
    <w:p>
      <w:pPr/>
      <w:r>
        <w:rPr>
          <w:b/>
        </w:rPr>
        <w:t>Shared claim-specific concepts:</w:t>
      </w:r>
      <w:r>
        <w:t xml:space="preserve"> ghg, reduction; EU scope visible. This is a provisional connection, not an outcome finding.</w:t>
      </w:r>
    </w:p>
    <w:p>
      <w:pPr>
        <w:pStyle w:val="SourceNote"/>
      </w:pPr>
      <w:r>
        <w:rPr>
          <w:b/>
        </w:rPr>
        <w:t>Available abstract (not full text):</w:t>
      </w:r>
      <w:r>
        <w:t xml:space="preserve"> Abstract This study advances the understanding about the waste management practices adopted by the electricity sector for meeting the energy transition. Specifically, through the institutional, stakeholder, and legitimacy theory lens, it investigates the decarbonization practices in 11 major electricity producers in Europe trying to understand their sincere concern for enhanced performance and transparency. This study analyzes the content of non-financial disclosures shown by 90 reports, that is 64 sustainability reporting and 26 integrated reporting published between 2015 and 2022. Hence, this study seeks to clarify the linkages between waste management for emissions reduction, GHG accounting and sustainability reports through which the corporations seek legitimacy from stakeholders. The results highlight the commitment of electricity corporations for energy transition using green technologies and renewable energy sources to decarbonize the waste practices. However, they underline the absence of quantitative evidence in the SR for the evaluation of initiatives impact and the reduction of GHG emissions. To the best of our knowledge, this is the first study that conceptualizes the linkages between waste decarbonization for energy transition and the accounting systems i.e. GHG accounting and reporting in the electricity sector towards a cleaner production.</w:t>
      </w:r>
    </w:p>
    <w:p>
      <w:pPr/>
      <w:r>
        <w:rPr>
          <w:b/>
        </w:rPr>
        <w:t>POSSIBLE 2024:</w:t>
      </w:r>
      <w:r>
        <w:t xml:space="preserve"> The landscape of city‐level GHG emission accounts in Africa — https://doi.org/10.1111/jiec.13562</w:t>
      </w:r>
    </w:p>
    <w:p>
      <w:pPr/>
      <w:r>
        <w:rPr>
          <w:b/>
        </w:rPr>
        <w:t>Shared claim-specific concepts:</w:t>
      </w:r>
      <w:r>
        <w:t xml:space="preserve"> countries, ghg, but; EU scope not established. This is a provisional connection, not an outcome finding.</w:t>
      </w:r>
    </w:p>
    <w:p>
      <w:pPr>
        <w:pStyle w:val="SourceNote"/>
      </w:pPr>
      <w:r>
        <w:rPr>
          <w:b/>
        </w:rPr>
        <w:t>Available abstract (not full text):</w:t>
      </w:r>
      <w:r>
        <w:t xml:space="preserve"> Abstract Cities are important actors in the global challenge of tackling climate change. They are not only responsible for the majority of emissions but also highly capable of taking action. An important precondition for effective climate mitigation is a city‐level greenhouse gas emission inventory to guide mitigation action. Yet, most cities in developing countries, in particular African cities, lack that crucial information. This study aims to assess the current state of the development of African cities' emission inventories. A total of 270 inventories from 137 cities across 54 African countries were identified from 15 research articles, 5 reports, and 3 data platforms. We find the lack of standardized protocols results in inventories that are often not comparable, while data scarcity emerged as a common problem. We observe that insufficient engagement from local governments impedes the creation of a data‐rich environment. Additionally, current inventory protocols do not fully address the data limitations faced by African cities, further hindering inventory development. To mitigate these challenges, multi‐agent collaboration is essential to enhance the accounting capabilities of local governments. Developing refined protocols that consider data constraints is necessary. Moreover, advanced technologies may provide opportunities to overcome data bottlenecks.</w:t>
      </w:r>
    </w:p>
    <w:p>
      <w:pPr/>
      <w:r>
        <w:rPr>
          <w:b/>
        </w:rPr>
        <w:t>POSSIBLE 2024:</w:t>
      </w:r>
      <w:r>
        <w:t xml:space="preserve"> A Methodology to Evaluate GHG Emissions for Large Sports Events — https://doi.org/10.3390/su16041504</w:t>
      </w:r>
    </w:p>
    <w:p>
      <w:pPr/>
      <w:r>
        <w:rPr>
          <w:b/>
        </w:rPr>
        <w:t>Shared claim-specific concepts:</w:t>
      </w:r>
      <w:r>
        <w:t xml:space="preserve"> ghg, objective, but; EU scope not established. This is a provisional connection, not an outcome finding.</w:t>
      </w:r>
    </w:p>
    <w:p>
      <w:pPr>
        <w:pStyle w:val="SourceNote"/>
      </w:pPr>
      <w:r>
        <w:rPr>
          <w:b/>
        </w:rPr>
        <w:t>Available abstract (not full text):</w:t>
      </w:r>
      <w:r>
        <w:t xml:space="preserve"> Determining whether a large sports event is sustainable or not is one of the main objectives of the sports industry in the coming years. Indeed, there are several sources of greenhouse gas (GHG) emissions within a sports event that are not directly controlled by the sports companies but are linked to the event itself. The literature does not offer a standardized methodology for calculating the CO2 emissions of sports events, and consequently, there are different approaches. The objective of this article is to provide an updated state-of-the-art on the topic and to propose an innovative methodology for the calculation of Greenhouse Gas emission of a large sport event. The methodology entails the analysis of purchased goods and services, fuel and energy consumption, waste generation, business travel, and the impact of accommodations. Within the analysis, tools are provided to calculate carbon emissions for each category based on easily understandable data and utilizing reference conversion factors. The research presented in this paper may be useful for professionals in the sector in identifying a comprehensive methodology to quantify greenhouse gas (GHG) emissions for a large sports event.</w:t>
      </w:r>
    </w:p>
    <w:p>
      <w:pPr>
        <w:pStyle w:val="Heading2"/>
      </w:pPr>
      <w:r>
        <w:t>510.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2025:</w:t>
      </w:r>
      <w:r>
        <w:t xml:space="preserve"> The Cost-Effectiveness of Renewable Energy Sources in the European Union’s Ecological Economic Framework — https://doi.org/10.3390/su17104715</w:t>
      </w:r>
    </w:p>
    <w:p>
      <w:pPr/>
      <w:r>
        <w:rPr>
          <w:b/>
        </w:rPr>
        <w:t>Shared claim-specific concepts:</w:t>
      </w:r>
      <w:r>
        <w:t xml:space="preserve"> countries, onshore, wind, solar, energy, offshore; EU scope visible. This is a provisional connection, not an outcome finding.</w:t>
      </w:r>
    </w:p>
    <w:p>
      <w:pPr>
        <w:pStyle w:val="SourceNote"/>
      </w:pPr>
      <w:r>
        <w:rPr>
          <w:b/>
        </w:rPr>
        <w:t>Available abstract (not full text):</w:t>
      </w:r>
      <w:r>
        <w:t xml:space="preserve"> Evaluating the competitiveness of electricity is the most important issue. The main aim of this study was to determine the cost-effectiveness of renewable energy production in the European Union (EU) using the levelized cost competitiveness of renewable energy sources. The weighted average cost of capital (WACC) for onshore wind was calculated for European (EU) countries. The levelized cost of electricity (LCOE) approach was used to evaluate the energy costs of renewable energy sources. Energy production costs were compared across different technologies. The capital expenditures associated with solar PV are expected to decrease from USD 810/kW in 2021 to USD 360/kW in 2050. The power factor will remain stable at 14% during the analyzed period. Fuel, CO2, and operation and maintenance (O&amp;M) costs will be maintained at USD 10/MWh at all three time points of the analysis (2021, 2030, and 2050), whereas the LCOE will decrease from USD 50/MWh in 2021 to USD 25/MWh in 2050. The capital expenditures associated with onshore wind energy will decrease from USD 1590/kW in 2021 to USD 1410/kW in 2050. The power factor will increase from 29% to 30%, and fuel, CO2, and O&amp;M costs will reach USD 15/MWh in all three years. The LCOE will decrease from USD 55/MWh in 2021 to USD 45/MWh in 2050. In offshore wind projects, capital expenditures are expected to decrease considerably from USD 3040/kW i</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countries, onshore, wind;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show, wind, solar, energy, system;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A Cost Effective Solution to an Automated Valet Parking System — https://doi.org/10.1007/s12239-024-00031-9</w:t>
      </w:r>
    </w:p>
    <w:p>
      <w:pPr/>
      <w:r>
        <w:rPr>
          <w:b/>
        </w:rPr>
        <w:t>Shared claim-specific concepts:</w:t>
      </w:r>
      <w:r>
        <w:t xml:space="preserve"> solution, requires, system; EU scope not established. This is a provisional connection, not an outcome finding.</w:t>
      </w:r>
    </w:p>
    <w:p>
      <w:pPr>
        <w:pStyle w:val="SourceNote"/>
      </w:pPr>
      <w:r>
        <w:rPr>
          <w:b/>
        </w:rPr>
        <w:t>Available abstract (not full text):</w:t>
      </w:r>
      <w:r>
        <w:t xml:space="preserve"> Abstract Automated Valet Parking Systems (AVPS) relieve the driver of the entire parking process. Many of the systems known today rely on a combination of automotive sensors with sensors of the infrastructure. For this purpose, parking facilities are equipped with comprehensive sensor technology to support the vehicles in environment sensing and route planning. This approach is comparatively expensive which is why many parking operators don’t provide that technology to their customers. This paper proposes a lean AVPS system architecture that requires minimal effort to adapt the infrastructure. At the same time, state-of-the-art vehicle technology is used to make AVPS more profitable overall. At the beginning, an overview will be given describing the state of the art of AVPS. Subsequently, requirements for the AVPS will be elaborated, whereby the system can be designed and implemented in the following. Finally, the presentation of simulation results shows that one doesn’t have to extend the infrastructure with sensors to develop a safe and reliable AVPS.</w:t>
      </w:r>
    </w:p>
    <w:p>
      <w:pPr/>
      <w:r>
        <w:rPr>
          <w:b/>
        </w:rPr>
        <w:t>POSSIBLE 2024:</w:t>
      </w:r>
      <w:r>
        <w:t xml:space="preserve"> Modelling the effect of land use and crop changes on water harvesting agricultural reservoirs — https://doi.org/10.5194/egusphere-egu24-936</w:t>
      </w:r>
    </w:p>
    <w:p>
      <w:pPr/>
      <w:r>
        <w:rPr>
          <w:b/>
        </w:rPr>
        <w:t>Shared claim-specific concepts:</w:t>
      </w:r>
      <w:r>
        <w:t xml:space="preserve"> solution, land, less; EU scope visible. This is a provisional connection, not an outcome finding.</w:t>
      </w:r>
    </w:p>
    <w:p>
      <w:pPr>
        <w:pStyle w:val="SourceNote"/>
      </w:pPr>
      <w:r>
        <w:rPr>
          <w:b/>
        </w:rPr>
        <w:t>Available abstract (not full text):</w:t>
      </w:r>
      <w:r>
        <w:t xml:space="preserve"> Water harvesting with Small Agricultural Reservoirs (SmAR) represents a solution for sustainable water management at a global scale. Early estimates showed that globally there were about 277,400,000 SmAR with an area of less than one hectare, and 24,120,000 water bodies between one and 10 hectares, representing more than 90% of the world’s standing water bodies. One of the most relevant challenges for the sustainable management of SmAR is represented by the loss of storage volume caused by the inflow of sediments. However, the analysis of the dynamics of sedimentation for SmAR received relatively little interest so far in the Mediterranean and on a global scale.The purpose of this study is to implement a fully calibrated and validated model simulating the hydrology and erosion dynamics of the catchment of a SmAR in the Tuscany Region (Italy). The area is in the hilly area of Crete Senesi, about 15 km from Siena, where wine production is particularly developed, but not within the catchment of study, where the cultivation of cereals, renewal crops, and forage is practiced and there is a large grazing area. Our analysis aimed at estimating how much the rate of sediment accumulation in the reservoir would vary with the replacement of currently arable land with vineyards.A model was implemented on the HEC-HMS software, maximizing the value of existent low-cost data (Google Earth ima</w:t>
      </w:r>
    </w:p>
    <w:p>
      <w:pPr/>
      <w:r>
        <w:rPr>
          <w:b/>
        </w:rPr>
        <w:t>POSSIBLE 2024:</w:t>
      </w:r>
      <w:r>
        <w:t xml:space="preserve"> Cost‐effective use of abandoned agricultural land for biofuel production — https://doi.org/10.1111/gcbb.13165</w:t>
      </w:r>
    </w:p>
    <w:p>
      <w:pPr/>
      <w:r>
        <w:rPr>
          <w:b/>
        </w:rPr>
        <w:t>Shared claim-specific concepts:</w:t>
      </w:r>
      <w:r>
        <w:t xml:space="preserve"> show, land, also, both, reduced, less; EU scope visible. This is a provisional connection, not an outcome finding.</w:t>
      </w:r>
    </w:p>
    <w:p>
      <w:pPr>
        <w:pStyle w:val="SourceNote"/>
      </w:pPr>
      <w:r>
        <w:rPr>
          <w:b/>
        </w:rPr>
        <w:t>Available abstract (not full text):</w:t>
      </w:r>
      <w:r>
        <w:t xml:space="preserve"> Abstract Biofuel can be used to abate greenhouse gas emissions in the transport sector, by replacing fossil fuel. To avoid the problem of competition with food production, the use of abandoned agricultural land (AAL) for production of the feedstock for biofuel has been proposed. AAL has generally low productivity but has also low opportunity costs, and production of perennial bioenergy crops on it can lead to carbon sequestration. A spatially explicit optimization model of biofuel production and transport fuel consumption, applied to Sweden, was used for an analysis of how AAL can alter costs for greenhouse gas emissions abatement. Results show that, compared to the case without AAL, AAL could decrease the costs of reducing greenhouse gas emissions by 29%, for emissions reductions equivalent to 50% of current emissions from gasoline in Sweden. The carbon sequestration from establishing perennial bioenergy crops on AAL is the main driver of the positive results. High carbon sequestration on AAL implies larger emissions reduction for a given volume of biofuel, and the results show that the total biofuel production can be both smaller and larger with AAL. The use of arable land for biofuel production is generally smaller with AAL, but larger at some of the highest analyzed target levels. The low AAL feedstock costs contribute to lower costs of the total biofuel production, which p</w:t>
      </w:r>
    </w:p>
    <w:p>
      <w:pPr/>
      <w:r>
        <w:rPr>
          <w:b/>
        </w:rPr>
        <w:t>POSSIBLE 2024:</w:t>
      </w:r>
      <w:r>
        <w:t xml:space="preserve"> A European perspective on acceptability of innovative agri-environment-climate contract solutions — https://doi.org/10.1016/j.landusepol.2024.107120</w:t>
      </w:r>
    </w:p>
    <w:p>
      <w:pPr/>
      <w:r>
        <w:rPr>
          <w:b/>
        </w:rPr>
        <w:t>Shared claim-specific concepts:</w:t>
      </w:r>
      <w:r>
        <w:t xml:space="preserve"> land, modeled, countries, both; EU scope visible. This is a provisional connection, not an outcome finding.</w:t>
      </w:r>
    </w:p>
    <w:p>
      <w:pPr>
        <w:pStyle w:val="SourceNote"/>
      </w:pPr>
      <w:r>
        <w:rPr>
          <w:b/>
        </w:rPr>
        <w:t>Available abstract (not full text):</w:t>
      </w:r>
      <w:r>
        <w:t xml:space="preserve"> The agri-environment-climate measures of the European Union Common Agricultural Policy are incentives aiming to reduce negative environmental impacts and increase positive effects generated from agriculture. Several criticisms have been addressed to their efficiency and effectiveness and thus, the design of innovative contract solutions is currently suggested. Among the novel contractual solutions, there are result-based payments, collective implementation of measures, the engagement of private and business actors in value chains, and new forms of land tenure systems coupled with environmental clauses. Little is known about the factors at interplay influencing farmers’ decision to uptake such contracts. The present paper investigates the acceptability determinants of the above-mentioned novel contractual solutions concerning a sample of nearly 1900 farmers from 10 European Union countries. The analysis is based on a questionnaire built through a common research framework. We apply ordered logistic regressions: both proportional and partial proportional odds models are used. Farmers’ preferences are interpreted by splitting the innovative contractual solutions into 13 individual contractual features which are then modeled in combination with the structural characteristics of the farms and the sociodemographic and behavioral characteristics of the farmers. We estimate farmers’ wi</w:t>
      </w:r>
    </w:p>
    <w:p>
      <w:pPr>
        <w:pStyle w:val="Heading2"/>
      </w:pPr>
      <w:r>
        <w:t>511.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A Roadmap for Evaluating Foresight Initiatives — https://doi.org/10.5281/zenodo.18092300</w:t>
      </w:r>
    </w:p>
    <w:p>
      <w:pPr/>
      <w:r>
        <w:rPr>
          <w:b/>
        </w:rPr>
        <w:t>Shared claim-specific concepts:</w:t>
      </w:r>
      <w:r>
        <w:t xml:space="preserve"> corporate, foresight, diverse, strategy; EU scope not established. This is a provisional connection, not an outcome finding.</w:t>
      </w:r>
    </w:p>
    <w:p>
      <w:pPr>
        <w:pStyle w:val="SourceNote"/>
      </w:pPr>
      <w:r>
        <w:rPr>
          <w:b/>
        </w:rPr>
        <w:t>Available abstract (not full text):</w:t>
      </w:r>
      <w:r>
        <w:t xml:space="preserve"> As strategic foresight evolves into a critical tool for facing uncertain and complex environments, the systematic evaluation of foresight activities has emerged as essential for building organizational resilience, credibility, and actionable impact. This study addresses this vital yet underexplored domain by developing a practical roadmap that transforms creative futures thinking into defensible, measurable knowledge trusted by decision-makers. Drawing on layered conceptual analysis, established frameworks from leading scholars and institutions, and practical insights across sectors, the research proposes specific, adaptable steps for evaluators to achieve robust outcomes. It effectively bridges the tension between imaginative exploration and empirical rigor while accommodating diverse cultural, sectoral, and stakeholder perspectives. Real-world vignettes from corporate transformations and public-sector initiatives vividly demonstrate how rigorous, context-sensitive evaluation legitimizes foresight investments, enhances adaptive capacity and agility, and seamlessly integrates futures thinking into core strategy formulation and execution. This study equips foresight practitioners, corporate leaders, policymakers, educators, and researchers with an overview of maturity models, readiness indexes, and mixed-method approaches to design, implement, and refine evaluation processes.</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corporate, foresight, complementary, only, shared;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Complementing Scenario Planning to the Strategic Value of Corporate War Gaming for Foresight and Decision-Making — https://doi.org/10.32479/irmm.23377</w:t>
      </w:r>
    </w:p>
    <w:p>
      <w:pPr/>
      <w:r>
        <w:rPr>
          <w:b/>
        </w:rPr>
        <w:t>Shared claim-specific concepts:</w:t>
      </w:r>
      <w:r>
        <w:t xml:space="preserve"> corporate, foresight, complementary; EU scope not established. This is a provisional connection, not an outcome finding.</w:t>
      </w:r>
    </w:p>
    <w:p>
      <w:pPr>
        <w:pStyle w:val="SourceNote"/>
      </w:pPr>
      <w:r>
        <w:rPr>
          <w:b/>
        </w:rPr>
        <w:t>Available abstract (not full text):</w:t>
      </w:r>
      <w:r>
        <w:t xml:space="preserve"> Corporate war gaming is becoming more widely regarded as a complementary approach to classic scenario planning in assisting organizations during uncertain and complex times. Scenario planning has been used for decades to prepare for uncertain exogenous circumstances and provide long-haul foresight, but its descriptive and narrative approach does not appropriately capture competitive dynamics and hidden risks. Corporate war gaming offers experiential, role-play simulations that progressively stress-test strategies against adversarial environments and responses from stakeholders. This paper examines how corporate war gaming complements scenario planning and ultimately creates value in an organization's decision-making process. Qualitative research design was employed in this study to answer this question by leveraging semi-structured interviews with fourteen individuals who acted as key informants across various sectors, and data were analyzed using Braun and Clarke’s thematic analysis process. The findings produced six themes—active simulation, strategic agility and readiness, revelation of blind spots, integration of competitors and stakeholders’ perspective, cross-functional collaboration, and multi-level application, which together demonstrate how a war game aspires to transmute foresight in planning to rehearsed action. Given these findings, the study finds that corporate wa</w:t>
      </w:r>
    </w:p>
    <w:p>
      <w:pPr>
        <w:pStyle w:val="Heading2"/>
      </w:pPr>
      <w:r>
        <w:t>512.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2026:</w:t>
      </w:r>
      <w:r>
        <w:t xml:space="preserve"> Hydrogen: a building block for decarbonization in the future of Mexico — https://doi.org/10.1016/j.ijhydene.2026.157559</w:t>
      </w:r>
    </w:p>
    <w:p>
      <w:pPr/>
      <w:r>
        <w:rPr>
          <w:b/>
        </w:rPr>
        <w:t>Shared claim-specific concepts:</w:t>
      </w:r>
      <w:r>
        <w:t xml:space="preserve"> decarbonization, greenhouse, gas, emissions; EU scope not established. This is a provisional connection, not an outcome finding.</w:t>
      </w:r>
    </w:p>
    <w:p>
      <w:pPr>
        <w:pStyle w:val="SourceNote"/>
      </w:pPr>
      <w:r>
        <w:rPr>
          <w:b/>
        </w:rPr>
        <w:t>Available abstract (not full text):</w:t>
      </w:r>
      <w:r>
        <w:t xml:space="preserve"> Mexico aims to reduce greenhouse gas emissions by 50% by 2050 relative to 2000 levels. Hydrogen is seen as a promising alternative for decarbonising the transport, industrial, and electricity generation sectors. This study presents five prospective scenarios for 2050 that explore different hypotheses for introducing hydrogen to catalyse decarbonization of the Mexican Energy System (MES), modelled using the Low Emissions Analysis Platform (LEAP) software. Business-As-Usual (BAU), maintaining 2019 MES configuration; Decarbonization (DEC), introducing hydrogen only in the industrial sector; Market (MAR), following the pathway planned by the commercial sector; Policy (POL) driven, which installs as many hydrogen-based combined cycle plants as possible, and Net-Zero Development (NZD), achieving a hydrogen-based electricity generation by 2060. This analysis found that hydrogen can mitigate up to 16.32% of the CO2e emissions compared to BAU scenario in 2050 and save up to 13.58% of the natural gas required for power.</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2025:</w:t>
      </w:r>
      <w:r>
        <w:t xml:space="preserve"> Fish Preservation Industry Management Training in the Coastal Area of Ambon Island — https://doi.org/10.29303/ujcs.v6i3.1273</w:t>
      </w:r>
    </w:p>
    <w:p>
      <w:pPr/>
      <w:r>
        <w:rPr>
          <w:b/>
        </w:rPr>
        <w:t>Shared claim-specific concepts:</w:t>
      </w:r>
      <w:r>
        <w:t xml:space="preserve"> industry, preservation, increase; EU scope not established. This is a provisional connection, not an outcome finding.</w:t>
      </w:r>
    </w:p>
    <w:p>
      <w:pPr>
        <w:pStyle w:val="SourceNote"/>
      </w:pPr>
      <w:r>
        <w:rPr>
          <w:b/>
        </w:rPr>
        <w:t>Available abstract (not full text):</w:t>
      </w:r>
      <w:r>
        <w:t xml:space="preserve"> The background of the fish preservation industry management training is that the fish preservation industry managers in the coastal areas of Ambon Island have not yet fully implemented good business management. The purpose of this community service is to increase the capacity of human resources for industry managers to have managerial competencies. The focus of the training is all activities to provide, obtain, improve, and develop managerial competencies. The activities are carried out in several stages, namely: (1) Situational analysis of the management of the fish preservation industry is carried out to determine steps for identifying needs; (2) The activity planning stage includes the preparation of a syllabus and activity schedule; (3) the training implementation stage is carried out in 2 sessions, namely the first session providing material, in the form of information about managerial competencies and the second session in the form of group discussions; (4) sustainability plans: business development and ongoing mentoring. This community service activity has succeeded in increasing managerial abilities and skills among fish preservation industry managers. The impact felt is increased self-confidence in doing business.</w:t>
      </w:r>
    </w:p>
    <w:p>
      <w:pPr/>
      <w:r>
        <w:rPr>
          <w:b/>
        </w:rPr>
        <w:t>POSSIBLE 2025:</w:t>
      </w:r>
      <w:r>
        <w:t xml:space="preserve"> Towards Artificial Intelligence in Construction Industry — https://doi.org/10.31675/1607-1859-2025-27-5-160-173</w:t>
      </w:r>
    </w:p>
    <w:p>
      <w:pPr/>
      <w:r>
        <w:rPr>
          <w:b/>
        </w:rPr>
        <w:t>Shared claim-specific concepts:</w:t>
      </w:r>
      <w:r>
        <w:t xml:space="preserve"> according, basic, industry, preservation, current, further; EU scope not established. This is a provisional connection, not an outcome finding.</w:t>
      </w:r>
    </w:p>
    <w:p>
      <w:pPr>
        <w:pStyle w:val="SourceNote"/>
      </w:pPr>
      <w:r>
        <w:rPr>
          <w:b/>
        </w:rPr>
        <w:t>Available abstract (not full text):</w:t>
      </w:r>
      <w:r>
        <w:t xml:space="preserve"> This paper analyzes the integration of artificial intelligence with current technologies. Possibilities and methods of integration with modern innovations are revealed in the paper according to the studied and analyzed information from scientific sources around the world. The result of integration and possibilities of further development are demonstrated. A detailed description is provided for disadvantages and advantages of applying innovative technologies with integrated artificial intelligence in the construction industry. This paper familiarizes both the scientific community and the civilian population with opportunities and development prospects of construction industry through the introduction of artificial intelligence technology. Relevance: the study of current and effective technologies that have proven themselves with a positive side in the construction industry. Analysis of their implementation and use in modern realities. Purpose: The aim of the paper is to study the currently demanded technologies in the world construction utilizing artificial intelligence, consider in detail the efficiency of its use in economy, preservation of ecology and natural resources, ensuring safe labor activity, the possibility of further modernization and development with the provision of both disadvantages and advantages. Methodology: A study of scientific literature, research papers, I</w:t>
      </w:r>
    </w:p>
    <w:p>
      <w:pPr/>
      <w:r>
        <w:rPr>
          <w:b/>
        </w:rPr>
        <w:t>POSSIBLE 2025:</w:t>
      </w:r>
      <w:r>
        <w:t xml:space="preserve"> Recent Advances in the Fabrication of Intelligent Packaging for Food Preservation: A Review — https://doi.org/10.3390/pr13020539</w:t>
      </w:r>
    </w:p>
    <w:p>
      <w:pPr/>
      <w:r>
        <w:rPr>
          <w:b/>
        </w:rPr>
        <w:t>Shared claim-specific concepts:</w:t>
      </w:r>
      <w:r>
        <w:t xml:space="preserve"> industry, preservation, current, trends; EU scope not established. This is a provisional connection, not an outcome finding.</w:t>
      </w:r>
    </w:p>
    <w:p>
      <w:pPr>
        <w:pStyle w:val="SourceNote"/>
      </w:pPr>
      <w:r>
        <w:rPr>
          <w:b/>
        </w:rPr>
        <w:t>Available abstract (not full text):</w:t>
      </w:r>
      <w:r>
        <w:t xml:space="preserve"> The advancement of intelligent packaging technologies has emerged as a pivotal innovation in the food industry, significantly enhancing food safety and preservation. This review explores the latest developments in the fabrication of intelligent packaging, with a focus on applications in food preservation. Intelligent packaging systems, which include sensors, indicators, and RFID technologies, offer the real-time monitoring of food quality and safety by detecting changes in environmental conditions and microbial activity. Innovations in nanotechnology, bio-based materials, and smart polymers have led to the development of eco-friendly and highly responsive packaging solutions. This review underscores the role of active and intelligent packaging components—such as oxygen scavengers, freshness indicators, and antimicrobial agents in extending shelf life and ensuring product integrity. Moreover, it highlights the transformative potential of intelligent packaging in food preservation through the examination of recent case studies. Finally, this review provides a comprehensive overview of current trends, challenges, and potential future directions in this rapidly evolving field.</w:t>
      </w:r>
    </w:p>
    <w:p>
      <w:pPr/>
      <w:r>
        <w:rPr>
          <w:b/>
        </w:rPr>
        <w:t>POSSIBLE 2025:</w:t>
      </w:r>
      <w:r>
        <w:t xml:space="preserve"> A Case Study of Decarbonization and the Dual-Carbon Strategy — https://doi.org/10.4236/jpee.2025.1312006</w:t>
      </w:r>
    </w:p>
    <w:p>
      <w:pPr/>
      <w:r>
        <w:rPr>
          <w:b/>
        </w:rPr>
        <w:t>Shared claim-specific concepts:</w:t>
      </w:r>
      <w:r>
        <w:t xml:space="preserve"> decarbonization, national, emissions, technological, world; EU scope not established. This is a provisional connection, not an outcome finding.</w:t>
      </w:r>
    </w:p>
    <w:p>
      <w:pPr>
        <w:pStyle w:val="SourceNote"/>
      </w:pPr>
      <w:r>
        <w:rPr>
          <w:b/>
        </w:rPr>
        <w:t>Available abstract (not full text):</w:t>
      </w:r>
      <w:r>
        <w:t xml:space="preserve"> Global decarbonization efforts form a critical mission in the fight against climate change. This article analyzes the foundational pillars underpinning the Chinese strategy to achieve its ambitious dual-carbon goals—peak emissions by 2030 and carbon neutrality by 2060. We argue that this transition is propelled by a synergistic framework of robust policy mandates, the rapid deployment of energy transition technologies, and the strategic development of a national carbon market. This study presents an analysis of how top-down policies, such as the 14th Five-Year Plan, catalyze an unprecedented shift toward renewable energy sources, primarily wind and solar, while driving innovation in energy storage and smart grid infrastructure. Concurrently, the establishment of the world’s largest emissions trading system (ETS) is examined as a crucial market-based mechanism designed to incentivize emission reductions across the power sector, with potential for future expansion. This article synthesizes the significant progress made to date, identifying key achievements and persistent challenges, such as energy security and industrial decarbonization. Finally, it offers a forward-looking perspective on the steps necessary to solidify these pillars, emphasizing the need for technological breakthroughs, deeper market reforms, and a just transition to ensure the long-term viability and global imp</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decarbonization, greenhouse, gas, emissions, economy, countries;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Modeling and Control of Electric Loads for Ancillary Services and Decarbonization — https://doi.org/10.7302/25608</w:t>
      </w:r>
    </w:p>
    <w:p>
      <w:pPr/>
      <w:r>
        <w:rPr>
          <w:b/>
        </w:rPr>
        <w:t>Shared claim-specific concepts:</w:t>
      </w:r>
      <w:r>
        <w:t xml:space="preserve"> according, decarbonization, industry, increase, developed; EU scope not established. This is a provisional connection, not an outcome finding.</w:t>
      </w:r>
    </w:p>
    <w:p>
      <w:pPr>
        <w:pStyle w:val="SourceNote"/>
      </w:pPr>
      <w:r>
        <w:rPr>
          <w:b/>
        </w:rPr>
        <w:t>Available abstract (not full text):</w:t>
      </w:r>
      <w:r>
        <w:t xml:space="preserve"> Towards decarbonizing power systems and achieving sustainability goals, traditional power plants, such as coal fired power plants, are being phased out and replaced with renewable generation alternatives. Historically, synchronous generators of traditional power plants provided much of the essential load balancing services required to match scheduled generation and demand, ensuring power system reliability. Hence, with the sunsetting of traditional generation, new sources of load balancing flexibility are needed. Furthermore, the inherent intermittent and variable nature of renewable generation typically requires an increase in the load balancing services needed. Aggregations of electric loads, such as thermostatically controlled loads (TCLs), hold substantial potential to offer this flexibility, given their thermal inertia and ubiquity. TCLs are an ubiquitous resource with inherent temporal flexibility that allows them cycle on/off and consume power in cycles. This flexibility can be leveraged for power system objectives. The abundance and spatial distribution of TCLs make them a prime and valuable candidate to provide flexibility to the power grid. This dissertation develops models and control algorithms for leveraging the flexibility of TCL resources and practically demonstrates the ancillary service and decarbonization potential of these loads. Building on established hiera</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decarbonization, industry, current, emissions, technological, countries;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pStyle w:val="Heading2"/>
      </w:pPr>
      <w:r>
        <w:t>513.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2026:</w:t>
      </w:r>
      <w:r>
        <w:t xml:space="preserve"> Bridging Borders in Pediatric Oncology: Cross-Regional Insights into Physical Exercise Program Perceptions in Europe, North Africa, and Arab Countries — https://doi.org/10.1055/s-0046-1824334</w:t>
      </w:r>
    </w:p>
    <w:p>
      <w:pPr/>
      <w:r>
        <w:rPr>
          <w:b/>
        </w:rPr>
        <w:t>Shared claim-specific concepts:</w:t>
      </w:r>
      <w:r>
        <w:t xml:space="preserve"> without, insights, beyond, outcomes; EU scope visible. This is a provisional connection, not an outcome finding.</w:t>
      </w:r>
    </w:p>
    <w:p>
      <w:pPr>
        <w:pStyle w:val="SourceNote"/>
      </w:pPr>
      <w:r>
        <w:rPr>
          <w:b/>
        </w:rPr>
        <w:t>Available abstract (not full text):</w:t>
      </w:r>
      <w:r>
        <w:t xml:space="preserve"> Abstract Structured physical exercise programs (PEPs) in pediatric oncology have shown benefits for physical, psychosocial, and cognitive outcomes, yet their integration into routine care varies globally. This study explores health care professionals' perceptions of PEPs across European, North African, and Arab pediatric oncology centers, comparing attitudes between centers with and without established programs, based on findings from an international survey. A validated, 14-item, multilanguage questionnaire was distributed to health care professionals involved in pediatric oncology care, including physicians, nurses, physiotherapists, and sport therapists. Responses from 575 professionals (367 European; 208 North African/Arab) were analyzed, comparing perceptions according to region, profession, and PEPs availability at their centers. Overall, 97% of respondents with PEPs experience and 91% without considered PEPs beneficial. Perceived benefits extended beyond endurance and strength to mood, self-esteem, and quality of life, particularly among those with prior PEP exposure. European centers without PEP prioritized physical rehabilitation, whereas North African/Arab centers emphasized psychosocial benefits. Significant differences emerged regarding timing, setting, and relationship to physiotherapy. Most favored integrating PEP into standard care, with stronger support among ex</w:t>
      </w:r>
    </w:p>
    <w:p>
      <w:pPr/>
      <w:r>
        <w:rPr>
          <w:b/>
        </w:rPr>
        <w:t>POSSIBLE 2025:</w:t>
      </w:r>
      <w:r>
        <w:t xml:space="preserve"> Can democratic innovations tackle social-ecological challenges? Gaining insights on transformative governance across European cases — https://doi.org/10.1007/s42532-025-00225-0</w:t>
      </w:r>
    </w:p>
    <w:p>
      <w:pPr/>
      <w:r>
        <w:rPr>
          <w:b/>
        </w:rPr>
        <w:t>Shared claim-specific concepts:</w:t>
      </w:r>
      <w:r>
        <w:t xml:space="preserve"> insights, framework, pursuit; EU scope visible. This is a provisional connection, not an outcome finding.</w:t>
      </w:r>
    </w:p>
    <w:p>
      <w:pPr>
        <w:pStyle w:val="SourceNote"/>
      </w:pPr>
      <w:r>
        <w:rPr>
          <w:b/>
        </w:rPr>
        <w:t>Available abstract (not full text):</w:t>
      </w:r>
      <w:r>
        <w:t xml:space="preserve"> Abstract In an era of democratic backsliding, the pursuit of sustainable development that addresses social-ecological challenges can become a daunting task. Participatory and deliberative practices have flourished over the last few decades, addressing, to varying extents, policy domains that can be understood within the framework of social-ecological governance and related challenges. By understanding these practices through the concept of democratic innovations (DIs), we critically examine the historical connections between practices implemented across Europe with a focus on social-ecological challenges. This work reveals the emerging potential for democratising policy and decision-making, particularly in the areas of climate action and social justice. Despite the potential of DIs for citizen engagement with social-ecological challenges, the evidence gathered so far indicates that the reproduction of social exclusion within DIs is a significant issue, reflecting barriers rooted in socio-economic cleavages and the myopia of political elites regarding long-term transformations. The capture and co-optation of DIs by powerful groups often reduces their potential to mere performative exercises that contribute little to creating inclusive settings. Therefore, while acknowledging the significant potential of DIs for social-ecological governance, we argue for the need to investigate t</w:t>
      </w:r>
    </w:p>
    <w:p>
      <w:pPr/>
      <w:r>
        <w:rPr>
          <w:b/>
        </w:rPr>
        <w:t>POSSIBLE 2025:</w:t>
      </w:r>
      <w:r>
        <w:t xml:space="preserve"> D-LAD - A FRAMEWORK FOR PROJECT-BASED DESIGN ASSESSMENT: EDUCATORS’ INSIGHTS — https://doi.org/10.35199/epde.2025.97</w:t>
      </w:r>
    </w:p>
    <w:p>
      <w:pPr/>
      <w:r>
        <w:rPr>
          <w:b/>
        </w:rPr>
        <w:t>Shared claim-specific concepts:</w:t>
      </w:r>
      <w:r>
        <w:t xml:space="preserve"> insights, assessment, framework, outcomes, value, technical; EU scope visible. This is a provisional connection, not an outcome finding.</w:t>
      </w:r>
    </w:p>
    <w:p>
      <w:pPr>
        <w:pStyle w:val="SourceNote"/>
      </w:pPr>
      <w:r>
        <w:rPr>
          <w:b/>
        </w:rPr>
        <w:t>Available abstract (not full text):</w:t>
      </w:r>
      <w:r>
        <w:t xml:space="preserve"> Through exploration of the literature on design project assessment themes, five dimensions were defined and presented as ‘lenses’ to help explore the challenges and variance in design project assessment. These were: Assessing Output v Process; Summative v Formative; Teacher-led v Student-led; Assessment of Learning v Assessment for/as Learning; and Individual v Team Assessment. These dimensions provide key considerations for design educators when re-designing existing or developing new modules and courses. Using the Lotus Blossom method, educators participated in sharing their insights on the dimensions, which then formed the basis of a workshop at the Design 2024 Conference in Dubrovnik, Croatia. Findings showed the variance in educational outcomes desired by industry project partners versus those emphasised in academia: industry project partners often value demonstrable technical proficiency and client-focused deliverables over process nuances (i.e. project knowledge); whilst most educators place higher importance on the iterative nature of design processes as a learning tool for students (i.e. process skills). Based on insights from the workshop, a framework was then developed as a means to review and potentially adjust assessment by adopting an emphasis on design knowledge, skills and products. It can also be used as an iterative feedback mechanism to balance industry expec</w:t>
      </w:r>
    </w:p>
    <w:p>
      <w:pPr/>
      <w:r>
        <w:rPr>
          <w:b/>
        </w:rPr>
        <w:t>POSSIBLE 2025:</w:t>
      </w:r>
      <w:r>
        <w:t xml:space="preserve"> INSIGHT: An integrated framework for safe and sustainable chemical and material assessment — https://doi.org/10.1016/j.csbj.2025.03.042</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The assessment of chemicals and materials has traditionally been fragmented, with health, environmental, social, and economic impacts evaluated independently. This disjointed approach limits the ability to capture trade-offs and synergies necessary for comprehensive decision-making under the Safe and Sustainable by Design (SSbD) framework. The EU INSIGHT project addresses this challenge by developing a novel computational framework for integrated impact assessment, based on the Impact Outcome Pathway (IOP) approach. Extending the Adverse Outcome Pathway (AOP) concept, IOPs establish mechanistic links between chemical and material properties and their environmental, health, and socio-economic consequences. The project integrates multi-source datasets (including omics, life cycle inventories, and exposure models) into a structured knowledge graph (KG), ensuring FAIR (Findable, Accessible, Interoperable, Reusable) data principles are met. INSIGHT is being developed and validated through four case studies targeting per- and polyfluoroalkyl substances (PFAS), graphene oxide (GO), bio-based synthetic amorphous silica (SAS), and antimicrobial coatings. These studies demonstrate how multi-model simulations, decision-support tools, and artificial intelligence-driven knowledge extraction can enhance the predictability and interpretability of chemical and material impacts. Additionally, I</w:t>
      </w:r>
    </w:p>
    <w:p>
      <w:pPr/>
      <w:r>
        <w:rPr>
          <w:b/>
        </w:rPr>
        <w:t>POSSIBLE 2025:</w:t>
      </w:r>
      <w:r>
        <w:t xml:space="preserve"> Shaping the Future of DHT Assessment: Insights on Industry Challenges, Developer Needs, and a Harmonized, European HTA Framework — https://doi.org/10.3390/jmahp13030046</w:t>
      </w:r>
    </w:p>
    <w:p>
      <w:pPr/>
      <w:r>
        <w:rPr>
          <w:b/>
        </w:rPr>
        <w:t>Shared claim-specific concepts:</w:t>
      </w:r>
      <w:r>
        <w:t xml:space="preserve"> insights, assessment, framework; EU scope visible. This is a provisional connection, not an outcome finding.</w:t>
      </w:r>
    </w:p>
    <w:p>
      <w:pPr>
        <w:pStyle w:val="SourceNote"/>
      </w:pPr>
      <w:r>
        <w:rPr>
          <w:b/>
        </w:rPr>
        <w:t>Available abstract (not full text):</w:t>
      </w:r>
      <w:r>
        <w:t xml:space="preserve"> Introduction: Market access, pricing, and reimbursement of digital health technologies (DHTs) in Europe are significantly challenged by regulatory fragmentation and various assessment methodologies. Understanding the challenges and priorities of technology developers is essential for developing effective and relevant policy responses. This study explores perceived barriers and developer-driven priorities to inform the development of a harmonized health technology assessment (HTA) framework under the EDiHTA project. Methods: A mixed-methods approach was adopted, including a scoping review to identify key challenges, a survey of 20 DHT developers, and interviews and focus groups with 29 industry representatives from startups to multinational companies across 10 European countries during 2024. Results: Key challenges included a lack of transparency in reimbursement processes, fragmented HTA requirements, and misalignment between traditional evidence models and the agile development of DHTs. Developers highlighted the need to integrate real-world evidence, consider usability and implementation factors, and provide structured, lifecycle-based guidance. Financial barriers and procedural burdens were particularly significant for small and medium-sized enterprises. Conclusions: These findings highlight the need for an HTA framework that reflects the iterative nature of digital developm</w:t>
      </w:r>
    </w:p>
    <w:p>
      <w:pPr/>
      <w:r>
        <w:rPr>
          <w:b/>
        </w:rPr>
        <w:t>POSSIBLE 2025:</w:t>
      </w:r>
      <w:r>
        <w:t xml:space="preserve"> Establishing assessment criteria for soil bioindicators: insights from case studies in Europe — https://doi.org/10.1016/j.ecolind.2025.114063</w:t>
      </w:r>
    </w:p>
    <w:p>
      <w:pPr/>
      <w:r>
        <w:rPr>
          <w:b/>
        </w:rPr>
        <w:t>Shared claim-specific concepts:</w:t>
      </w:r>
      <w:r>
        <w:t xml:space="preserve"> insights, assessment, find; EU scope visible. This is a provisional connection, not an outcome finding.</w:t>
      </w:r>
    </w:p>
    <w:p>
      <w:pPr>
        <w:pStyle w:val="SourceNote"/>
      </w:pPr>
      <w:r>
        <w:rPr>
          <w:b/>
        </w:rPr>
        <w:t>Available abstract (not full text):</w:t>
      </w:r>
      <w:r>
        <w:t xml:space="preserve"> The new EU Soil Strategy aims to restore soil health across Europe by 2050, requiring policy-relevant indicators with robust assessment criteria to control and monitor its achievement. Despite the importance of biological conditions for soil health, few EU Member States have currently established criteria (e.g., target or threshold values) for evaluation of monitoring data. Our study examines the challenges and opportunities in developing such criteria based on the normal operating ranges of bioindicators in the context of soil units (i.e., homogenous soil texture and land use). Leveraging on national case studies across Europe, we find that for most bioindicators criteria could not be defined, due to data insufficiency and environmental bias. Only in France could normal operating ranges be established for earthworms, for some soil units. We identify priorities for the development of robust assessment criteria: (1) Harmonization of evaluation units and definitions, to minimize disparities in current soil texture and land use classifications between Member States, that complicate comparability of evaluation across Europe; (2) Inclusion of climatic-region specific thresholds/targets in addition to land use and soil texture; and (3) Standardization of protocols to reduce the observed variability in methods for sampling and data aggregation. As a temporary solution to optimize moni</w:t>
      </w:r>
    </w:p>
    <w:p>
      <w:pPr/>
      <w:r>
        <w:rPr>
          <w:b/>
        </w:rPr>
        <w:t>POSSIBLE 2025:</w:t>
      </w:r>
      <w:r>
        <w:t xml:space="preserve"> Bioeconomy assessment and monitoring framework and description of dashboard — https://doi.org/10.5281/zenodo.19162107</w:t>
      </w:r>
    </w:p>
    <w:p>
      <w:pPr/>
      <w:r>
        <w:rPr>
          <w:b/>
        </w:rPr>
        <w:t>Shared claim-specific concepts:</w:t>
      </w:r>
      <w:r>
        <w:t xml:space="preserve"> without, insights, assessment, framework, outcomes, provides; EU scope visible. This is a provisional connection, not an outcome finding.</w:t>
      </w:r>
    </w:p>
    <w:p>
      <w:pPr>
        <w:pStyle w:val="SourceNote"/>
      </w:pPr>
      <w:r>
        <w:rPr>
          <w:b/>
        </w:rPr>
        <w:t>Available abstract (not full text):</w:t>
      </w:r>
      <w:r>
        <w:t xml:space="preserve"> The SUSTRACK project aims to accelerate the transition towards a sustainable, circular, and bio-based economy in Europe by identifying enabling conditions, addressing systemic barriers, and supporting evidence-based policymaking. Within this framework, WP2 focused on developing a robust approach to monitor the progress of the European bioeconomy through the SUSTRACK Bioeconomy Monitoring Framework and its operational implementation in the SUSTRACK Monitoring Tool. The bioeconomy plays a central role in achieving the EU’s long-term sustainability goals, notably climate neutrality by 2050, circular resource use, and the regeneration of ecosystems. Yet, monitoring progress remains a major challenge due to the fragmented and heterogeneous nature of existing data. The SUSTRACK monitoring framework was designed to complement the EU Bioeconomy Monitoring System (EU-BMS) by providing a more operational, user-friendly, and policy-relevant tool to benchmark national bioeconomy performance across EU Member States. The framework builds on the five societal objectives of the 2018 EU Bioeconomy Strategy, linking them conceptually to the Sustainable Development Goals (SDGs). This alignment ensures that the monitoring system not only tracks economic performance but also assesses environmental and social dimensions. Over 500 indicators were reviewed and classified according to sustainability pi</w:t>
      </w:r>
    </w:p>
    <w:p>
      <w:pPr>
        <w:pStyle w:val="Heading2"/>
      </w:pPr>
      <w:r>
        <w:t>514.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2026:</w:t>
      </w:r>
      <w:r>
        <w:t xml:space="preserve"> Feeling responsible, feeling better? The climate-happiness link across European Union — https://doi.org/10.71014/sieds.v80i2.563</w:t>
      </w:r>
    </w:p>
    <w:p>
      <w:pPr/>
      <w:r>
        <w:rPr>
          <w:b/>
        </w:rPr>
        <w:t>Shared claim-specific concepts:</w:t>
      </w:r>
      <w:r>
        <w:t xml:space="preserve"> one, pressing, issues, countries; EU scope visible. This is a provisional connection, not an outcome finding.</w:t>
      </w:r>
    </w:p>
    <w:p>
      <w:pPr>
        <w:pStyle w:val="SourceNote"/>
      </w:pPr>
      <w:r>
        <w:rPr>
          <w:b/>
        </w:rPr>
        <w:t>Available abstract (not full text):</w:t>
      </w:r>
      <w:r>
        <w:t xml:space="preserve"> Climate change is one of the most pressing environmental issues, and often cause citizzens’ anxiety. One such pressing concern is how citizens' sense of personal responsibility for climate change affects their overall life satisfaction. The current study examines this relationship using data from Round 11 (2023) of the European Social Survey (ESS). We examine the extent to which feeling personally responsible for mitigating climate change is associated with life satisfaction, controlling for a number of socio-demographic and attitudinal controls. These include age, gender, political orientation, country of residence, migrant status, whether one believes that climate change exists, how concerned one is about protecting the environment, how close one feels to Europe and one's country of origin, and trust in the European Parliament. The results suggest that individuals who identify more strongly with the task of tackling climate change, report more trust in European institutions, and reside in northern European Member States enjoy greater life satisfaction. Conversely, individuals - mainly from some Eastern and Southern European countries - who either express low identification with Europe or are apathetic about identifying with it are less satisfied.</w:t>
      </w:r>
    </w:p>
    <w:p>
      <w:pPr/>
      <w:r>
        <w:rPr>
          <w:b/>
        </w:rPr>
        <w:t>POSSIBLE 2025:</w:t>
      </w:r>
      <w:r>
        <w:t xml:space="preserve"> Health Disparities: The Emerging Trends and Pressing Challenges — https://doi.org/10.3390/books978-3-7258-3147-0</w:t>
      </w:r>
    </w:p>
    <w:p>
      <w:pPr/>
      <w:r>
        <w:rPr>
          <w:b/>
        </w:rPr>
        <w:t>Shared claim-specific concepts:</w:t>
      </w:r>
      <w:r>
        <w:t xml:space="preserve"> one, pressing, issues, dynamics; EU scope visible. This is a provisional connection, not an outcome finding.</w:t>
      </w:r>
    </w:p>
    <w:p>
      <w:pPr>
        <w:pStyle w:val="SourceNote"/>
      </w:pPr>
      <w:r>
        <w:rPr>
          <w:b/>
        </w:rPr>
        <w:t>Available abstract (not full text):</w:t>
      </w:r>
      <w:r>
        <w:t xml:space="preserve"> Health disparities represent one of the most pressing challenges in modern healthcare systems worldwide. Health disparities have a profound influence on communities and individuals, shaping their overall health, well-being, and social dynamics.These preventable differences in health outcomes, disease burden, and access to quality care continue to affect socially disadvantaged populations, perpetuating cycles of inequality and undermining the fundamental principle of health equity. As we delve deeper into the 21st century, the urgency to address these disparities has never been more apparent, with emerging trends highlighting both the persistence of long-standing issues and the rise of new challenges in our rapidly evolving global landscape.The European Journal of Investigation in Health, Psychology and Education has dedicated a Special Issue to the exploration of the critical topic of Health Disparities: The Emerging Trends and Pressing Challenges. This collection of research aims to shed light on the multifaceted nature of health disparities, their root causes, and potential solutions, bringing together insights from various disciplines to inform policy, practice, and future research directions.</w:t>
      </w:r>
    </w:p>
    <w:p>
      <w:pPr/>
      <w:r>
        <w:rPr>
          <w:b/>
        </w:rPr>
        <w:t>POSSIBLE 2025:</w:t>
      </w:r>
      <w:r>
        <w:t xml:space="preserve"> Safe access to asylum in Europe: revisiting the litmus test of refugee law — https://doi.org/10.59350/fluchtforschung.14630</w:t>
      </w:r>
    </w:p>
    <w:p>
      <w:pPr/>
      <w:r>
        <w:rPr>
          <w:b/>
        </w:rPr>
        <w:t>Shared claim-specific concepts:</w:t>
      </w:r>
      <w:r>
        <w:t xml:space="preserve"> one, pressing, issues, still; EU scope visible. This is a provisional connection, not an outcome finding.</w:t>
      </w:r>
    </w:p>
    <w:p>
      <w:pPr>
        <w:pStyle w:val="SourceNote"/>
      </w:pPr>
      <w:r>
        <w:rPr>
          <w:b/>
        </w:rPr>
        <w:t>Available abstract (not full text):</w:t>
      </w:r>
      <w:r>
        <w:t xml:space="preserve"> The question of safe and regulated entry for protection seekers into a state of refuge is still one of the most pressing issues of the asylum system in Europe.</w:t>
      </w:r>
    </w:p>
    <w:p>
      <w:pPr/>
      <w:r>
        <w:rPr>
          <w:b/>
        </w:rPr>
        <w:t>POSSIBLE 2025:</w:t>
      </w:r>
      <w:r>
        <w:t xml:space="preserve"> Islamic Lifestyle Applications: Meeting the Spiritual Needs of Modern Muslims — https://doi.org/10.1080/10447318.2025.2595545</w:t>
      </w:r>
    </w:p>
    <w:p>
      <w:pPr/>
      <w:r>
        <w:rPr>
          <w:b/>
        </w:rPr>
        <w:t>Shared claim-specific concepts:</w:t>
      </w:r>
      <w:r>
        <w:t xml:space="preserve"> meeting, needs, assess; EU scope not established. This is a provisional connection, not an outcome finding.</w:t>
      </w:r>
    </w:p>
    <w:p>
      <w:pPr>
        <w:pStyle w:val="SourceNote"/>
      </w:pPr>
      <w:r>
        <w:rPr>
          <w:b/>
        </w:rPr>
        <w:t>Available abstract (not full text):</w:t>
      </w:r>
      <w:r>
        <w:t xml:space="preserve"> We evaluated contemporary Islamic lifestyle applications supporting religious practices and motivation among Muslims. We reviewed 11 popular applications using self-determination theory and the technology-as-experience framework to assess their support for motivation and affective needs. Most applications lack features that foster autonomy, competence, and relatedness. We also interviewed ten devoted Muslim application users to gain insights into their experiences and unmet needs. Our findings indicate that existing applications fall short in providing comprehensive learning, social connections, and scholar consultations. We propose design implications based on our results, including spiritual empowerment through technology, designing for intrinsic motivation, culturally grounded design and community engagement. We aim to inform the design of Islamic lifestyle applications that better facilitate ritual practices, benefitting application designers and Muslim communities. Our research provides valuable insights into the untapped potential for lifestyle applications to act as religious companions supporting Muslims’ spiritual journey.</w:t>
      </w:r>
    </w:p>
    <w:p>
      <w:pPr/>
      <w:r>
        <w:rPr>
          <w:b/>
        </w:rPr>
        <w:t>POSSIBLE 2025:</w:t>
      </w:r>
      <w:r>
        <w:t xml:space="preserve"> Defining informal caregivers by their characteristics safety roles and training needs in Europe — https://doi.org/10.1038/s41598-025-08540-y</w:t>
      </w:r>
    </w:p>
    <w:p>
      <w:pPr/>
      <w:r>
        <w:rPr>
          <w:b/>
        </w:rPr>
        <w:t>Shared claim-specific concepts:</w:t>
      </w:r>
      <w:r>
        <w:t xml:space="preserve"> needs, resources, countries, dynamics; EU scope visible. This is a provisional connection, not an outcome finding.</w:t>
      </w:r>
    </w:p>
    <w:p>
      <w:pPr>
        <w:pStyle w:val="SourceNote"/>
      </w:pPr>
      <w:r>
        <w:rPr>
          <w:b/>
        </w:rPr>
        <w:t>Available abstract (not full text):</w:t>
      </w:r>
      <w:r>
        <w:t xml:space="preserve"> This research re-examines and broadens the conceptualization of patient safety in home care setting through experts' perspective, and recent changes in the profiles of informal caregivers across Europe and explores their role in the dynamics of the evolving care economy. It assesses their contributions to home care, their impact on care quality, and their essential role in ensuring care recipient safety. A qualitative study using the consensus conference technique involving sixty-one experts from diverse healthcare and academic institutions across multiple European countries who participated in a two-day conference. The discussions focused on highlighting the characteristics of informal caregivers and identifying critical challenges in home care, recognition and reducing human errors in home care. Eligibility for participation required membership in the BetterCare consortium and expertise in patient safety. This study emphasizes the critical role of informal caregivers in Europe, updates their definition, and examines their contribution to care recipient safety in the home care setting. This finding underscores the urgent need for policymakers and healthcare institutions to support caregivers by providing education and resources to prevent errors and enhance care quality, ultimately improving outcomes for care recipients.</w:t>
      </w:r>
    </w:p>
    <w:p>
      <w:pPr/>
      <w:r>
        <w:rPr>
          <w:b/>
        </w:rPr>
        <w:t>POSSIBLE 2025:</w:t>
      </w:r>
      <w:r>
        <w:t xml:space="preserve"> Towards meeting futures’ educational needs: a case study of CERN IdeaSquare planet — https://doi.org/10.1080/2331186x.2025.2542398</w:t>
      </w:r>
    </w:p>
    <w:p>
      <w:pPr/>
      <w:r>
        <w:rPr>
          <w:b/>
        </w:rPr>
        <w:t>Shared claim-specific concepts:</w:t>
      </w:r>
      <w:r>
        <w:t xml:space="preserve"> meeting, needs, innovation; EU scope not established. This is a provisional connection, not an outcome finding.</w:t>
      </w:r>
    </w:p>
    <w:p>
      <w:pPr>
        <w:pStyle w:val="SourceNote"/>
      </w:pPr>
      <w:r>
        <w:rPr>
          <w:b/>
        </w:rPr>
        <w:t>Available abstract (not full text):</w:t>
      </w:r>
      <w:r>
        <w:t xml:space="preserve"> With the future being increasingly perceived as uncertain, education must develop skills to foster sustainability and responsibility in unpredictable circumstances. This study explores how CERN IdeaSquare Planet (I2P), an innovative educational program at the intersection of innovation and transformative futures education, works towards meeting this need. I2P teaches key skills such as transformative thinking, openness to alternatives, and comfort with uncertainty, while also addressing the largely unexplored impact of futures exercises on present behavior. For explorative study of the impacts of I2P on these skills, we study three pilot program runs. We employ both thematic analysis of reflection text data from participants and facilitators, and ethnographic participant observation as methodologies. Findings suggest that I2P develops essential futures skills such as openness to alternative futures, managing uncertainty and complexity, and self-organized transdisciplinary teamwork. However, while openness to alternatives increased, participants ultimately gravitated towards adopting presently dominant future narratives like techno-optimism, limiting the consideration of fully transformative futures imaginaries. This study provides practical insights for educators interested in implementing similar methodologies for transformative innovation education, raises new questions for f</w:t>
      </w:r>
    </w:p>
    <w:p>
      <w:pPr/>
      <w:r>
        <w:rPr>
          <w:b/>
        </w:rPr>
        <w:t>POSSIBLE 2025:</w:t>
      </w:r>
      <w:r>
        <w:t xml:space="preserve"> Perspectives of Russian Language Educators on Meeting the Needs of Heritage and L2 Learners in Mixed Classes — https://doi.org/10.70163/2831-9737.1516</w:t>
      </w:r>
    </w:p>
    <w:p>
      <w:pPr/>
      <w:r>
        <w:rPr>
          <w:b/>
        </w:rPr>
        <w:t>Shared claim-specific concepts:</w:t>
      </w:r>
      <w:r>
        <w:t xml:space="preserve"> meeting, needs; EU scope not established. This is a provisional connection, not an outcome finding.</w:t>
      </w:r>
    </w:p>
    <w:p>
      <w:pPr>
        <w:pStyle w:val="SourceNote"/>
      </w:pPr>
      <w:r>
        <w:rPr>
          <w:b/>
        </w:rPr>
        <w:t>Available abstract (not full text):</w:t>
      </w:r>
      <w:r>
        <w:t xml:space="preserve"> In less commonly taught languages, such as Russian, heritage and non-heritage learners often share the same classes. Teachers in these settings must differentiate instruction to meet the diverse needs of their students. Online teaching adds an additional layer of complexity that instructors must address in their course design. This qualitative study explores the perspectives of 12 Russian language educators, working across various educational settings, on the language learning needs of heritage and non-heritage learners in mixed classes. It examines how these teachers adapt their instruction to support their students and meet the demands of different teaching modalities. The study also illuminates Russian language educators’ perspectives on effective professional development sessions in support of their work with linguistically diverse learners.</w:t>
      </w:r>
    </w:p>
    <w:p>
      <w:pPr>
        <w:pStyle w:val="Heading2"/>
      </w:pPr>
      <w:r>
        <w:t>515.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2026:</w:t>
      </w:r>
      <w:r>
        <w:t xml:space="preserve"> Climate anxiety among nursing students: a scoping review — https://doi.org/10.1186/s12912-026-04656-2</w:t>
      </w:r>
    </w:p>
    <w:p>
      <w:pPr/>
      <w:r>
        <w:rPr>
          <w:b/>
        </w:rPr>
        <w:t>Shared claim-specific concepts:</w:t>
      </w:r>
      <w:r>
        <w:t xml:space="preserve"> thirteen, climate, including, uncertainty; EU scope not established. This is a provisional connection, not an outcome finding.</w:t>
      </w:r>
    </w:p>
    <w:p>
      <w:pPr>
        <w:pStyle w:val="SourceNote"/>
      </w:pPr>
      <w:r>
        <w:rPr>
          <w:b/>
        </w:rPr>
        <w:t>Available abstract (not full text):</w:t>
      </w:r>
      <w:r>
        <w:t xml:space="preserve"> BACKGROUND: Climate change is a critical 21st-century global challenge affecting the environment, public health, and social well-being. Climate anxiety is increasingly prevalent among nursing students, who bear a dual burden of personal psychological stress and professional responsibility for addressing climate-related health consequences. However, synthesized evidence on this topic remains limited. AIMS: To comprehensively map the assessment tools, influencing factors, and intervention strategies related to climate anxiety among nursing students, identify key knowledge gaps, and provide evidence-based recommendations for future research and nursing education. DESIGN: Scoping review conducted following the Arksey and O’Malley framework and reported in accordance with the PRISMA extension for Scoping Reviews (PRISMA-ScR) 2020 guidelines. DATA SOURCES: Seven major electronic databases (PubMed, Cochrane Library, Embase, CINAHL, Web of Science Core Collection, Scopus, and Medline) were searched from database inception to March 1, 2026. METHODS: Literature was screened based on the PCC (Population, Concept, Context) framework, followed by rigorous two-stage independent screening and standardized data charting by two reviewers. RESULTS: Thirteen studies involving a total of 5,096 nursing students were included. All studies were published between 2024 and 2025, with the majority condu</w:t>
      </w:r>
    </w:p>
    <w:p>
      <w:pPr/>
      <w:r>
        <w:rPr>
          <w:b/>
        </w:rPr>
        <w:t>POSSIBLE 2026:</w:t>
      </w:r>
      <w:r>
        <w:t xml:space="preserve"> Unraveling European electricity price volatility: The impact of renewables — https://doi.org/10.1016/j.esr.2026.102144</w:t>
      </w:r>
    </w:p>
    <w:p>
      <w:pPr/>
      <w:r>
        <w:rPr>
          <w:b/>
        </w:rPr>
        <w:t>Shared claim-specific concepts:</w:t>
      </w:r>
      <w:r>
        <w:t xml:space="preserve"> thirteen, climate, including; EU scope visible. This is a provisional connection, not an outcome finding.</w:t>
      </w:r>
    </w:p>
    <w:p>
      <w:pPr>
        <w:pStyle w:val="SourceNote"/>
      </w:pPr>
      <w:r>
        <w:rPr>
          <w:b/>
        </w:rPr>
        <w:t>Available abstract (not full text):</w:t>
      </w:r>
      <w:r>
        <w:t xml:space="preserve"> The transition from fossil fuels to renewable, carbon-free energy is a critical challenge for mitigating climate change, with different European countries adopting diverse approaches to integrating renewable energy sources into their energy systems. Hereby, the intermittent nature and variability of renewable energy generation lead to significant challenges to electricity markets, amplifying supply volatility and market instability. This study examines the determinants of electricity price volatility in European wholesale markets, focusing on the impact of renewable energy sources as well as the influence of fuel prices and electricity demand. Using daily data from thirteen European electricity markets for the period 2015 to 2023, we account for the dynamic development of the energy system and volatile market condition, including the recent shocks induced by the Russia–Ukraine war. By employing country-specific and panel regression models, the findings reveal that conventional power sources, such as nuclear and coal, tend to stabilize electricity markets. In contrast, a higher share of solar power is associated with increased risk. Wind power exhibits mixed effects, with stabilizing impacts in most markets and volatility-enhancing tendencies in Spain, highlighting the role of market-specific dynamics. Additionally, total electricity load as well as the Russia-Ukraine war emerge</w:t>
      </w:r>
    </w:p>
    <w:p>
      <w:pPr/>
      <w:r>
        <w:rPr>
          <w:b/>
        </w:rPr>
        <w:t>POSSIBLE 2026:</w:t>
      </w:r>
      <w:r>
        <w:t xml:space="preserve"> Cultivar-by-environment interactions shape strawberry fruit quality: A multi-omics approach across European climates — https://doi.org/10.1016/j.foodchem.2026.148161</w:t>
      </w:r>
    </w:p>
    <w:p>
      <w:pPr/>
      <w:r>
        <w:rPr>
          <w:b/>
        </w:rPr>
        <w:t>Shared claim-specific concepts:</w:t>
      </w:r>
      <w:r>
        <w:t xml:space="preserve"> including, five, over; EU scope visible. This is a provisional connection, not an outcome finding.</w:t>
      </w:r>
    </w:p>
    <w:p>
      <w:pPr>
        <w:pStyle w:val="SourceNote"/>
      </w:pPr>
      <w:r>
        <w:rPr>
          <w:b/>
        </w:rPr>
        <w:t>Available abstract (not full text):</w:t>
      </w:r>
      <w:r>
        <w:t xml:space="preserve"> Flavour inconsistency in Fragaria x ananassa remains a challenge, largely due to historical breeding focused on yield over sensory traits. Flavour results from organoleptic and bioactive compounds shaped by cultivar (G), environment (E) and their interaction (GxE). Four strawberry cultivars (Clery, Frida, Gariguette, Sonata) were evaluated across five European environments employing an integrative approach combining metabolomics and transcriptomics. This approach revealed elevated temperatures accelerate the start of the harvest season and shorten fruit development duration. GxE interactions critically influenced flavour compounds accumulation, indicating cooler temperatures during fruit development favor the accumulation of sugars and ɣ-decalactone. Integrative analysis identified cultivar-specific and environmentally stable transcriptional patterns, including promising candidate genes involved in the biosynthesis and degradation of flavour relevant compounds, and revealing starting points for strawberry flavour improvement and stabilization. Our findings highlight the central role of GxE interactions in shaping strawberry flavour profile and emphasize the need for multi-environment trials to support resilient flavour enhancement in future breeding programs. • GxE interactions drive 17.8% of strawberry's flavour metabolome. • Multi-omics pinpoints cultivar-specific genes for s</w:t>
      </w:r>
    </w:p>
    <w:p>
      <w:pPr/>
      <w:r>
        <w:rPr>
          <w:b/>
        </w:rPr>
        <w:t>POSSIBLE 2026:</w:t>
      </w:r>
      <w:r>
        <w:t xml:space="preserve"> Phenotypic plasticity evolved for climate variability constrains performance under climate warming — https://doi.org/10.64898/2026.03.15.711905</w:t>
      </w:r>
    </w:p>
    <w:p>
      <w:pPr/>
      <w:r>
        <w:rPr>
          <w:b/>
        </w:rPr>
        <w:t>Shared claim-specific concepts:</w:t>
      </w:r>
      <w:r>
        <w:t xml:space="preserve"> thirteen, climate, including; EU scope not established. This is a provisional connection, not an outcome finding.</w:t>
      </w:r>
    </w:p>
    <w:p>
      <w:pPr>
        <w:pStyle w:val="SourceNote"/>
      </w:pPr>
      <w:r>
        <w:rPr>
          <w:b/>
        </w:rPr>
        <w:t>Available abstract (not full text):</w:t>
      </w:r>
      <w:r>
        <w:t xml:space="preserve"> Abstract Phenotypic plasticity allows plants to rapidly respond to changing environments without the need for evolutionary change or migration. While selection can create variation in plasticity across natural populations, these responses are not adaptive in all environments. To predict whether plasticity will be adaptive requires evaluation of its fitness effects across a range of environments, including novel ones. Here, we test how traits and their plasticity vary for genotypes collected across a natural hybrid zone between two tree species with contrasting climatic niches. Fast-growing Populus trichocarpa inhabits maritime environments with relatively warm and stable temperatures, while P. balsamifera inhabits continental environments with cold winters and large temperature variance throughout the year. We planted 44 clonally replicated genotypes into thirteen common gardens and measured vegetative phenology, leaf morphology, stomata morphology and conductance, and photochemistry. Overall, genotypes from colder, more continental environments exhibited higher plasticity. P. balsamifera ancestry was associated with increased plasticity in timing of fall phenology, stomatal conductance, and leaf mass per unit area. We assessed the effects of trait plasticity on fitness estimated as yearly growth across common gardens and found that the plasticity-fitness relationship was often</w:t>
      </w:r>
    </w:p>
    <w:p>
      <w:pPr/>
      <w:r>
        <w:rPr>
          <w:b/>
        </w:rPr>
        <w:t>POSSIBLE 2026:</w:t>
      </w:r>
      <w:r>
        <w:t xml:space="preserve"> Regional priorities in implementing forestation and wind energy as climate solutions in facing their trade-offs — https://doi.org/10.1038/s41467-026-71674-8</w:t>
      </w:r>
    </w:p>
    <w:p>
      <w:pPr/>
      <w:r>
        <w:rPr>
          <w:b/>
        </w:rPr>
        <w:t>Shared claim-specific concepts:</w:t>
      </w:r>
      <w:r>
        <w:t xml:space="preserve"> climate, regional; EU scope visible. This is a provisional connection, not an outcome finding.</w:t>
      </w:r>
    </w:p>
    <w:p>
      <w:pPr>
        <w:pStyle w:val="SourceNote"/>
      </w:pPr>
      <w:r>
        <w:rPr>
          <w:b/>
        </w:rPr>
        <w:t>Available abstract (not full text):</w:t>
      </w:r>
      <w:r>
        <w:t xml:space="preserve"> Both forestation and wind-energy upscaling are crucial climate solutions, but they may have conflicts as forestation can increase surface roughness and reduce wind speed. Here, based on coupled land-atmosphere simulations with contrasting forest areas, we report a notable trade-off between wind energy and carbon sequestration across a range of potential forestation areas. A maximum global forestation area of 1508 Mha is estimated to enable a biomass carbon sequestration of 90.7 GtC but also contribute to a 19.5% reduction in global onshore wind energy technical potential. The strength of such carbon-energy trade-offs, however, differs among different regions. Tropics could provide large forestation-induced carbon sequestration but have a small loss in wind energy potential. Large-scale forestation in Europe and US mainland may diminish not only wind energy potential but also energy generation of their current wind installations. Our results highlight the importance of maximizing the collective benefits of potentially competing climate solutions. Forestation creates a climate trade-off between carbon uptake and wind energy. This study reveals forestation has high carbon sequestration potential with lower wind energy loss in tropical regions but has high wind energy loss in Europe and the US.</w:t>
      </w:r>
    </w:p>
    <w:p>
      <w:pPr/>
      <w:r>
        <w:rPr>
          <w:b/>
        </w:rPr>
        <w:t>POSSIBLE 2025:</w:t>
      </w:r>
      <w:r>
        <w:t xml:space="preserve"> Climate advisory committees in European climate governance: Expertise, representation and co‐production — https://doi.org/10.1111/reel.70019</w:t>
      </w:r>
    </w:p>
    <w:p>
      <w:pPr/>
      <w:r>
        <w:rPr>
          <w:b/>
        </w:rPr>
        <w:t>Shared claim-specific concepts:</w:t>
      </w:r>
      <w:r>
        <w:t xml:space="preserve"> climate, including, substantial; EU scope visible. This is a provisional connection, not an outcome finding.</w:t>
      </w:r>
    </w:p>
    <w:p>
      <w:pPr>
        <w:pStyle w:val="SourceNote"/>
      </w:pPr>
      <w:r>
        <w:rPr>
          <w:b/>
        </w:rPr>
        <w:t>Available abstract (not full text):</w:t>
      </w:r>
      <w:r>
        <w:t xml:space="preserve"> Abstract This article examines the institutional design and statutory mandates of Climate Advisory Committees (CACs) in Denmark, Finland, Germany and the United Kingdom through comparative legal analysis. The CACs share the common feature of operating as boundary institutions mediating between scientific knowledge and policy implementation, with implications for climate governance. Through analysis of primary legal documents, official publications and governmental responses, the article demonstrates that CACs consistently encounter difficulties translating scientific advice into substantial policy change when recommendations conflict with economic interests embedded in legal frameworks. Despite variations in institutional design—including different appointment processes, mandate scope, and legal foundations—all four CACs face similar implementation challenges in sectors such as agriculture, forestry, aviation and transport. The article argues that these systematic constraints indicate limitations in current approaches to expert climate advice, as legal frameworks actively prioritise economic values while marginalising ecological and intergenerational considerations. The findings suggest that effective climate governance requires institutional innovations that address the underlying legal constitution of values rather than relying solely on improved scientific expertise or insti</w:t>
      </w:r>
    </w:p>
    <w:p>
      <w:pPr>
        <w:pStyle w:val="Heading2"/>
      </w:pPr>
      <w:r>
        <w:t>516.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Energy policy planning and implementation for environmental protection in Bosnia and Herzegovina — https://doi.org/10.5937/0drraz2602007s</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 The primary objective of the research is to identify the causes of the discrepancy between an ambitious regulatory framework, aligned with European Union standards, and the limited results achieved in practice. 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 The findings show that maintaining low electricity tariffs and a strong reliance on coal, despite significant renewable energy potential, make Bosnia and Herzegovina vulnerable to emerging market mechanisms such as the Carbon Border Adjustment Mechanism (CBAM). It is concluded that energy policy must become an integral part of national security and public health in order to ensure long-term economic sustainability and environmental stability.</w:t>
      </w:r>
    </w:p>
    <w:p>
      <w:pPr/>
      <w:r>
        <w:rPr>
          <w:b/>
        </w:rPr>
        <w:t>POSSIBLE 2026:</w:t>
      </w:r>
      <w:r>
        <w:t xml:space="preserve"> Planning and Implementation of Energy Policies in the Function of Environmental Protection in Bosnia and Herzegovina — https://doi.org/10.18485/ecologica.2026.33.122.4</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decarbonization.The primary objective of the research is to identify the causes of the discrepancy between an ambitious regulatory framework, aligned with European Union standards, and the limited results achieved in practice.Through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transition.The findings show that maintaining low electricity tariffs and a strong reliance on coal, despite significant renewable energy potential, make Bosnia and Herzegovina vulnerable to emerging market mechanisms such as the Carbon Border Adjustment Mechanism (CBAM).It is concluded that energy policy must become an integral part of national security and public health in order to ensure long-term economic sustainability and environmental stability.</w:t>
      </w:r>
    </w:p>
    <w:p>
      <w:pPr/>
      <w:r>
        <w:rPr>
          <w:b/>
        </w:rPr>
        <w:t>POSSIBLE 2026:</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Shared claim-specific concepts:</w:t>
      </w:r>
      <w:r>
        <w:t xml:space="preserve"> environmental, protection, objectives; EU scope visible. This is a provisional connection, not an outcome finding.</w:t>
      </w:r>
    </w:p>
    <w:p>
      <w:pPr>
        <w:pStyle w:val="SourceNote"/>
      </w:pPr>
      <w:r>
        <w:rPr>
          <w:b/>
        </w:rPr>
        <w:t>Available abstract (not full text):</w:t>
      </w:r>
      <w:r>
        <w:t xml:space="preserve"> This paper is a literature review, which explores the liberalization of the EU energy market, with a focus on its impact on consumer welfare, environmental protection, and the role of the Court of Justice of the European Union (hereinafter CJEU) in shaping energy policy. The study examines the historical evolution of energy liberalization, including the significant legal frameworks and policies that have shaped the EU’s energy sector. The analysis reveals the complex interplay between market liberalization, environmental sustainability, and competition, highlighting the challenges of balancing these competing objectives. The impact of some CJEU rulings, particularly in the context of competition law and state aid, is explored to illustrate how EU institutions have navigated tensions between cost reduction, market efficiency, and environmental protection. Furthermore, the paper discusses enforcement and compliance issues, noting that while EU competition policy has contributed to market development, there remain significant challenges in ensuring consistent application of environmental standards. The conclusion reflects on the ongoing difficulty of achieving an optimal balance between consumer benefits and environmental goals in an increasingly complex geopolitical and regulatory landscape.</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environmental, protection, quality, environment, objectives, climate;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2025:</w:t>
      </w:r>
      <w:r>
        <w:t xml:space="preserve"> ENVIRONMENTAL PROTECTION GOALS AND SCOPE OF POLICIES IN THE EUROPEAN UNION BY 2030 — https://doi.org/10.46793/semsie25.159pr</w:t>
      </w:r>
    </w:p>
    <w:p>
      <w:pPr/>
      <w:r>
        <w:rPr>
          <w:b/>
        </w:rPr>
        <w:t>Shared claim-specific concepts:</w:t>
      </w:r>
      <w:r>
        <w:t xml:space="preserve"> environmental, protection, fully; EU scope visible. This is a provisional connection, not an outcome finding.</w:t>
      </w:r>
    </w:p>
    <w:p>
      <w:pPr>
        <w:pStyle w:val="SourceNote"/>
      </w:pPr>
      <w:r>
        <w:rPr>
          <w:b/>
        </w:rPr>
        <w:t>Available abstract (not full text):</w:t>
      </w:r>
      <w:r>
        <w:t xml:space="preserve"> Environmental protection is one of the key focuses of the European Union’s activities, operating at various levels – from policy and legislation to financial investments. The European Green Deal, the EU’s main environmental policy plan, aims for Europe to become the first climate-neutral continent by 2050. This involves reducing carbon dioxide emissions, transitioning to renewable energy sources, investing in green technology, strengthening environmental legislation, and more. The Eighth Environmental Action Program, adopted in alignment with the European Green Deal, provides the framework for EU environmental policy until 2030. It sets the priority goals for environmental protection until 2030 and the conditions necessary for their achievement. At the same time, it forms the basis for the European Union’s contribution to achieving the United Nations Agenda for 2030 and its sustainable development goals. This paper analyzes six priority goals of the Eighth Environmental Action Program and the progress made toward achieving them, monitored through 26 indicators. The research results indicate that the European Union has successfully achieved some goals, but there are goals that require significantly greater efforts and resources to be fully realized.</w:t>
      </w:r>
    </w:p>
    <w:p>
      <w:pPr>
        <w:pStyle w:val="Heading2"/>
      </w:pPr>
      <w:r>
        <w:t>517.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member, states, population;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The Geography of Future Human Capital in Europe: Regional Dynamics of Education and Aging — https://openalex.org/W7167558995</w:t>
      </w:r>
    </w:p>
    <w:p>
      <w:pPr/>
      <w:r>
        <w:rPr>
          <w:b/>
        </w:rPr>
        <w:t>Shared claim-specific concepts:</w:t>
      </w:r>
      <w:r>
        <w:t xml:space="preserve"> projections, population, size, young, rise, elderly; EU scope visible. This is a provisional connection, not an outcome finding.</w:t>
      </w:r>
    </w:p>
    <w:p>
      <w:pPr>
        <w:pStyle w:val="SourceNote"/>
      </w:pPr>
      <w:r>
        <w:rPr>
          <w:b/>
        </w:rPr>
        <w:t>Available abstract (not full text):</w:t>
      </w:r>
      <w:r>
        <w:t xml:space="preserve"> The study of human capital formation and accumulation at the subnational level, including in the European context, has remained largely confined to historical and descriptive analyses rather than forward-looking projections. Spatially explicit projections of human capital, understood as the joint product of demographic structure (age and sex composition) and educational attainment, thus remain largely unavailable. This paper addresses this gap by developing a Bayesian time series model to project educational attainment across European NUTS-2 regions under the five Shared Socioeconomic Pathways (SSPs). The model works in log-return space, leverages the compositional nature of educational attainment distributions, and combines Bayesian uncertainty quantification with Iterative Proportional Fitting to ensure consistency with national SSP projections and regional demographic structures. The resulting dataset covers 215 NUTS-2 regions across 21 European countries, including three adult age groups from age 25 onwards and three education categories, spanning 2025 to 2100. The projections show a widespread yet heterogeneous increase in tertiary educational attainment, confirming convergence trends noted in existing literature, while the model also reveals that educational expansion unfolds at markedly different paces across regions, including within the same country, and a consistent f</w:t>
      </w:r>
    </w:p>
    <w:p>
      <w:pPr/>
      <w:r>
        <w:rPr>
          <w:b/>
        </w:rPr>
        <w:t>POSSIBLE 2025:</w:t>
      </w:r>
      <w:r>
        <w:t xml:space="preserve"> Prevalence of Glaucoma in Europe and Projections to 2050 — https://doi.org/10.1016/j.ophtha.2025.06.002</w:t>
      </w:r>
    </w:p>
    <w:p>
      <w:pPr/>
      <w:r>
        <w:rPr>
          <w:b/>
        </w:rPr>
        <w:t>Shared claim-specific concepts:</w:t>
      </w:r>
      <w:r>
        <w:t xml:space="preserve"> projections, population, people, assess;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High-resolution income projections over the 21st century in Europe consistent with the Shared Socioeconomic Pathways — https://doi.org/10.1088/1748-9326/adcb53</w:t>
      </w:r>
    </w:p>
    <w:p>
      <w:pPr/>
      <w:r>
        <w:rPr>
          <w:b/>
        </w:rPr>
        <w:t>Shared claim-specific concepts:</w:t>
      </w:r>
      <w:r>
        <w:t xml:space="preserve"> projections, population, people; EU scope visible. This is a provisional connection, not an outcome finding.</w:t>
      </w:r>
    </w:p>
    <w:p>
      <w:pPr>
        <w:pStyle w:val="SourceNote"/>
      </w:pPr>
      <w:r>
        <w:rPr>
          <w:b/>
        </w:rPr>
        <w:t>Available abstract (not full text):</w:t>
      </w:r>
      <w:r>
        <w:t xml:space="preserve"> Abstract Climate risk in Europe is unevenly distributed among the population and is projected to increase substantially over the 21st century due to evolving climatic and socioeconomic conditions. Projections of vulnerability drivers, such as income distribution, are needed for assessing future climate risk. In Europe, existing studies typically rely on inadequate proxies, such as gross domestic product per capita, to account for future vulnerability associated with income levels. This study presents a novel top–down iterative methodology to produce decadal, high-resolution (1 km) maps of disposable income across Europe for the 21st century consistent with the Shared Socioeconomic Pathways (SSPs). More specifically, our method aligns with SSP narratives on future economic growth, income distribution, population dynamics and settlement expansion. We illustrate two possible applications of these projections by analysing future shifts in income distribution and estimating the evolution of the number of people at risk of poverty across different development pathways. In highly unequal pathways (SSP3 and SSP4), poverty levels across Europe are projected to increase significantly, with over 30% of the population at risk of poverty by 2100. On the other hand, pathways with high economic growth, specifically SSP1 and SSP5, result in a decrease in poverty rates. This dataset can serve a</w:t>
      </w:r>
    </w:p>
    <w:p>
      <w:pPr>
        <w:pStyle w:val="Heading2"/>
      </w:pPr>
      <w:r>
        <w:t>518.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2026:</w:t>
      </w:r>
      <w:r>
        <w:t xml:space="preserve"> Evidence Based Education in Europe: A Comparative Study — https://doi.org/10.5281/zenodo.23238746</w:t>
      </w:r>
    </w:p>
    <w:p>
      <w:pPr/>
      <w:r>
        <w:rPr>
          <w:b/>
        </w:rPr>
        <w:t>Shared claim-specific concepts:</w:t>
      </w:r>
      <w:r>
        <w:t xml:space="preserve"> based, yet, out, become; EU scope visible. This is a provisional connection, not an outcome finding.</w:t>
      </w:r>
    </w:p>
    <w:p>
      <w:pPr>
        <w:pStyle w:val="SourceNote"/>
      </w:pPr>
      <w:r>
        <w:rPr>
          <w:b/>
        </w:rPr>
        <w:t>Available abstract (not full text):</w:t>
      </w:r>
      <w:r>
        <w:t xml:space="preserve"> Evidence-based education (EBE), the systematic integration of the best available research evidence with into teaching practice, has become a defining, and contested, theme in education policy and practice. Its institutional foundations are most developed in the Anglosphere, notably in England and the United States, yet little is known about how far comparable practices, infrastructures and cultures have emerged across Europe. This report presents a comparative study of EBE in Europe, conducted as part of the LEARN project. Part 1 sets out the conceptual framing, distinguishing EBE from evidence-based policy and reviewing the historical development of, and debates surrounding, the field, before mapping national and supranational institutions across Southern, Central, Northern, Eastern and Western Europe. Part 2 reports empirical findings from a multi-stage investigation comprising expert interviews, a survey of eight LEARN consortium countries, and thematic case studies of the Netherlands, Switzerland and Finland. The findings describe a fragmented European landscape in which conceptual alignment with EBE varies markedly, and in which evidence is often used for system monitoring and accountability rather than for improving classroom practice. Common barriers include limited sustainable funding for rigorous evaluation, insufficient research and data literacy among educators, cult</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2024:</w:t>
      </w:r>
      <w:r>
        <w:t xml:space="preserve"> Ratios in regression analyses with causal questions — https://doi.org/10.1093/aje/kwae162</w:t>
      </w:r>
    </w:p>
    <w:p>
      <w:pPr/>
      <w:r>
        <w:rPr>
          <w:b/>
        </w:rPr>
        <w:t>Shared claim-specific concepts:</w:t>
      </w:r>
      <w:r>
        <w:t xml:space="preserve"> based, two, questions, causal, become; EU scope not established. This is a provisional connection, not an outcome finding.</w:t>
      </w:r>
    </w:p>
    <w:p>
      <w:pPr>
        <w:pStyle w:val="SourceNote"/>
      </w:pPr>
      <w:r>
        <w:rPr>
          <w:b/>
        </w:rPr>
        <w:t>Available abstract (not full text):</w:t>
      </w:r>
      <w:r>
        <w:t xml:space="preserve"> Ratio measures are often used in medical research. Generally, the reason is to describe a phenomenon with a single number rather than multiple numbers. In many instances, ratios are used to account at an individual level for size, such as height in body mass index (BMI) or volume in concentrations. Alternatively, they are used to quantify a latent construct or to summarize the balance between two phenomena, for example, of two hormones or other laboratory markers,1 as the two measures jointly are thought to better describe a phenomenon than separately. Despite several statistical issues previously described, such as finding spurious correlations,2,-4 ratio measures can be convenient and efficient when it comes to diagnostic, prognostic, or predictive questions. However, when dealing with causal questions, the use of ratio measures is not straightforward. An example where a ratio has led to misinterpretation relates to the retinal arteriolar-to-venular ratio, initially thought of as a measure for arteriolar narrowing. Several associations with cardiovascular phenomena were found, but these later appeared to be partly attributable to larger venular diameters.5 We explore several issues relevant for the use of ratios within a causal framework. These issues stem partly from the fact that once two variables are combined into a ratio, the individual effects of the components cannot b</w:t>
      </w:r>
    </w:p>
    <w:p>
      <w:pPr/>
      <w:r>
        <w:rPr>
          <w:b/>
        </w:rPr>
        <w:t>POSSIBLE 2024:</w:t>
      </w:r>
      <w:r>
        <w:t xml:space="preserve"> A guide for planning triangulation studies to investigate complex causal questions in behavioural and psychiatric research — https://doi.org/10.1017/s2045796024000623</w:t>
      </w:r>
    </w:p>
    <w:p>
      <w:pPr/>
      <w:r>
        <w:rPr>
          <w:b/>
        </w:rPr>
        <w:t>Shared claim-specific concepts:</w:t>
      </w:r>
      <w:r>
        <w:t xml:space="preserve"> questions, causal, factors, become; EU scope not established. This is a provisional connection, not an outcome finding.</w:t>
      </w:r>
    </w:p>
    <w:p>
      <w:pPr>
        <w:pStyle w:val="SourceNote"/>
      </w:pPr>
      <w:r>
        <w:rPr>
          <w:b/>
        </w:rPr>
        <w:t>Available abstract (not full text):</w:t>
      </w:r>
      <w:r>
        <w:t xml:space="preserve"> AIMS: At the basis of many important research questions is causality - does X causally impact Y? For behavioural and psychiatric traits, answering such questions can be particularly challenging, as they are highly complex and multifactorial. 'Triangulation' refers to prospectively choosing, conducting and integrating several methods to investigate a specific causal question. If different methods, with different sources of bias, all indicate a causal effect, the finding is much less likely to be spurious. While triangulation can be a powerful approach, its interpretation differs across (sub)fields and there are no formal guidelines. Here, we aim to provide clarity and guidance around the process of triangulation for behavioural and psychiatric epidemiology, so that results of existing triangulation studies can be better interpreted, and new triangulation studies better designed. METHODS: We first introduce the concept of triangulation and how it is applied in epidemiological investigations of behavioural and psychiatric traits. Next, we put forth a systematic step-by-step guide, that can be used to design a triangulation study (accompanied by a worked example). Finally, we provide important general recommendations for future studies. RESULTS: While the literature contains varying interpretations, triangulation generally refers to an investigation that assesses the robustness of </w:t>
      </w:r>
    </w:p>
    <w:p>
      <w:pPr/>
      <w:r>
        <w:rPr>
          <w:b/>
        </w:rPr>
        <w:t>POSSIBLE 2024:</w:t>
      </w:r>
      <w:r>
        <w:t xml:space="preserve"> Do LLMs Have the Generalization Ability in Conducting Causal Inference? — https://doi.org/10.48550/arxiv.2410.11385</w:t>
      </w:r>
    </w:p>
    <w:p>
      <w:pPr/>
      <w:r>
        <w:rPr>
          <w:b/>
        </w:rPr>
        <w:t>Shared claim-specific concepts:</w:t>
      </w:r>
      <w:r>
        <w:t xml:space="preserve"> based, questions, causal, yet; EU scope not established. This is a provisional connection, not an outcome finding.</w:t>
      </w:r>
    </w:p>
    <w:p>
      <w:pPr>
        <w:pStyle w:val="SourceNote"/>
      </w:pPr>
      <w:r>
        <w:rPr>
          <w:b/>
        </w:rPr>
        <w:t>Available abstract (not full text):</w:t>
      </w:r>
      <w:r>
        <w:t xml:space="preserve"> In causal inference, generalization capability refers to the ability to conduct causal inference methods on new data to estimate the causal-effect between unknown phenomenon, which is crucial for expanding the boundaries of knowledge. Studies have evaluated the causal inference capabilities of Large Language Models (LLMs) concerning known phenomena, yet the generalization capabilities of LLMs concerning unseen phenomena remain unexplored. In this paper, we selected four tasks: Causal Path Discovery (CP), Backdoor Adjustment (BA), Factual Inference (FI), and Counterfactual Inference (CI) as representatives of causal inference tasks. To generate evaluation questions about previously unseen phenomena in new data on the four tasks, we propose a benchmark generation framework, which employs randomly generated graphs and node names to formulate questions within hypothetical new causal scenarios. Based on this framework, we compile a benchmark dataset of varying levels of question complexity. We extensively tested the generalization capabilities of five leading LLMs across four tasks. Experiment results reveal that while LLMs exhibit good generalization performance in solving simple CP, FI, and complex CI questions, they encounter difficulties when tackling BA questions and face obvious performance fluctuations as the problem complexity changes. Furthermore, when the names of phenomen</w:t>
      </w:r>
    </w:p>
    <w:p>
      <w:pPr/>
      <w:r>
        <w:rPr>
          <w:b/>
        </w:rPr>
        <w:t>POSSIBLE 2024:</w:t>
      </w:r>
      <w:r>
        <w:t xml:space="preserve"> Cross Modality Bias in Visual Question Answering: A Causal View With Possible Worlds VQA — https://doi.org/10.1109/tmm.2024.3380259</w:t>
      </w:r>
    </w:p>
    <w:p>
      <w:pPr/>
      <w:r>
        <w:rPr>
          <w:b/>
        </w:rPr>
        <w:t>Shared claim-specific concepts:</w:t>
      </w:r>
      <w:r>
        <w:t xml:space="preserve"> questions, causal, efforts, reduce; EU scope not established. This is a provisional connection, not an outcome finding.</w:t>
      </w:r>
    </w:p>
    <w:p>
      <w:pPr>
        <w:pStyle w:val="SourceNote"/>
      </w:pPr>
      <w:r>
        <w:rPr>
          <w:b/>
        </w:rPr>
        <w:t>Available abstract (not full text):</w:t>
      </w:r>
      <w:r>
        <w:t xml:space="preserve"> To increase the generalization capability of VQA systems, many recent studies have tried to de-bias spurious language or vision associations that shortcut the question or image to the answer. Despite these efforts, the literature fails to address the confounding effect of vision and language simultaneously. As a result, when they reduce bias learned from one modality, they usually increase bias from the other. In this paper, we first model a confounding effect that causes language and vision bias simultaneously, then propose a counterfactual inference to remove the influence of this effect. The model trained in this strategy can concurrently and efficiently reduce vision and language bias. To the best of our knowledge, this is the first work to reduce biases resulting from confounding effects of vision and language in VQA, leveraging causal explain-away relations. We accompany our method with an explain-away strategy, pushing the accuracy of the questions with numerical answers results compared to existing methods that have been an open problem. The proposed method outperforms the state-of-the-art methods in VQA-CP v2 datasets. R2: Providing brief insights into the experimental setup and results would add valuable context for readers. In response to R2, we released the code and documentation for the implementation as follows. Our codes are available at https://github.com/ali-vo</w:t>
      </w:r>
    </w:p>
    <w:p>
      <w:pPr/>
      <w:r>
        <w:rPr>
          <w:b/>
        </w:rPr>
        <w:t>POSSIBLE 2024:</w:t>
      </w:r>
      <w:r>
        <w:t xml:space="preserve"> Nature-Based Tourism in National and Natural Parks in Europe: A Systematic Review — https://doi.org/10.3390/f15040588</w:t>
      </w:r>
    </w:p>
    <w:p>
      <w:pPr/>
      <w:r>
        <w:rPr>
          <w:b/>
        </w:rPr>
        <w:t>Shared claim-specific concepts:</w:t>
      </w:r>
      <w:r>
        <w:t xml:space="preserve"> based, two, reduce; EU scope visible. This is a provisional connection, not an outcome finding.</w:t>
      </w:r>
    </w:p>
    <w:p>
      <w:pPr>
        <w:pStyle w:val="SourceNote"/>
      </w:pPr>
      <w:r>
        <w:rPr>
          <w:b/>
        </w:rPr>
        <w:t>Available abstract (not full text):</w:t>
      </w:r>
      <w:r>
        <w:t xml:space="preserve"> Considered among the fastest-growing industries in the world, tourism brings immense benefits but also creates certain challenges. Conservation of natural resources is a stringent necessity, without which the extraordinary ecosystems’ attributes that create the premises for nature-based tourism would reduce, alter, and subsequently disappear. The aim of the present review is twofold: gaining a general understanding of what nature-based tourism is and providing a systematic literature review of articles on nature-based tourism in European national and natural parks, with emphasis on their applicability. The articles included in the present review were selected based on the Preferred Reporting Items for Systematic Reviews and Meta-Analyses (PRISMA) statement. The review accounts for research conducted between 2000 and 2021 and is divided into two sections: articles aimed at understanding tourists’ behaviour and articles that are focused on other stakeholders or have the local communities in the foreground. While many studies are aimed at understanding tourists’ behaviour as a means of improving parks’ management, participatory strategies including local communities are often indicated as beneficial. The results of this paper can facilitate future research in the field and provide valuable knowledge to policymakers and any interested parties.</w:t>
      </w:r>
    </w:p>
    <w:p>
      <w:pPr/>
      <w:r>
        <w:rPr>
          <w:b/>
        </w:rPr>
        <w:t>POSSIBLE 2023:</w:t>
      </w:r>
      <w:r>
        <w:t xml:space="preserve"> Promoting schizophrenia research in Europe: the contribution of the European Group for Research in Schizophrenia — https://doi.org/10.1002/wps.21100</w:t>
      </w:r>
    </w:p>
    <w:p>
      <w:pPr/>
      <w:r>
        <w:rPr>
          <w:b/>
        </w:rPr>
        <w:t>Shared claim-specific concepts:</w:t>
      </w:r>
      <w:r>
        <w:t xml:space="preserve"> based, two, czech, republic; EU scope visible. This is a provisional connection, not an outcome finding.</w:t>
      </w:r>
    </w:p>
    <w:p>
      <w:pPr>
        <w:pStyle w:val="SourceNote"/>
      </w:pPr>
      <w:r>
        <w:rPr>
          <w:b/>
        </w:rPr>
        <w:t>Available abstract (not full text):</w:t>
      </w:r>
      <w:r>
        <w:t xml:space="preserve"> The European Group for Research in Schizophrenia (EGRIS) was founded in the late 1990s to develop strategies for the promotion and coordination of schizophrenia research in Europe. The founding members were W. Fleischhacker (Austria), J. Peuskens (Belgium), D. Naber (Germany), I. Bitter (Hungary), J. Gerlach (Denmark), J.-J. Lopez-Ibor (Spain), S. Galderisi (Italy), J. Libiger (Czech Republic), M. Paes de Sousa (Portugal) and T. Burns (UK). W. Fleischhacker was the chairperson of the group, and J. Peuskens the co-chair. The primary aim of the group was to encourage independent collaboration in schizophrenia research across Europe, by identifying research gaps, exploring innovative approaches, and favoring "technology transfer" across centers joining the research proj- ects designed by the group. The group met two times per year. Open as well as in-depth scientific discussions, together with a friendly and pleasant atmosphere, characterized the meetings. The group discussed drafts of research protocols prepared and presented by one or more members, sometimes enriching them or, more often, after an in-depth discussion, either tabling them until the next meeting, with some suggestions for revision, or rejecting them. Of the many protocols drafted and discussed during the meetings, very few survived the criticisms of the group members and were proposed to external bodies for fundin</w:t>
      </w:r>
    </w:p>
    <w:p>
      <w:pPr/>
      <w:r>
        <w:rPr>
          <w:b/>
        </w:rPr>
        <w:t>POSSIBLE 2023:</w:t>
      </w:r>
      <w:r>
        <w:t xml:space="preserve"> Visual Causal Scene Refinement for Video Question Answering — https://doi.org/10.1145/3581783.3611873</w:t>
      </w:r>
    </w:p>
    <w:p>
      <w:pPr/>
      <w:r>
        <w:rPr>
          <w:b/>
        </w:rPr>
        <w:t>Shared claim-specific concepts:</w:t>
      </w:r>
      <w:r>
        <w:t xml:space="preserve"> based, two, causal; EU scope not established. This is a provisional connection, not an outcome finding.</w:t>
      </w:r>
    </w:p>
    <w:p>
      <w:pPr>
        <w:pStyle w:val="SourceNote"/>
      </w:pPr>
      <w:r>
        <w:rPr>
          <w:b/>
        </w:rPr>
        <w:t>Available abstract (not full text):</w:t>
      </w:r>
      <w:r>
        <w:t xml:space="preserve"> Existing methods for video question answering (VideoQA) often suffer from spurious correlations between different modalities, leading to a failure in identifying the dominant visual evidence and the intended question. Moreover, these methods function as black boxes, making it difficult to interpret the visual scene during the QA process. In this paper, to discover critical video segments and frames that serve as the visual causal scene for generating reliable answers, we present a causal analysis of VideoQA and propose a framework for cross-modal causal relational reasoning, named Visual Causal Scene Refinement (VCSR). Particularly, a set of causal front-door intervention operations is introduced to explicitly find the visual causal scenes at both segment and frame levels. Our VCSR involves two essential modules: i) the Question-Guided Refiner (QGR) module, which refines consecutive video frames guided by the question semantics to obtain more representative segment features for causal front-door intervention; ii) the Causal Scene Separator (CSS) module, which discovers a collection of visual causal and non-causal scenes based on the visual-linguistic causal relevance and estimates the causal effect of the scene-separating intervention in a contrastive learning manner. Extensive experiments on the NExT-QA, Causal-VidQA, and MSRVTT-QA datasets demonstrate the superiority of our V</w:t>
      </w:r>
    </w:p>
    <w:p>
      <w:pPr>
        <w:pStyle w:val="Heading2"/>
      </w:pPr>
      <w:r>
        <w:t>519.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2026:</w:t>
      </w:r>
      <w:r>
        <w:t xml:space="preserve"> An analysis of the response behaviour of farms in the Farm Structure Survey — https://doi.org/10.71014/sieds.v80i2.507</w:t>
      </w:r>
    </w:p>
    <w:p>
      <w:pPr/>
      <w:r>
        <w:rPr>
          <w:b/>
        </w:rPr>
        <w:t>Shared claim-specific concepts:</w:t>
      </w:r>
      <w:r>
        <w:t xml:space="preserve"> analyse, farm, two, agricultural; EU scope visible. This is a provisional connection, not an outcome finding.</w:t>
      </w:r>
    </w:p>
    <w:p>
      <w:pPr>
        <w:pStyle w:val="SourceNote"/>
      </w:pPr>
      <w:r>
        <w:rPr>
          <w:b/>
        </w:rPr>
        <w:t>Available abstract (not full text):</w:t>
      </w:r>
      <w:r>
        <w:t xml:space="preserve"> The 2023 edition of the Farm Structure Survey is a sample survey that includes approximately 100,000 agricultural and livestock units registered in the Farm Register. This survey was conducted in accordance with Regulation (EC) No 1091/2018 of the European Parliament and of the Council, following an organizational model based on collaboration among several private entities. Thanks to an agreement with Istat, the Agricultural Assistance Centras (CAA) played a crucial role in the survey activities, acting as intermediaries in the data collection for various agricultural surveys. Operators affiliated with CAAs have a privileged relationship with farms due to their ongoing activities and possess specialized training in agricultural matters. Data collection was carried out using a combination of two survey techniques to optimize costs and minimize the statistical burden on respondents. Farms were given the option to complete the questionnaire online via CAWI (Computer Assisted Web Interviewing). Non-responding units were subsequently contacted by an operator who administered the questionnaire using CAPI (Computer Assisted Personal Interviewing). The objective of this work is to analyse the possible links between the characteristics of farms and their response behaviour, also in relation to the possible effects of actions taken to encourage participation.</w:t>
      </w:r>
    </w:p>
    <w:p>
      <w:pPr/>
      <w:r>
        <w:rPr>
          <w:b/>
        </w:rPr>
        <w:t>POSSIBLE 2026:</w:t>
      </w:r>
      <w:r>
        <w:t xml:space="preserve"> Experimental Investigation of the Evolution of Coherent Flow Structures within an Actuator Disc Wind Farm — https://doi.org/10.1088/1742-6596/3224/3/032021</w:t>
      </w:r>
    </w:p>
    <w:p>
      <w:pPr/>
      <w:r>
        <w:rPr>
          <w:b/>
        </w:rPr>
        <w:t>Shared claim-specific concepts:</w:t>
      </w:r>
      <w:r>
        <w:t xml:space="preserve"> evolution, farm, types, two, significant, large; EU scope not established. This is a provisional connection, not an outcome finding.</w:t>
      </w:r>
    </w:p>
    <w:p>
      <w:pPr>
        <w:pStyle w:val="SourceNote"/>
      </w:pPr>
      <w:r>
        <w:rPr>
          <w:b/>
        </w:rPr>
        <w:t>Available abstract (not full text):</w:t>
      </w:r>
      <w:r>
        <w:t xml:space="preserve"> Abstract Wind turbines operate in a highly complex aerodynamic environment. Beyond varying turbulence intensities, intermittent flow, and a wide range of turbulent length scales, coherent structures such as large gusts, wind ramps, and storm fronts impose significant loads on blades and towers. This study experimentally characterizes two types of coherent flow structures in a wind tunnel and investigates their behavior in a model-scale wind farm. Porous actuator discs act as substitutes for wind turbines and are arranged in both aligned and staggered configurations. The flow in and around the discs is measured using hot-wire anemometry, while an active grid generates two coherent flow structures: a classical extreme operating gust as defined by the IEC, and a rapid positive–negative wind ramp. Results show that the temporal and spatial extent of a coherent structure affects its recovery within the wind farm, and that increased background turbulence further accelerates wake recovery. Although the mean wind speed decreases significantly behind the first turbine row, gust amplitudes nearly recover to their inflow magnitude. Consequently, turbines in downstream rows remain exposed to strong, sudden coherent events, which must be considered in wind farm operation and control strategies.</w:t>
      </w:r>
    </w:p>
    <w:p>
      <w:pPr/>
      <w:r>
        <w:rPr>
          <w:b/>
        </w:rPr>
        <w:t>POSSIBLE 2026:</w:t>
      </w:r>
      <w:r>
        <w:t xml:space="preserve"> The Structural Evolution of the Agricultural Services Market in Poland — https://doi.org/10.3390/su18146992</w:t>
      </w:r>
    </w:p>
    <w:p>
      <w:pPr/>
      <w:r>
        <w:rPr>
          <w:b/>
        </w:rPr>
        <w:t>Shared claim-specific concepts:</w:t>
      </w:r>
      <w:r>
        <w:t xml:space="preserve"> evolution, two, agricultural; EU scope visible. This is a provisional connection, not an outcome finding.</w:t>
      </w:r>
    </w:p>
    <w:p>
      <w:pPr>
        <w:pStyle w:val="SourceNote"/>
      </w:pPr>
      <w:r>
        <w:rPr>
          <w:b/>
        </w:rPr>
        <w:t>Available abstract (not full text):</w:t>
      </w:r>
      <w:r>
        <w:t xml:space="preserve"> Agricultural services are an important component of the agricultural production system, as they may support farms in accessing machinery, labour, specialised knowledge, and selected technical inputs without fully internalising these resources. Despite their relevance, empirical evidence on the development of agricultural services remains limited in the Polish and broader Central and Eastern European context. The objective of this article is to assess the structural evolution of the agricultural and horticultural services market in Poland, with particular attention to the number and regional distribution of service providers, firm-size structure, farm-level use of selected services, and changes in service costs. The study is based on official statistical data from the Central Statistical Office of Poland for 2009–2024 and two survey waves conducted among farms in the Mazowieckie region in 2013 and 2024. The methodological approach combines descriptive and comparative analyses with exploratory logistic regression models. The results show that the agricultural services market in Poland has undergone clear structural changes, although the dynamics differed across service segments. Services supporting crop production expanded until 2015 and then stabilised or slightly declined, while post-harvest and livestock-related services remained relatively stable. Landscaping services recorde</w:t>
      </w:r>
    </w:p>
    <w:p>
      <w:pPr/>
      <w:r>
        <w:rPr>
          <w:b/>
        </w:rPr>
        <w:t>POSSIBLE 2025:</w:t>
      </w:r>
      <w:r>
        <w:t xml:space="preserve"> The evolution of antibiotic resistance in Europe, 1998–2019 — https://doi.org/10.1371/journal.ppat.1012945</w:t>
      </w:r>
    </w:p>
    <w:p>
      <w:pPr/>
      <w:r>
        <w:rPr>
          <w:b/>
        </w:rPr>
        <w:t>Shared claim-specific concepts:</w:t>
      </w:r>
      <w:r>
        <w:t xml:space="preserve"> analyse, evolution, large; EU scope visible. This is a provisional connection, not an outcome finding.</w:t>
      </w:r>
    </w:p>
    <w:p>
      <w:pPr>
        <w:pStyle w:val="SourceNote"/>
      </w:pPr>
      <w:r>
        <w:rPr>
          <w:b/>
        </w:rPr>
        <w:t>Available abstract (not full text):</w:t>
      </w:r>
      <w:r>
        <w:t xml:space="preserve"> The evolutionary dynamics of antibiotic resistance are not well understood, particularly the long-term trajectories of resistance frequencies and their dependence on antibiotic consumption. Here, we systematically analyse resistance trajectories for 887 bug-drug-country combinations in Europe across 1998-2019, for eight bacterial species with a considerable resistance-associated public health burden. Our analyses support a model in which, after an initial increase, resistance frequencies reach a stable intermediate equilibrium. The plurality (37%) of analysed trajectories were best described as 'stable' (neither increasing nor decreasing). 21% of trajectories were best described as 'stabilising' - i.e. showing a transition from increasing frequency to a stable plateau; 21% as decreasing and 20% as increasing. The antibiotic consumption in a country predicts both the equilibrium frequency of the corresponding resistance and the speed at which this equilibrium is reached. Moreover, we find weak evidence that temporal fluctuations in resistance frequency are driven by temporal fluctuations in hospital antibiotic consumption. A large fraction of the variability in the speed of increase and the equilibrium level of resistance remains unexplained by antibiotic use, suggesting other factors may also drive resistance dynamics. Overall, our results indicate that ever increasing antibiot</w:t>
      </w:r>
    </w:p>
    <w:p>
      <w:pPr/>
      <w:r>
        <w:rPr>
          <w:b/>
        </w:rPr>
        <w:t>POSSIBLE 2025:</w:t>
      </w:r>
      <w:r>
        <w:t xml:space="preserve"> Player Transfer Market in European Football Using Machine Learning to analyse the evolution of the European football. — https://doi.org/10.63227/652.299.56</w:t>
      </w:r>
    </w:p>
    <w:p>
      <w:pPr/>
      <w:r>
        <w:rPr>
          <w:b/>
        </w:rPr>
        <w:t>Shared claim-specific concepts:</w:t>
      </w:r>
      <w:r>
        <w:t xml:space="preserve"> analyse, evolution, insights; EU scope visible. This is a provisional connection, not an outcome finding.</w:t>
      </w:r>
    </w:p>
    <w:p>
      <w:pPr>
        <w:pStyle w:val="SourceNote"/>
      </w:pPr>
      <w:r>
        <w:rPr>
          <w:b/>
        </w:rPr>
        <w:t>Available abstract (not full text):</w:t>
      </w:r>
      <w:r>
        <w:t xml:space="preserve"> The study uses machine learning to analyse the European football transfer market from 2015 to 2025, revealing patterns in transfer fees and market values influenced by player attributes, highlighting the potential of data-driven insights.</w:t>
      </w:r>
    </w:p>
    <w:p>
      <w:pPr/>
      <w:r>
        <w:rPr>
          <w:b/>
        </w:rPr>
        <w:t>POSSIBLE 2025:</w:t>
      </w:r>
      <w:r>
        <w:t xml:space="preserve"> Evolution of the Geographic Range of a European Montane Leaf Beetle in Response to Climate Changes at the End of the Quaternary — https://doi.org/10.1111/jbi.15181</w:t>
      </w:r>
    </w:p>
    <w:p>
      <w:pPr/>
      <w:r>
        <w:rPr>
          <w:b/>
        </w:rPr>
        <w:t>Shared claim-specific concepts:</w:t>
      </w:r>
      <w:r>
        <w:t xml:space="preserve"> evolution, last, two, suggest; EU scope visible. This is a provisional connection, not an outcome finding.</w:t>
      </w:r>
    </w:p>
    <w:p>
      <w:pPr>
        <w:pStyle w:val="SourceNote"/>
      </w:pPr>
      <w:r>
        <w:rPr>
          <w:b/>
        </w:rPr>
        <w:t>Available abstract (not full text):</w:t>
      </w:r>
      <w:r>
        <w:t xml:space="preserve"> ABSTRACT Aim During the past few 100,000 years, repeated cycles of glaciation and warming episodes have radically altered the range of organisms. Numerous phylogeographic studies have investigated the impact of past climate changes on the range of temperate organisms in Europe, but we know substantially less about organisms that are adapted to colder climates. Their distributions are often currently fragmented and limited to relatively high elevations in mountainous regions and to the north of Europe. Our inferences of their range during the last glaciation appear contradictory: some studies indicate a range expansion through colonisation of the lowlands, while others suggest a range contraction because they were restricted to small refugia. In this study, we wished to identify which of these two alternative hypotheses explains best the current distribution of genetic variation in a European montane leaf beetle whose current range spans several mountains. Location Four European mountain systems: Alps, Vosges, Massif Central, Pyrenees. Time Period End of the Quaternary, focusing mainly on the last glaciation and the Holocene. Taxon Gonioctena quinquepunctata [Fabricius, 1787] (Coleoptera; Chrysomelidae). Results Modelling of the potential current and last glacial maximum species distributions suggested that climatic conditions were more favourable in the lowlands during the last</w:t>
      </w:r>
    </w:p>
    <w:p>
      <w:pPr/>
      <w:r>
        <w:rPr>
          <w:b/>
        </w:rPr>
        <w:t>POSSIBLE 2025:</w:t>
      </w:r>
      <w:r>
        <w:t xml:space="preserve"> The Evolution of Hybrid Warfare — https://doi.org/10.36250/01237_06</w:t>
      </w:r>
    </w:p>
    <w:p>
      <w:pPr/>
      <w:r>
        <w:rPr>
          <w:b/>
        </w:rPr>
        <w:t>Shared claim-specific concepts:</w:t>
      </w:r>
      <w:r>
        <w:t xml:space="preserve"> analyse, evolution, last, two, like; EU scope visible. This is a provisional connection, not an outcome finding.</w:t>
      </w:r>
    </w:p>
    <w:p>
      <w:pPr>
        <w:pStyle w:val="SourceNote"/>
      </w:pPr>
      <w:r>
        <w:rPr>
          <w:b/>
        </w:rPr>
        <w:t>Available abstract (not full text):</w:t>
      </w:r>
      <w:r>
        <w:t xml:space="preserve"> Hybrid warfare has several nuances and can be referred to various tools and means. While some of them are relative new elements related to the current international system, several others represent the last evolution of a long history. This chapter aims to contextualise the notion of hybrid warfare in the broader framework of the contemporary international relations. Hence, the chapter intends to analyse two different contexts in which the notion of hybrid warfare has been used and the way in which that notion has been integrated in the EU official documents like EUGS (European Union Global Strategy) adopted in June 2016.</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evolution, last, two, decades;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2025:</w:t>
      </w:r>
      <w:r>
        <w:t xml:space="preserve"> Two species, two stories: divergent morphometric evolution of sheep and goats over the last 8000 years — https://doi.org/10.1098/rstb.2024.0514</w:t>
      </w:r>
    </w:p>
    <w:p>
      <w:pPr/>
      <w:r>
        <w:rPr>
          <w:b/>
        </w:rPr>
        <w:t>Shared claim-specific concepts:</w:t>
      </w:r>
      <w:r>
        <w:t xml:space="preserve"> evolution, last, two; EU scope not established. This is a provisional connection, not an outcome finding.</w:t>
      </w:r>
    </w:p>
    <w:p>
      <w:pPr>
        <w:pStyle w:val="SourceNote"/>
      </w:pPr>
      <w:r>
        <w:rPr>
          <w:b/>
        </w:rPr>
        <w:t>Available abstract (not full text):</w:t>
      </w:r>
      <w:r>
        <w:t xml:space="preserve"> Since their domestication about 10 500 years ago, sheep and goats have been central to human subsistence economies. Despite shared traits and frequent co-herding, these species are biologically distinct, with their uses reflecting diverse cultural practices. Advances in geometric morphometrics enable detailed analyses of their phenotypic evolution, shaped by natural and artificial selection, genetic drift and gene flow. These evolutionary mechanisms are often challenging to disentangle in archaeozoology, but patterns of morphometric variation can reveal evolutionary parallels and divergences. This study investigates the morphometric evolution of sheep and goat teeth in the northwestern Mediterranean basin over 8000 years. Dental remains, which preserve well in archaeological contexts, provide rich data for evolutionary studies, including species-level identifications. Using two-dimensional geometric morphometrics, third lower molars from 1602 sheep and 635 goats, spanning archaeological and modern specimens, were analysed. Molar size, shape and variance were compared across six chrono-cultural phases, tracing diachronic morphological changes. Distinct patterns emerge: sheep exhibit greater variability likely reflecting selective breeding for diverse purposes. Goats, in contrast, show greater uniformity. These findings underscore unique evolutionary trajectories for sheep and go</w:t>
      </w:r>
    </w:p>
    <w:p>
      <w:pPr>
        <w:pStyle w:val="Heading2"/>
      </w:pPr>
      <w:r>
        <w:t>520.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2026:</w:t>
      </w:r>
      <w:r>
        <w:t xml:space="preserve"> Unveiling the environmental impact of earthquakes in Europe — https://doi.org/10.1038/s41467-025-68120-6</w:t>
      </w:r>
    </w:p>
    <w:p>
      <w:pPr/>
      <w:r>
        <w:rPr>
          <w:b/>
        </w:rPr>
        <w:t>Shared claim-specific concepts:</w:t>
      </w:r>
      <w:r>
        <w:t xml:space="preserve"> they, also, reveal, challenges, further;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Landscape reconstructions for Europe during the late Last Glacial (60–20 ka BP): a pollen-based REVEALS approach — https://doi.org/10.5194/essd-17-5997-2025</w:t>
      </w:r>
    </w:p>
    <w:p>
      <w:pPr/>
      <w:r>
        <w:rPr>
          <w:b/>
        </w:rPr>
        <w:t>Shared claim-specific concepts:</w:t>
      </w:r>
      <w:r>
        <w:t xml:space="preserve"> also, three, further, climate, requires, better; EU scope visible. This is a provisional connection, not an outcome finding.</w:t>
      </w:r>
    </w:p>
    <w:p>
      <w:pPr>
        <w:pStyle w:val="SourceNote"/>
      </w:pPr>
      <w:r>
        <w:rPr>
          <w:b/>
        </w:rPr>
        <w:t>Available abstract (not full text):</w:t>
      </w:r>
      <w:r>
        <w:t xml:space="preserve"> Abstract. Vegetation change during the Last Glacial period in Europe plays a crucial role in better understanding the ecosystem dynamics response to abrupt climate change. Yet, quantitative reconstructions of land-cover primarily focus on the Holocene period and aim to disentangle the impact of anthropogenic and climatic stress on the vegetation. Here, we present temporally continuous land-cover reconstructions from Europe for the latter half of the Last Glacial period (60–20 ka BP) using the “Regional Estimates of Vegetation Abundance from Large Sites” (REVEALS) model. The pollen-based REVEALS model uniquely factors in plant-specific parameters, such as relative pollen productivity (RPP) and pollen fall speed to model pollen dispersal and thus provides more accurate representation of past vegetation cover than fossil pollen data. We compiled a total of 61 datasets from Europe and its bordering regions to model land-cover estimates across 60 time steps in 1000 year increments. By grouping the 38 analysed taxa into 5 land-cover types (LCTs), we simplify the interpretation of our results and demonstrate this using three crucial periods during the Last Glacial: Greenland Interstadial 14 (GI-14), Greenland Stadial 9 (GS-9), and the Last Glacial Maximum (LGM). These periods provide insight into stadial-interstadial vegetation variability as well as extreme glacial conditions, which </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issues, challenges, among, further, improvement;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INFORMATION SECURITY OF THE EUROPEAN UNION: CHALLENGES AND TRENDS — https://doi.org/10.21564/2663-5704.66.337888</w:t>
      </w:r>
    </w:p>
    <w:p>
      <w:pPr/>
      <w:r>
        <w:rPr>
          <w:b/>
        </w:rPr>
        <w:t>Shared claim-specific concepts:</w:t>
      </w:r>
      <w:r>
        <w:t xml:space="preserve"> also, issues, challenges, union; EU scope visible. This is a provisional connection, not an outcome finding.</w:t>
      </w:r>
    </w:p>
    <w:p>
      <w:pPr>
        <w:pStyle w:val="SourceNote"/>
      </w:pPr>
      <w:r>
        <w:rPr>
          <w:b/>
        </w:rPr>
        <w:t>Available abstract (not full text):</w:t>
      </w:r>
      <w:r>
        <w:t xml:space="preserve"> The article analyzes the current challenges and threats to the information security of the European Union. It outlines the activities of European institutions responsible for addressing information security issues and examines the relevant legislative framework in this domain. The study explores the main directions of the EU leadership’s response to information-related challenges and threats. It also highlights the key features of the European cybersecurity strategy.</w:t>
      </w:r>
    </w:p>
    <w:p>
      <w:pPr/>
      <w:r>
        <w:rPr>
          <w:b/>
        </w:rPr>
        <w:t>POSSIBLE 2025:</w:t>
      </w:r>
      <w:r>
        <w:t xml:space="preserve"> Chapter Methodological challenges in European penology — https://openalex.org/W7137666023</w:t>
      </w:r>
    </w:p>
    <w:p>
      <w:pPr/>
      <w:r>
        <w:rPr>
          <w:b/>
        </w:rPr>
        <w:t>Shared claim-specific concepts:</w:t>
      </w:r>
      <w:r>
        <w:t xml:space="preserve"> also, issues, challenges, three, union, different; EU scope visible. This is a provisional connection, not an outcome finding.</w:t>
      </w:r>
    </w:p>
    <w:p>
      <w:pPr>
        <w:pStyle w:val="SourceNote"/>
      </w:pPr>
      <w:r>
        <w:rPr>
          <w:b/>
        </w:rPr>
        <w:t>Available abstract (not full text):</w:t>
      </w:r>
      <w:r>
        <w:t xml:space="preserve"> European penology, the multidisciplinary scientific study of punishment carried out on the European continent, is booming. This Handbook aims to offer an overview of the current state of the art and cutting-edge penological research in Europe, covering all the regions (north, south, east, west) and Europe’s institutional organisations – the Council of Europe and the European Union – including research that may hitherto not have been published in English. The Handbook also reflects on whether there is anything distinctive or typically (not necessarily exclusively) European in the ways penology is applied in Europe. This challenge is taken up by a team of 5 editors and 60 authors from 21 different countries, reflecting a balance of gender, early and promising career, and established researchers. After the editors’ Introduction, the book is organised into three parts: Part I: European Penology – Scientific Developments discusses theoretical and methodological developments and important issues within comparative penology. Part II: European Penality – Developments in Penal Practices focuses on transversal European developments, particular groups of offenders and specific forms of punishment. Part III offers a reflection on penal policies and practices in Europe as seen from abroad. The Handbook offers graduate and postgraduate students, postgraduate researchers, academics and other </w:t>
      </w:r>
    </w:p>
    <w:p>
      <w:pPr/>
      <w:r>
        <w:rPr>
          <w:b/>
        </w:rPr>
        <w:t>POSSIBLE 2025:</w:t>
      </w:r>
      <w:r>
        <w:t xml:space="preserve"> Chapter Methodological challenges in European penology — https://openalex.org/W7162922291</w:t>
      </w:r>
    </w:p>
    <w:p>
      <w:pPr/>
      <w:r>
        <w:rPr>
          <w:b/>
        </w:rPr>
        <w:t>Shared claim-specific concepts:</w:t>
      </w:r>
      <w:r>
        <w:t xml:space="preserve"> also, issues, challenges, three, union, different; EU scope visible. This is a provisional connection, not an outcome finding.</w:t>
      </w:r>
    </w:p>
    <w:p>
      <w:pPr>
        <w:pStyle w:val="SourceNote"/>
      </w:pPr>
      <w:r>
        <w:rPr>
          <w:b/>
        </w:rPr>
        <w:t>Available abstract (not full text):</w:t>
      </w:r>
      <w:r>
        <w:t xml:space="preserve"> European penology, the multidisciplinary scientific study of punishment carried out on the European continent, is booming. This Handbook aims to offer an overview of the current state of the art and cutting-edge penological research in Europe, covering all the regions (north, south, east, west) and Europe’s institutional organisations – the Council of Europe and the European Union – including research that may hitherto not have been published in English. The Handbook also reflects on whether there is anything distinctive or typically (not necessarily exclusively) European in the ways penology is applied in Europe. This challenge is taken up by a team of 5 editors and 60 authors from 21 different countries, reflecting a balance of gender, early and promising career, and established researchers. After the editors’ Introduction, the book is organised into three parts: Part I: European Penology – Scientific Developments discusses theoretical and methodological developments and important issues within comparative penology. Part II: European Penality – Developments in Penal Practices focuses on transversal European developments, particular groups of offenders and specific forms of punishment. Part III offers a reflection on penal policies and practices in Europe as seen from abroad. The Handbook offers graduate and postgraduate students, postgraduate researchers, academics and other </w:t>
      </w:r>
    </w:p>
    <w:p>
      <w:pPr/>
      <w:r>
        <w:rPr>
          <w:b/>
        </w:rPr>
        <w:t>POSSIBLE 2025:</w:t>
      </w:r>
      <w:r>
        <w:t xml:space="preserve"> Changes in the thermal stress across Europe between 1940–2023 — https://doi.org/10.1007/s00484-025-03043-x</w:t>
      </w:r>
    </w:p>
    <w:p>
      <w:pPr/>
      <w:r>
        <w:rPr>
          <w:b/>
        </w:rPr>
        <w:t>Shared claim-specific concepts:</w:t>
      </w:r>
      <w:r>
        <w:t xml:space="preserve"> also, reveal, climate; EU scope visible. This is a provisional connection, not an outcome finding.</w:t>
      </w:r>
    </w:p>
    <w:p>
      <w:pPr>
        <w:pStyle w:val="SourceNote"/>
      </w:pPr>
      <w:r>
        <w:rPr>
          <w:b/>
        </w:rPr>
        <w:t>Available abstract (not full text):</w:t>
      </w:r>
      <w:r>
        <w:t xml:space="preserve"> Long-term changes (1940-2023) in thermal stress and its drivers in Europe were investigated based on the Universal Thermal Climate Index (UTCI) extracted from the ERA5-HEAT reanalysis. Furthermore, a vulnerability index was introduced to assess the impact of thermal stress. The results reveal a rapid continental shift in thermal stress toward milder conditions. Although cold stress is declining fastest in northern regions (more than 4 hours·decade[Formula: see text]), heat stress is intensifying across southern Europe (more than 3 hours·decade[Formula: see text]). Such changes are driven by an increase in 2 m air temperature (between 0.2 up to 0.6[Formula: see text]C·decade[Formula: see text]) and mean radiant temperature, particularly over northern and central Europe, and by changes also in relative humidity and wind speed. One of the key findings of this study is the decline in wind speed in specific areas of central and eastern Europe, leading to an increase in UTCI. Monthly analyzes show that winters warm the fastest (e.g., January cold stress decreases by 1.93%·decade[Formula: see text]), while summer heat stress peaks in July (0.27%·decade[Formula: see text]). In particular, the late spring months (e.g., May) also exhibit a positive trend, contributing to an extended warm season in Europe. Although European UTCI trends generally show a migration of thermal stress categori</w:t>
      </w:r>
    </w:p>
    <w:p>
      <w:pPr>
        <w:pStyle w:val="Heading2"/>
      </w:pPr>
      <w:r>
        <w:t>521.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2026:</w:t>
      </w:r>
      <w:r>
        <w:t xml:space="preserve"> Exploring Sustainability Outcomes of Agricultural Digitalisation in European Living Labs — https://doi.org/10.1007/978-3-032-33157-1_13</w:t>
      </w:r>
    </w:p>
    <w:p>
      <w:pPr/>
      <w:r>
        <w:rPr>
          <w:b/>
        </w:rPr>
        <w:t>Shared claim-specific concepts:</w:t>
      </w:r>
      <w:r>
        <w:t xml:space="preserve"> explore, domains, there; EU scope visible. This is a provisional connection, not an outcome finding.</w:t>
      </w:r>
    </w:p>
    <w:p>
      <w:pPr>
        <w:pStyle w:val="SourceNote"/>
      </w:pPr>
      <w:r>
        <w:rPr>
          <w:b/>
        </w:rPr>
        <w:t>Available abstract (not full text):</w:t>
      </w:r>
      <w:r>
        <w:t xml:space="preserve"> Agricultural digitalisation influences environmental, economic, and social domains, and generates system-wide effects that are unknown, unintended and complex. There is a need to study outcomes of digitalisation to steer agrifood systems towards long-term sustainability goals. The main aim of this chapter is to explore outcomes of agricultural digitalisation across economic, social, and environmental domains, and interpret them through the multi system-level lens of the CODECS conceptual framework. This framework provides an entryway to systematically address the costs and benefits of digitalisation. With data collected through participatory stakeholder workshops in European living labs, we link environmental, economic and social outcomes of digitalisation to different system-levels. We explore what insights emerge from linking contexts, domains, and system-levels to understand risks and opportunities of agricultural digitalisation. This approach can make visible the indirect, unintended, and long-term effects of digitalisation. Moreover, it demonstrates digitalisation as iterative process that reshapes environmental, economic, and social domains and feeds back into the trajectory of digitalisation itself. Finally, we highlight the value of contextual variability in policymaking for responsible digitalisation to ensure designing pathways that are technologically innovative, soc</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r>
        <w:rPr>
          <w:b/>
        </w:rPr>
        <w:t>POSSIBLE 2025:</w:t>
      </w:r>
      <w:r>
        <w:t xml:space="preserve"> The Circular Economy in Cities and Regions of the European Union — https://doi.org/10.1787/e09c21e2-en</w:t>
      </w:r>
    </w:p>
    <w:p>
      <w:pPr/>
      <w:r>
        <w:rPr>
          <w:b/>
        </w:rPr>
        <w:t>Shared claim-specific concepts:</w:t>
      </w:r>
      <w:r>
        <w:t xml:space="preserve"> cities, policies;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Work-Domain Goal Orientation: A Theoretical Framework for the Construct and Turkish Adaptation of a Work-Domain Goal Orientation Instrument — https://doi.org/10.3390/educsci15010067</w:t>
      </w:r>
    </w:p>
    <w:p>
      <w:pPr/>
      <w:r>
        <w:rPr>
          <w:b/>
        </w:rPr>
        <w:t>Shared claim-specific concepts:</w:t>
      </w:r>
      <w:r>
        <w:t xml:space="preserve"> work, perspective, findings; EU scope not established. This is a provisional connection, not an outcome finding.</w:t>
      </w:r>
    </w:p>
    <w:p>
      <w:pPr>
        <w:pStyle w:val="SourceNote"/>
      </w:pPr>
      <w:r>
        <w:rPr>
          <w:b/>
        </w:rPr>
        <w:t>Available abstract (not full text):</w:t>
      </w:r>
      <w:r>
        <w:t xml:space="preserve"> This study brings a novel perspective to the relationship between higher education and work life by examining work-domain goal orientation as a critical factor in preparing students for professional environments. Through an extensive literature review, it highlights the role of work-domain goal orientation in aligning higher education curricula with the demands of the modern workplace, emphasizing how students’ goal orientation influences their future professional success. Additionally, this study adapts and validates a work-domain goal orientation instrument into Turkish, offering a reliable tool for use in Turkish contexts. A sample of 729 undergraduate students from various academic disciplines participated in the study. Exploratory and confirmatory factor analyses confirmed a three-factor structure (learning, proving, avoiding), accounting for 68.4% of the variance. The internal consistency was reliable, with Cronbach’s alpha values ranging from 0.84 to 0.86 across subscales. The study provides a dual contribution by offering theoretical insights into work-domain goal orientation and delivering a psychometrically validated tool for assessing students’ readiness for professional life in a non-Western context. These findings address gaps in the literature on goal orientation and its application in diverse cultural settings, advancing both academic understanding and practical </w:t>
      </w:r>
    </w:p>
    <w:p>
      <w:pPr/>
      <w:r>
        <w:rPr>
          <w:b/>
        </w:rPr>
        <w:t>POSSIBLE 2024:</w:t>
      </w:r>
      <w:r>
        <w:t xml:space="preserve"> A new perspective on balancing life domains: work–nonwork balance crafting — https://doi.org/10.1186/s12889-024-18646-z</w:t>
      </w:r>
    </w:p>
    <w:p>
      <w:pPr/>
      <w:r>
        <w:rPr>
          <w:b/>
        </w:rPr>
        <w:t>Shared claim-specific concepts:</w:t>
      </w:r>
      <w:r>
        <w:t xml:space="preserve"> work, domains, perspective, findings; EU scope visible. This is a provisional connection, not an outcome finding.</w:t>
      </w:r>
    </w:p>
    <w:p>
      <w:pPr>
        <w:pStyle w:val="SourceNote"/>
      </w:pPr>
      <w:r>
        <w:rPr>
          <w:b/>
        </w:rPr>
        <w:t>Available abstract (not full text):</w:t>
      </w:r>
      <w:r>
        <w:t xml:space="preserve"> BACKGROUND: Self-initiated and proactive changes in working conditions through crafting are essential for shaping work and improving work-related well-being. Recently, the research stream of job crafting has been extended to other life domains. The present paper aims to study a novel crafting concept-work-nonwork balance crafting-investigating the role of its antecedents and identifying relevant outcomes. Work-nonwork balance crafting is defined as individuals' unofficial techniques and activities to shape their work-nonwork balance, here considering their life domain boundary preferences. METHODS: In the study, 1,060 employees in three European countries (Austria, Germany and Switzerland) were surveyed in a longitudinal three-wave study with three-month intervals. We explored the influences of job/home demands and resources as antecedents of work-nonwork balance crafting. Important constructs for employee health and well-being (i.e., work engagement, work-related burnout, mental well-being and detachment from work) were investigated as outcomes. RESULTS: The findings suggest that resources and demands in the context of work or home are key antecedents of work-nonwork balance crafting. Work-nonwork balance crafting was also predictive for important employee health and well-being outcomes over three months, mainly in a positive and health-promoting way. CONCLUSION: This study pr</w:t>
      </w:r>
    </w:p>
    <w:p>
      <w:pPr/>
      <w:r>
        <w:rPr>
          <w:b/>
        </w:rPr>
        <w:t>POSSIBLE 2024:</w:t>
      </w:r>
      <w:r>
        <w:t xml:space="preserve"> Rights of Nature in Europe — https://doi.org/10.4324/9781003318989</w:t>
      </w:r>
    </w:p>
    <w:p>
      <w:pPr/>
      <w:r>
        <w:rPr>
          <w:b/>
        </w:rPr>
        <w:t>Shared claim-specific concepts:</w:t>
      </w:r>
      <w:r>
        <w:t xml:space="preserve"> work, domains; EU scope visible. This is a provisional connection, not an outcome finding.</w:t>
      </w:r>
    </w:p>
    <w:p>
      <w:pPr>
        <w:pStyle w:val="SourceNote"/>
      </w:pPr>
      <w:r>
        <w:rPr>
          <w:b/>
        </w:rPr>
        <w:t>Available abstract (not full text):</w:t>
      </w:r>
      <w:r>
        <w:t xml:space="preserve"> This book addresses the recognition of the Rights of Nature (RoN) in Europe, examining their conceptualisation and implementation. RoN refers to a diverse set of legal developments that seek to redefine Nature's status within the law, gradually emerging as a novel template for environmental protection. Countries like Ecuador and New Zealand, each with distinct histories and ways of dwelling in the world, have pioneered a new era in environmental governance by legally acknowledging rights or personhood for nature, ecosystems, and more-than-human populations. In recent years, Europe has witnessed growing interest in RoN, with academic, legislative, and political initiatives gaining momentum. A significant development is the September 2022 passage of a law in the Spanish Parliament, granting legal personhood and rights to the Mar Menor, a saltwater lagoon severely affected by environmental degradation. Given the diversity in interpretations and articulations of ‘Rights of Nature’, this edited volume argues that their arrival in Europe fosters different kinds of interactions across distinct areas of law, knowledge, practices, and societal domains. The book employs a multidisciplinary approach, exploring these interactions in law and policy, anthropology, Indigenous worldviews and jurisprudence, philosophy, spiritual traditions, critical theory, animal communication, psychology, and</w:t>
      </w:r>
    </w:p>
    <w:p>
      <w:pPr>
        <w:pStyle w:val="Heading2"/>
      </w:pPr>
      <w:r>
        <w:t>522.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Mapping the landscape of mycological organizations in europe: where citizen science meets professional mycology — https://doi.org/10.1007/s10531-025-03219-2</w:t>
      </w:r>
    </w:p>
    <w:p>
      <w:pPr/>
      <w:r>
        <w:rPr>
          <w:b/>
        </w:rPr>
        <w:t>Shared claim-specific concepts:</w:t>
      </w:r>
      <w:r>
        <w:t xml:space="preserve"> discuss, current, knowledge, data, overcome, used; EU scope visible. This is a provisional connection, not an outcome finding.</w:t>
      </w:r>
    </w:p>
    <w:p>
      <w:pPr>
        <w:pStyle w:val="SourceNote"/>
      </w:pPr>
      <w:r>
        <w:rPr>
          <w:b/>
        </w:rPr>
        <w:t>Available abstract (not full text):</w:t>
      </w:r>
      <w:r>
        <w:t xml:space="preserve"> Abstract Fungi have been used by humans since prehistoric times. Informal structures or groups for knowledge exchange regarding mushrooms and lichens probably existed for ages. Only recently, mycological activities have been structured in formal organizations. And where until a few centuries ago there were only learned societies and naturalists’ clubs, nowadays also mycological societies and citizen scientists have joined the landscape. However, the history of mycological organizations and activities in Europe is difficult to track. Here, we initiated two surveys to characterize the current landscape of mycological organizations focused on fungal diversity across Europe and to collate citizen science activities mapping fungi. The surveys were shared on social media and sent to mycologists in 49 countries in Europe. Responses of the surveys allowed us to present the history, geographical distribution, and structure of mycological organizations in Europe as well as their types of activities, including the publication of journals and magazines, the organization of meetings and educational initiatives, and citizen science projects. In addition to the surveys, local mycologists presented expert knowledge for a more comprehensive overview. Our data show that the mycological landscape in Europe is diverse and heterogeneous. We discuss ways to overcome economic, cultural, and linguisti</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r>
        <w:rPr>
          <w:b/>
        </w:rPr>
        <w:t>POSSIBLE 2025:</w:t>
      </w:r>
      <w:r>
        <w:t xml:space="preserve"> Current protected areas provide limited benefits for European river biodiversity — https://doi.org/10.1038/s41467-025-67125-5</w:t>
      </w:r>
    </w:p>
    <w:p>
      <w:pPr/>
      <w:r>
        <w:rPr>
          <w:b/>
        </w:rPr>
        <w:t>Shared claim-specific concepts:</w:t>
      </w:r>
      <w:r>
        <w:t xml:space="preserve"> current, areas; EU scope visible. This is a provisional connection, not an outcome finding.</w:t>
      </w:r>
    </w:p>
    <w:p>
      <w:pPr>
        <w:pStyle w:val="SourceNote"/>
      </w:pPr>
      <w:r>
        <w:rPr>
          <w:b/>
        </w:rPr>
        <w:t>Available abstract (not full text):</w:t>
      </w:r>
      <w:r>
        <w:t xml:space="preserve"> Protected areas are a principal conservation tool for addressing biodiversity loss. Such protection is especially needed in freshwaters, given their greater biodiversity losses compared to terrestrial and marine ecosystems. However, broad-scale evaluations of protected area effectiveness for freshwater biodiversity are lacking. Here, we provide a continental-scale analysis of the relationship between protected areas and freshwater biodiversity using 1,754 river invertebrate community time series sampled between 1986 and 2022 across ten European countries. Protected areas primarily benefited poor-quality communities (indicative of higher human impacts) that were protected, or that gained protection, across a substantial proportion of their upstream catchment. Protection had little to no influence on moderate- and high-quality communities, although high-quality communities potentially provide less scope for effect. Our results reveal the overall limited effectiveness of current protected areas for freshwater biodiversity, likely because they are typically designed and managed to achieve terrestrial conservation goals. Broadly improving effectiveness for freshwater biodiversity requires catchment-scale management approaches involving larger and more continuous upstream protection, and efforts to address remaining stressors. These approaches would also benefit connected terrestrial</w:t>
      </w:r>
    </w:p>
    <w:p>
      <w:pPr/>
      <w:r>
        <w:rPr>
          <w:b/>
        </w:rPr>
        <w:t>POSSIBLE 2025:</w:t>
      </w:r>
      <w:r>
        <w:t xml:space="preserve"> Cadmium and other metallic contaminants in cacao: Update on current knowledge and mitigation strategies — https://doi.org/10.1051/ocl/2025019</w:t>
      </w:r>
    </w:p>
    <w:p>
      <w:pPr/>
      <w:r>
        <w:rPr>
          <w:b/>
        </w:rPr>
        <w:t>Shared claim-specific concepts:</w:t>
      </w:r>
      <w:r>
        <w:t xml:space="preserve"> discuss, current, knowledge, exposure; EU scope visible. This is a provisional connection, not an outcome finding.</w:t>
      </w:r>
    </w:p>
    <w:p>
      <w:pPr>
        <w:pStyle w:val="SourceNote"/>
      </w:pPr>
      <w:r>
        <w:rPr>
          <w:b/>
        </w:rPr>
        <w:t>Available abstract (not full text):</w:t>
      </w:r>
      <w:r>
        <w:t xml:space="preserve"> Cadmium (Cd) is a non-essential metal classified as class 1 carcinogen, which can induce detrimental effects for humans. Food is the main route of Cd exposure for the general population (except smokers). Chocolate products account for 4% and 9% of the dietary Cd intake for adults and children, respectively, in Europe. Since 2019, the EU limits Cd concentration in chocolate. The maximum permitted concentration (MPC) varies from 0.30 to 0.80 mg Cd kg−1 depending on the% of total cocoa solids in the final product. Cacao (Theobroma cacao L.) producers in Latin America and the Caribbean, who provide 19.4% of global cacao production, are strongly impacted because a significant fraction of their production exceeds these limits. In this review, the current knowledge on the factors influencing the soil Cd enrichments and Cd phytoavailability is discussed. The Cd transfer to cacao trees and to beans, and the responses of cacao trees to Cd exposure are also presented. Then, various mitigation strategies, including post-harvest treatments, soil amendments, microbial remediation (or bioremediation), breeding programs and grafting, are summarized. We also discuss the transfer of knowledge to stakeholders in the cacao supply chain. Finally, current knowledge on the presence of other metallic contaminants in cacao beans, particularly nickel (Ni), is reviewed.</w:t>
      </w:r>
    </w:p>
    <w:p>
      <w:pPr/>
      <w:r>
        <w:rPr>
          <w:b/>
        </w:rPr>
        <w:t>POSSIBLE 2025:</w:t>
      </w:r>
      <w:r>
        <w:t xml:space="preserve"> Grasslands in Europe: current status, emerging challenges, and pathways to sustainable futures — https://doi.org/10.19103/as.2025.0154.26</w:t>
      </w:r>
    </w:p>
    <w:p>
      <w:pPr/>
      <w:r>
        <w:rPr>
          <w:b/>
        </w:rPr>
        <w:t>Shared claim-specific concepts:</w:t>
      </w:r>
      <w:r>
        <w:t xml:space="preserve"> current, drivers, them; EU scope visible. This is a provisional connection, not an outcome finding.</w:t>
      </w:r>
    </w:p>
    <w:p>
      <w:pPr>
        <w:pStyle w:val="SourceNote"/>
      </w:pPr>
      <w:r>
        <w:rPr>
          <w:b/>
        </w:rPr>
        <w:t>Available abstract (not full text):</w:t>
      </w:r>
      <w:r>
        <w:t xml:space="preserve"> This chapter provides a coherent, integrated overview of grasslands in Europe, addressing: (i) their current status and use, (ii) the ecosystem services they provide, (iii) the major drivers and trends affecting them, and (iv) promising innovations and research directions. These are illustrated by a case study from the project Grazing4AgroEcology that shows how innovative farmers, researchers and other stakeholders are now jointly exploring new approaches. Throughout the chapter, we advance the central argument that grassland systems can, if appropriately managed and supported, simultaneously deliver nutritious food and multiple ecosystem services, thereby contributing to resilient agricultural futures in Europe.</w:t>
      </w:r>
    </w:p>
    <w:p>
      <w:pPr>
        <w:pStyle w:val="Heading2"/>
      </w:pPr>
      <w:r>
        <w:t>523.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2024:</w:t>
      </w:r>
      <w:r>
        <w:t xml:space="preserve"> BIODIVERSIDADE E AMEAÇAS ÀS ARRAIAS DE ÁGUA DOCE NO RIO ARAGUAIA: UMA PERSPECTIVA DE CONSERVAÇÃO — https://doi.org/10.46732/actafish.2024.12.2.51-63</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The Araguaia-Tocantins basin contains a rich diversity of fish, including stingrays of the Potamotrygonidae family (Peters, 1876), which stand out in aquatic ecosystems due to their beauty and diversity of patterns, as well as the medical importance of their members. In this sense, these organisms play fundamental roles in the food chain and in ecological interactions. However, they are subject to environmental threats, such as habitat degradation, interruption of gene flow between populations, and incisive predatory fishing. Thus, the preservation of these species requires actions that aim to safeguard natural habitats, as well as regulating their capture. The urgent need for more taxonomic and ecological studies becomes important, to increase the understanding of these organisms and subsidize conservation strategies. This study focused on identifying the different species of stingrays in a stretch of the Araguaia River. Thus, the four species identified were Paratrygon aiereba, Potamotrygon motoro, P. henlei and P. histrix, which share not only the environment, but also the threats, from predatory fishing among others. Thus, the results listed here seek to contribute to the Acta of Fisheries and Aquatic Resources Saviato, et al., (2024), ActaPesca 12(2): 51-63 DOI 10.46732/Actafish.2024.12.2.51-63 52 construction of a more robust framework of knowledge about these fish and, c</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Autocomposição de forma inaugural no âmbito da Justiça Federal como possibilidade do agir comunicativo habermasiano — https://openalex.org/W7120320133</w:t>
      </w:r>
    </w:p>
    <w:p>
      <w:pPr/>
      <w:r>
        <w:rPr>
          <w:b/>
        </w:rPr>
        <w:t>Shared claim-specific concepts:</w:t>
      </w:r>
      <w:r>
        <w:t xml:space="preserve"> incisive, fundamental, bring, reason; EU scope not established. This is a provisional connection, not an outcome finding.</w:t>
      </w:r>
    </w:p>
    <w:p>
      <w:pPr>
        <w:pStyle w:val="SourceNote"/>
      </w:pPr>
      <w:r>
        <w:rPr>
          <w:b/>
        </w:rPr>
        <w:t>Available abstract (not full text):</w:t>
      </w:r>
      <w:r>
        <w:t xml:space="preserve"> The fundamental premise of the present research is to bring an analytical approach to the inherent self-composition of Appropriate Conflict Resolution Methods within the judiciary, particularly within the Federal Justice as a possibility for Habermasian communicative action. To this end, the relevant conceptualizations of Access to Justice in its condition as a fundamental right enshrined in the Constitution of the Federative Republic of Brazil of 1988 are addressed, as well as self-composition with a special focus on some guiding principles that support the theme, under the aegis of Jünger Habermas's idea of consensus. The intent for such a discussion arises from the problem seen in the determination inscribed in the current procedural legislation, which, in turn, establishes the promotion of social peace through these means at any stage of the process. Because of this, speculation arises: Could this assertion favor a presupposition that limits, and/or conditions the guarantee of access to justice? Could the inaugural use of self-composition – before the action – within the Judiciary, have any impact or repercussions on the social order, despite the effectiveness and guarantee of access to rights? With the aim of addressing these inquiries, the research uses a methodology of applied nature; descriptive and exploratory objective, as well as bibliographic, documentary, and legis</w:t>
      </w:r>
    </w:p>
    <w:p>
      <w:pPr>
        <w:pStyle w:val="Heading2"/>
      </w:pPr>
      <w:r>
        <w:t>524.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2026:</w:t>
      </w:r>
      <w:r>
        <w:t xml:space="preserve"> Consensus and legitimation in global AI regulations: a sociosemiotic perspective — https://doi.org/10.1017/s1744552326100469</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Abstract This paper adopts a sociosemiotic perspective to examine how normative consensus and legitimacy are constructed in global artificial intelligence (AI) governance discourse. Drawing on a corpus of forty-seven international normative documents, the study identifies an emerging cross-textual consensus around three core principles – Safety, Human-centric and Fairness – and analyses how these are semiotically encoded. The findings reveal tensions between state and non-state actors, and between semiotic agreement and practical implementation. For instance, ‘Safety’ is often framed through securitisation discourse, while ‘Human-centric’ is increasingly grounded in international human rights frameworks. The study further shows that discursive strategies such as nominalisation help establish surface-level consensus but introduce ambiguity that undermines enforceability. By conceptualising governance texts as dynamic semiotic systems, this research moves beyond the hard law–soft law dichotomy, revealing global AI regulation as a contested arena of meaning-making. It offers a theoretical basis for advancing more inclusive and operational governance models.</w:t>
      </w:r>
    </w:p>
    <w:p>
      <w:pPr/>
      <w:r>
        <w:rPr>
          <w:b/>
        </w:rPr>
        <w:t>POSSIBLE 2026:</w:t>
      </w:r>
      <w:r>
        <w:t xml:space="preserve"> “Global South” and “Consensus” Voting System — https://doi.org/10.1007/978-981-92-0144-0_1</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Global consensus on the management of melanin hyperpigmentation disorders — https://doi.org/10.1111/jdv.70185</w:t>
      </w:r>
    </w:p>
    <w:p>
      <w:pPr/>
      <w:r>
        <w:rPr>
          <w:b/>
        </w:rPr>
        <w:t>Shared claim-specific concepts:</w:t>
      </w:r>
      <w:r>
        <w:t xml:space="preserve"> consensus, systems, leading; EU scope visible. This is a provisional connection, not an outcome finding.</w:t>
      </w:r>
    </w:p>
    <w:p>
      <w:pPr>
        <w:pStyle w:val="SourceNote"/>
      </w:pPr>
      <w:r>
        <w:rPr>
          <w:b/>
        </w:rPr>
        <w:t>Available abstract (not full text):</w:t>
      </w:r>
      <w:r>
        <w:t xml:space="preserve"> Melanin hyperpigmentation disorders (MHD) are among the most prevalent dermatologic concerns globally, affecting individuals across all skin phototypes and geographies. Despite their widespread impact on quality of life-including stigmatization, anxiety and depression-comprehensive, unified and practical clinical guidelines are lacking. This global consensus project convened 10 leading dermatologists and pigmentary disorder experts from Africa, Asia, Europe and the Americas to develop an evidence-based, internationally applicable framework for the management of common MHD, including melasma, post-inflammatory hyperpigmentation, acquired dermal macular hyperpigmentation, periorbital hyperpigmentation, chronic hyperpigmentary photodamage, freckles/ephelides and hyperpigmentation of the folds. Based on a comprehensive literature review and a structured Delphi process, the expert panel formulated consensus statements and tailored treatment algorithms that account for skin type, photobiological behaviour, disease severity and regional access to therapies. Special emphasis was placed on the role of broad-spectrum photoprotection and the challenges of tinted sunscreen availability in diverse populations. Treatment options ranged from topical lightening agents and systemic therapies (e.g. oral tranexamic acid) to procedural interventions (e.g. chemical peels, lasers and IPL) stratified</w:t>
      </w:r>
    </w:p>
    <w:p>
      <w:pPr/>
      <w:r>
        <w:rPr>
          <w:b/>
        </w:rPr>
        <w:t>POSSIBLE 2025:</w:t>
      </w:r>
      <w:r>
        <w:t xml:space="preserve"> Global Consensus Recommendations for Metabolic Dysfunction-Associated Steatotic Liver Disease and Steatohepatitis — https://doi.org/10.1053/j.gastro.2025.02.044</w:t>
      </w:r>
    </w:p>
    <w:p>
      <w:pPr/>
      <w:r>
        <w:rPr>
          <w:b/>
        </w:rPr>
        <w:t>Shared claim-specific concepts:</w:t>
      </w:r>
      <w:r>
        <w:t xml:space="preserve"> there, consensus, however; EU scope not established. This is a provisional connection, not an outcome finding.</w:t>
      </w:r>
    </w:p>
    <w:p>
      <w:pPr>
        <w:pStyle w:val="SourceNote"/>
      </w:pPr>
      <w:r>
        <w:rPr>
          <w:b/>
        </w:rPr>
        <w:t>Available abstract (not full text):</w:t>
      </w:r>
      <w:r>
        <w:t xml:space="preserve"> BACKGROUND &amp; AIMS: Metabolic dysfunction-associated steatotic liver disease (MASLD) and steatohepatitis (MASH) are associated with adverse clinical outcomes, impaired health-related quality of life, and significant economic burden. The growing burden of MASLD and MASH has led to the publication of a large number of MASLD/MASH guidelines by national and international societies. However, important differences among the recommendations have created confusion, contributing to a low implementation rate and suboptimal management of MASLD and MASH. Creating a consensus recommendation has become more important since the approval of a selective agonist of thyroid hormone β receptor (resmetirom) for MASH treatment in the United States. We built a consensus among the most recently published recommendations for MASLD/MASH. METHODS: A comprehensive search for MASLD and MASH guidelines, guidance documents, or similar publications from January 2018 to January 2025 using PubMed, Embase, Web of Science, and society websites was conducted. Each selected document was assessed across 8 specific domains with 145 variables. Variables with &lt;50% concordance were used for the Delphi statement development. A supermajority threshold of 67% was set for statement acceptance. RESULTS: There were 61 documents published from 2018 through January 2025. Four rounds of Delphi were conducted: 46 statements were g</w:t>
      </w:r>
    </w:p>
    <w:p>
      <w:pPr/>
      <w:r>
        <w:rPr>
          <w:b/>
        </w:rPr>
        <w:t>POSSIBLE 2025:</w:t>
      </w:r>
      <w:r>
        <w:t xml:space="preserve"> Data driven inventory consensus control for a supply chain system with a design change — https://doi.org/10.61822/amcs-2025-0050</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The production and supply chain system is a complex nonlinear network comprising suppliers, manufacturers, distributors, retailers, and other entities. The collaborative evolution process for such a system is vitally important, especially when the system undergoes design changes. In this paper, the data-driven inventory consensus problem for production and supply chain systems is studied while considering design changes. Firstly, the production and supply chain system is modeled as a multi-agent one and the collaborative process of the production and supply chain is formulated as the system topology structure switching. Secondly, a digraph data-driven consensus control protocol is proposed to achieve inventory level consensus tracking with respect to a predefined reference trajectory in production and supply chain systems. Thirdly, when a design change occurs, the saturation function is introduced for the protocol design, which helps address the productivity limitation problem. Lastly, with the help of the contracting mapping principle, the convergence analysis is carried out, demonstrating the effectiveness of the proposed data-driven consensus approach through a numerical simulation example.</w:t>
      </w:r>
    </w:p>
    <w:p>
      <w:pPr/>
      <w:r>
        <w:rPr>
          <w:b/>
        </w:rPr>
        <w:t>POSSIBLE 2025:</w:t>
      </w:r>
      <w:r>
        <w:t xml:space="preserve"> Consensus of Fractional-Order Fuzzy Multiagent Systems: Exploring Impulsive Security Protocols — https://doi.org/10.1109/tcns.2025.3543754</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This article investigates impulsive security protocols with the goal of achieving consensus of fractional-order fuzzy multiagent systems (FOFMASs). In contrast to multiagent systems characterized by ordinary differential equations, FOFMASs are created using Takagi–Sugeno fuzzy rules and fractional-order differential equations, which allow for nonlinearities with parameter uncertainties and also manage memory effects. Due to the potential of denial-of-service (DoS) attacks, the topology among nodes may change, and it is necessary to gain insight into the security consensus under topology switching. This article tackles the security protocol problem by designing a distributed impulsive control for each agent, relying on global delayed communications and topology switching resulting from DoS attacks. Analyzing the stability of impulse-free error systems is a salient problem. Supported by the Lyapunov method and average impulsive interval method, for two cases of self-stabilization or instability of the error system in the absence of impulse, some sufficient conditions are presented to ensure the exponential consensus of FOFMASs under distributed impulsive control with communication delays. Besides, several corollaries are provided to guarantee the consensus under distributed impulsive control without communication delays. Finally, two numerical examples are provided, and some nume</w:t>
      </w:r>
    </w:p>
    <w:p>
      <w:pPr/>
      <w:r>
        <w:rPr>
          <w:b/>
        </w:rPr>
        <w:t>POSSIBLE 2025:</w:t>
      </w:r>
      <w:r>
        <w:t xml:space="preserve"> Consensus-Based Resilience Assurance for System of Systems — https://doi.org/10.1109/access.2025.3535519</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The complexity of a System of Systems makes resilience one of its key attributes. Numerous studies have focused on the quantitative assessment of resilience by trailing indicators, yet discussions on resilience assurance through monitoring leading indicators remain scarce. Resilience assurance in SoS faces two major challenges: lack of structured argumentation work related to resilience and conflicts among multiple independent stakeholders. To address these challenges, this paper first introduces a resilience argumentation approach based on STAMP (Systems-Theoretic Accident Model and Processes), then employs cooperative consensus process model to seek consensus on resilience assurance. Additionally, under the requirements of the international standard IEC 62853 for open systems dependability, a consensus based resilience assurance framework is proposed. Within the framework, the resilient team can discuss the specific implementation details of failure response, accountability, and change accommodation based on stakeholder consensus. Finally, two SoS case studies, Microgrid and Mobility as a Service, are used to demonstrate the application of the proposed approach.</w:t>
      </w:r>
    </w:p>
    <w:p>
      <w:pPr/>
      <w:r>
        <w:rPr>
          <w:b/>
        </w:rPr>
        <w:t>POSSIBLE 2025:</w:t>
      </w:r>
      <w:r>
        <w:t xml:space="preserve"> Consensus of Open Multi-Agent Systems under Dynamic Event-Triggered Mechanisms — https://doi.org/10.1109/icaisisas64483.2025.11051790</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This paper studies the consensus problem in open multi-agent systems with time-varying agent set, where discrete control updates and intermittent communication are employed. An auxiliary dynamic variable is introduced to design an event-triggered mechanism with adaptive thresholds. To address topology changes due to agent arrivals and departures, the network is modeled as a set of switching subsystems with varying scales. Using switched system theory, we establish that exponential consensus convergence with non-Zeno behavior is guaranteed if each subsystem’s dwell time exceeds a predefined lower bound and the switching frequency remains finite. Furthermore, a self-triggered prediction method is developed to handle incomplete state information, utilizing historical data from triggering instants to achieve fully discretized communication. Numerical simulations validate the effectiveness of the proposed framework in balancing communication efficiency and consensus performance under dynamic network conditions.</w:t>
      </w:r>
    </w:p>
    <w:p>
      <w:pPr/>
      <w:r>
        <w:rPr>
          <w:b/>
        </w:rPr>
        <w:t>POSSIBLE 2025:</w:t>
      </w:r>
      <w:r>
        <w:t xml:space="preserve"> International Consensus on Global Surgery Learning Objectives and Competencies — https://doi.org/10.1097/sla.0000000000006905</w:t>
      </w:r>
    </w:p>
    <w:p>
      <w:pPr/>
      <w:r>
        <w:rPr>
          <w:b/>
        </w:rPr>
        <w:t>Shared claim-specific concepts:</w:t>
      </w:r>
      <w:r>
        <w:t xml:space="preserve"> there, consensus, system; EU scope not established. This is a provisional connection, not an outcome finding.</w:t>
      </w:r>
    </w:p>
    <w:p>
      <w:pPr>
        <w:pStyle w:val="SourceNote"/>
      </w:pPr>
      <w:r>
        <w:rPr>
          <w:b/>
        </w:rPr>
        <w:t>Available abstract (not full text):</w:t>
      </w:r>
      <w:r>
        <w:t xml:space="preserve"> OBJECTIVE: This project aimed to achieve international consensus on core learning objectives for global surgery education. BACKGROUND: As global surgery emerges as an academic field, there is a growing need for consensus-driven learning objectives to guide education and training. Existing curricula vary widely and lack multidisciplinary input. METHODS: A modified Delphi consensus was conducted with an international panel of global surgery experts. A scoping review informed an initial list of learning objectives, categorized into 14 domains based on the Consortium of Universities for Global Health framework. Panelists rated objectives over three iterative survey rounds, with consensus defined as ≥80% agreement within ±1 Likert point of the median. RESULTS: Sixty-one experts from 26 countries across all World Health Organization (WHO) regions participated, representing surgery (40.1%), anesthesia (14.8%), obstetrics and gynecology (14.8%), general practitioners with and without enhanced surgical skills (16.4%), and allied health fields (6.6%). The majority (57.4%) had over 10 years of experience in global surgery. Across three Delphi rounds, 120 learning objectives reached consensus, covering key domains such as the global burden of surgical disease, surgical system strengthening, ethics and equity, health policy, and sustainable development. A total of 25 (20.8%) objectives were</w:t>
      </w:r>
    </w:p>
    <w:p>
      <w:pPr/>
      <w:r>
        <w:rPr>
          <w:b/>
        </w:rPr>
        <w:t>POSSIBLE 2025:</w:t>
      </w:r>
      <w:r>
        <w:t xml:space="preserve"> EU's Global Gateway Strategy and Building a Global Consensus vis-a-vis BRI — https://doi.org/10.4324/9781003501459-18</w:t>
      </w:r>
    </w:p>
    <w:p>
      <w:pPr/>
      <w:r>
        <w:rPr>
          <w:b/>
        </w:rPr>
        <w:t>Shared claim-specific concepts:</w:t>
      </w:r>
      <w:r>
        <w:t xml:space="preserve"> there, consensus; EU scope visible. This is a provisional connection, not an outcome finding.</w:t>
      </w:r>
    </w:p>
    <w:p>
      <w:pPr>
        <w:pStyle w:val="SourceNote"/>
      </w:pPr>
      <w:r>
        <w:rPr>
          <w:b/>
        </w:rPr>
        <w:t>Available abstract (not full text):</w:t>
      </w:r>
      <w:r>
        <w:t xml:space="preserve"> The Belt and Road Initiative paved the way for China to establish far-reaching trade relations and greater political influence across continents. Dominating the Indo-Pacific region by building up the dependence of the countries there on China is only part of the strategy. China’s actions in this regard are observed with unease by researchers and practitioners. Various multilateral projects are trying to present an alternative in the Indo-Pacific region, including the EU’s Global Gateway Strategy Project. What this strategy entails and how it can play a role in shaping global consensus on the BRI is outlined in this chapterw.</w:t>
      </w:r>
    </w:p>
    <w:p>
      <w:pPr>
        <w:pStyle w:val="Heading2"/>
      </w:pPr>
      <w:r>
        <w:t>525.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2026:</w:t>
      </w:r>
      <w:r>
        <w:t xml:space="preserve"> Resilience in Post-Truth and Post-Digital European Union: Youth-Led Civil Society Organisations in the 2024 European Elections — https://doi.org/10.1285/i20356609v19i1p94</w:t>
      </w:r>
    </w:p>
    <w:p>
      <w:pPr/>
      <w:r>
        <w:rPr>
          <w:b/>
        </w:rPr>
        <w:t>Shared claim-specific concepts:</w:t>
      </w:r>
      <w:r>
        <w:t xml:space="preserve"> article, highlights, institutional, democratic; EU scope visible. This is a provisional connection, not an outcome finding.</w:t>
      </w:r>
    </w:p>
    <w:p>
      <w:pPr>
        <w:pStyle w:val="SourceNote"/>
      </w:pPr>
      <w:r>
        <w:rPr>
          <w:b/>
        </w:rPr>
        <w:t>Available abstract (not full text):</w:t>
      </w:r>
      <w:r>
        <w:t xml:space="preserve"> In an era marked by epistemic instability, algorithmic disruption and institutional disaffection, the European Union faces a deepening crisis of communicative legitimacy. This article investigates the role of youth-led civil society organizations (CSOs) as agents of communicative resilience within the evolving landscape of European public institutional communication, focusing on the 2024 European Parliament elections. Drawing on 35 qualitative interviews with CSO representatives involved in the Use Your Vote institutional communication campaign, the study examines how these actors operate simultaneously as actors of disintermediation and multipliers of EU messaging. Through localized, participatory and pedagogical practices, youth-led CSOs rearticulate abstract institutional narratives into context-sensitive forms of civic engagement, countering information disorder and reconnecting citizens—especially in peripheral territories—with the European project. The research highlights how these organizations combine digital tools with offline presence and non-formal education to foster trust, critical awareness and democratic participation. It further explores emerging tensions surrounding the use of generative AI in civic communication, calling for a reflexive and situated approach to digital innovation. Ultimately, the article contends that strengthening communicative resilience in </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combined, effect, countries;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2025:</w:t>
      </w:r>
      <w:r>
        <w:t xml:space="preserve"> Parliamentarism - conceptual basis of european constitutionalism — https://doi.org/10.59295/stctce2025.15</w:t>
      </w:r>
    </w:p>
    <w:p>
      <w:pPr/>
      <w:r>
        <w:rPr>
          <w:b/>
        </w:rPr>
        <w:t>Shared claim-specific concepts:</w:t>
      </w:r>
      <w:r>
        <w:t xml:space="preserve"> article, institutional, democratic; EU scope visible. This is a provisional connection, not an outcome finding.</w:t>
      </w:r>
    </w:p>
    <w:p>
      <w:pPr>
        <w:pStyle w:val="SourceNote"/>
      </w:pPr>
      <w:r>
        <w:rPr>
          <w:b/>
        </w:rPr>
        <w:t>Available abstract (not full text):</w:t>
      </w:r>
      <w:r>
        <w:t xml:space="preserve"> Parliamentarism represents one of the most significant institutional innovations in Europe's political history, playing a fundamental role in the development of European constitutionalism. This form of political organization combines the principle of representativeness with the separation of powers, providing a framework for democratic governance and the protection of citizens' rights. European constitutionalism, rooted in the supremacy of the constitution and the protection of fundamental rights, has been deeply influenced by the evolution of parliamentary institutions. The aim of this article is to explore how parliamentarism has contributed to the consolidation of European constitutionalism by examining its origins, fundamental principles, and contemporary challenges. We will analyse the relationship between these two concepts, highlighting the essential role of parliamentary institutions in advancing the rule of law and creating a political framework based on accountability and transparency.</w:t>
      </w:r>
    </w:p>
    <w:p>
      <w:pPr/>
      <w:r>
        <w:rPr>
          <w:b/>
        </w:rPr>
        <w:t>POSSIBLE 2025:</w:t>
      </w:r>
      <w:r>
        <w:t xml:space="preserve"> ERS Congress 2024: highlights from the Allied Respiratory Professionals Assembly — https://doi.org/10.1183/23120541.01145-2024</w:t>
      </w:r>
    </w:p>
    <w:p>
      <w:pPr/>
      <w:r>
        <w:rPr>
          <w:b/>
        </w:rPr>
        <w:t>Shared claim-specific concepts:</w:t>
      </w:r>
      <w:r>
        <w:t xml:space="preserve"> article, highlights, intelligence, different; EU scope visible. This is a provisional connection, not an outcome finding.</w:t>
      </w:r>
    </w:p>
    <w:p>
      <w:pPr>
        <w:pStyle w:val="SourceNote"/>
      </w:pPr>
      <w:r>
        <w:rPr>
          <w:b/>
        </w:rPr>
        <w:t>Available abstract (not full text):</w:t>
      </w:r>
      <w:r>
        <w:t xml:space="preserve"> Extract This article presents the highlights of the 2024 European Respiratory Society (ERS) Congress as experienced by the early career allied respiratory professionals (Assembly 9) across the different groups. These highlights are grouped under the themes of 1) digital health and artificial intelligence (AI), 2) self-management, and 3) use of race and ethnicity in pulmonary function testing. The themes were selected by the early career members based on their novelty and attention during the congress. We combine highlights from symposia with novel findings presented in abstract presentations. The theme of the ERS Congress 2024 was “Humans and machines: getting the balance right”.</w:t>
      </w:r>
    </w:p>
    <w:p>
      <w:pPr/>
      <w:r>
        <w:rPr>
          <w:b/>
        </w:rPr>
        <w:t>POSSIBLE 2025:</w:t>
      </w:r>
      <w:r>
        <w:t xml:space="preserve"> The Principle of Good Administration in European Administrative Law and Its Influence on Romania — https://doi.org/10.62768/plpa/2025/14/4/06</w:t>
      </w:r>
    </w:p>
    <w:p>
      <w:pPr/>
      <w:r>
        <w:rPr>
          <w:b/>
        </w:rPr>
        <w:t>Shared claim-specific concepts:</w:t>
      </w:r>
      <w:r>
        <w:t xml:space="preserve"> article, highlights, combined; EU scope visible. This is a provisional connection, not an outcome finding.</w:t>
      </w:r>
    </w:p>
    <w:p>
      <w:pPr>
        <w:pStyle w:val="SourceNote"/>
      </w:pPr>
      <w:r>
        <w:rPr>
          <w:b/>
        </w:rPr>
        <w:t>Available abstract (not full text):</w:t>
      </w:r>
      <w:r>
        <w:t xml:space="preserve"> This paper analyses the principle of good administration as the foundation of European administrative law and its influence on the evolution of public administration in Romania. Based on the case law of the Court of Justice of the European Union, the article examines how this principle has been consolidated as a general standard of legality and fairness in the work of administrative authorities. The study highlights the convergence between European Union law and Romanian administrative law, in particular through the Administrative Code and the Administrative Litigation Law No. 554/2004, which enshrines the right of individuals to transparent, impartial and fair administration. At the same time, the implications of European standards on transparency, public ethics and administrative cooperation between Member States are analysed, with a focus on sensitive areas such as taxation and environmental protection. The article highlights the importance of effective legal protection against administrative abuse and of guaranteeing the right to a fair trial, in accordance with the combined case law of the CJEU and the ECHR. The conclusions point to the ongoing need to adapt Romanian administrative law to the requirements of good European administration, as a prerequisite for strengthening the rule of law and citizens' trust in public institutions.</w:t>
      </w:r>
    </w:p>
    <w:p>
      <w:pPr/>
      <w:r>
        <w:rPr>
          <w:b/>
        </w:rPr>
        <w:t>POSSIBLE 2025:</w:t>
      </w:r>
      <w:r>
        <w:t xml:space="preserve"> Strategies for Citizen Participation in European Decision-Making. Trends and Challenges — https://doi.org/10.59295/sdcri2025.07</w:t>
      </w:r>
    </w:p>
    <w:p>
      <w:pPr/>
      <w:r>
        <w:rPr>
          <w:b/>
        </w:rPr>
        <w:t>Shared claim-specific concepts:</w:t>
      </w:r>
      <w:r>
        <w:t xml:space="preserve"> article, institutional, democratic, countries, efficiency; EU scope visible. This is a provisional connection, not an outcome finding.</w:t>
      </w:r>
    </w:p>
    <w:p>
      <w:pPr>
        <w:pStyle w:val="SourceNote"/>
      </w:pPr>
      <w:r>
        <w:rPr>
          <w:b/>
        </w:rPr>
        <w:t>Available abstract (not full text):</w:t>
      </w:r>
      <w:r>
        <w:t xml:space="preserve"> The paper analyzes the evolution and diversity of the mechanisms of involvement in the decision-making process in the European Union, highlighting the importance of strengthening participatory democracy through transparency, inclusion and constant dialogue between citizens and public institutions. The structure of the paper aims to highlight the applicability of the principle of citizen participation as highlighted in European documents, in particular in Article 10 of the Treaty on European Union. Also, the comparative study on how citizen participation becomes an instrument for European democracy, for stimulating democratic dialogue and for strengthening social cohesion, shows significant differences in the participatory culture and in the institutional maturity of consultative processes. Nordic and Western European countries are distinguished by models based on trust, intersectoral cooperation and extensive use of digital public consultation platforms. Regarding Romania, which is in a process of convergence, challenges regarding civic education, access to information and digital interoperability are highlighted. The digitalization of citizen participation, through e-consultation platforms, e-voting or online participatory budgets, thus becomes an essential tool for increasing inclusion and decision-making efficiency. The lessons learned underline the need for a common Europea</w:t>
      </w:r>
    </w:p>
    <w:p>
      <w:pPr>
        <w:pStyle w:val="Heading2"/>
      </w:pPr>
      <w:r>
        <w:t>526.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2025:</w:t>
      </w:r>
      <w:r>
        <w:t xml:space="preserve"> Carbon Emission Measurement and Low-Carbon Path in the Operation Phase of Higher Education Teaching Buildings — https://doi.org/10.3233/atde251327</w:t>
      </w:r>
    </w:p>
    <w:p>
      <w:pPr/>
      <w:r>
        <w:rPr>
          <w:b/>
        </w:rPr>
        <w:t>Shared claim-specific concepts:</w:t>
      </w:r>
      <w:r>
        <w:t xml:space="preserve"> phase, combination, case; EU scope not established. This is a provisional connection, not an outcome finding.</w:t>
      </w:r>
    </w:p>
    <w:p>
      <w:pPr>
        <w:pStyle w:val="SourceNote"/>
      </w:pPr>
      <w:r>
        <w:rPr>
          <w:b/>
        </w:rPr>
        <w:t>Available abstract (not full text):</w:t>
      </w:r>
      <w:r>
        <w:t xml:space="preserve"> Aiming at energy saving and carbon reduction in the operation phase of university teaching buildings, this study analyses the operation characteristics and carbon emission sources of university teaching buildings, measures the specific carbon emissions in combination with actual cases, and predicts and evaluates the carbon reduction potential by using the STIRPAT model and scenario analysis method. The results show that the carbon emissions of the case teaching buildings increase from 1286.012t to 1538.929t in 2022-2024, showing yearly growth and seasonal fluctuations, with energy structure and energy intensity having the greatest impact on carbon emissions (elasticity coefficients of 0.352 and 0.321, respectively). The prediction of three scenarios, namely, baseline, low carbon and ultra-low carbon, shows that carbon emissions will grow rapidly and continuously under the baseline scenario, and the ultra-low carbon scenario can achieve a continuous reduction, and it is expected that the emission reduction in 2035 can reach 208.14∼259.28t. This study provides theoretical and practical references for the construction of green campuses.</w:t>
      </w:r>
    </w:p>
    <w:p>
      <w:pPr/>
      <w:r>
        <w:rPr>
          <w:b/>
        </w:rPr>
        <w:t>POSSIBLE 2025:</w:t>
      </w:r>
      <w:r>
        <w:t xml:space="preserve"> Enhancing Building Thermal Performance: A Review of Phase Change Material Integration — https://doi.org/10.3390/en18123200</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Buildings are responsible for over one-third of global energy use and greenhouse gas emissions, with heating and cooling being major contributors. Phase change materials (PCMs) offer a promising passive solution to improve thermal regulation and reduce heating and cooling loads. This review analyses different experimental and simulation-based studies on the integration of PCMs into building structures for enhancing building energy performance. The key variables examined include melting temperature, latent heat capacity, thermal conductivity (λ), PCM positioning (interior, exterior, or embedded), thickness, and climate zone. The results show that PCMs reduce heat transfer by up to 47.6%, stabilize indoor temperatures with up to a 46% reduction in fluctuations, and decrease heating and cooling demands by as much as 31%, depending on component placement and climate. The optimal melting range for moderate climates lies between 22 °C and 28 °C. This review identifies critical trade-offs between PCM quantity, placement, and climatic suitability and provides a matrix of design recommendations for various building types.</w:t>
      </w:r>
    </w:p>
    <w:p>
      <w:pPr/>
      <w:r>
        <w:rPr>
          <w:b/>
        </w:rPr>
        <w:t>POSSIBLE 2025:</w:t>
      </w:r>
      <w:r>
        <w:t xml:space="preserve"> Continued Augmentation in Metahuman Systems: Phase of Trust Building — https://doi.org/10.5465/amproc.2025.22130abstract</w:t>
      </w:r>
    </w:p>
    <w:p>
      <w:pPr/>
      <w:r>
        <w:rPr>
          <w:b/>
        </w:rPr>
        <w:t>Shared claim-specific concepts:</w:t>
      </w:r>
      <w:r>
        <w:t xml:space="preserve"> building, phase, combination, different, usual, two; EU scope not established. This is a provisional connection, not an outcome finding.</w:t>
      </w:r>
    </w:p>
    <w:p>
      <w:pPr>
        <w:pStyle w:val="SourceNote"/>
      </w:pPr>
      <w:r>
        <w:rPr>
          <w:b/>
        </w:rPr>
        <w:t>Available abstract (not full text):</w:t>
      </w:r>
      <w:r>
        <w:t xml:space="preserve"> The paper brings together two major research areas: the effects of technology in workplaces and trust in technology, in the context of Artificial Intelligence’s (AI) proliferation. By doing so, the paper answers the call to go beyond the automation augmentation debate to understand the nuances caused by the continuance of augmentation on knowledge workers within AI systems. We introduce a theory of trust in AI systems, proposing a dynamic form of trust that emerges when the usual epistemic relationship between trust and knowing (that technology delivers an expected result) is broken. The creation of doubts in the system, due to the occurrences of different types of errors, questions the veracity of the AI model’s results. The implications of this theory are shown in the context of different AI models used in a Department of Radiology, through an extensive ethnographic fieldwork. Unlike previous workplace technologies, where trust is developed gradually, the trust-building process for each AI model follows a unique path, offering a combination of two forms of trust: fleeting and stable. In order to further understanding this phenomenon, the data suggests integrating trusting building with social actions, system functions and the daily work context within the department. The study points to the transient nature of trust in AI systems, which depends on the context and features of </w:t>
      </w:r>
    </w:p>
    <w:p>
      <w:pPr/>
      <w:r>
        <w:rPr>
          <w:b/>
        </w:rPr>
        <w:t>POSSIBLE 2024:</w:t>
      </w:r>
      <w:r>
        <w:t xml:space="preserve"> Advancing sustainable building through passive cooling with phase change materials, a comprehensive literature review — https://doi.org/10.1016/j.enbuild.2024.114164</w:t>
      </w:r>
    </w:p>
    <w:p>
      <w:pPr/>
      <w:r>
        <w:rPr>
          <w:b/>
        </w:rPr>
        <w:t>Shared claim-specific concepts:</w:t>
      </w:r>
      <w:r>
        <w:t xml:space="preserve"> building, phase, combination, different; EU scope not established. This is a provisional connection, not an outcome finding.</w:t>
      </w:r>
    </w:p>
    <w:p>
      <w:pPr>
        <w:pStyle w:val="SourceNote"/>
      </w:pPr>
      <w:r>
        <w:rPr>
          <w:b/>
        </w:rPr>
        <w:t>Available abstract (not full text):</w:t>
      </w:r>
      <w:r>
        <w:t xml:space="preserve"> Phase Change Materials (PCMs) present cutting-edge technology with substantial promise for advancing sustainable and energy-efficient cooling in buildings. These materials can absorb and release latent heat during phase transitions, facilitating thermal energy storage and temperature regulation. This comprehensive literature review explores various strategies and methods for implementing passive cooling with PCMs in buildings. The integration of PCMs enhances multiple passive cooling approaches, including solar control, ground cooling, ventilation-based heat dissipation, radiative cooling, and thermal mass-based heat modulation. The analysis delves into PCM classifications, encapsulation techniques, melting enthalpies, integration into diverse building envelopes, and performance across different climates. The findings from this comprehensive review indicated that PCM walls introduce a 2-hour delay in heat transfer and mitigate external temperature fluctuations. Windows equipped with PCM panels reduce heat transfer by 66 %. Combining PCMs with nocturnal radiative cooling leads to interior surface temperature reductions exceeding 13 °C. Natural ventilation with PCMs results in notable energy savings of up to 90 % in hot climates. The combination of free cooling and PCM thermal storage reduces charging times by 35 % while enhancing heat transfer. Simulations performed in the open </w:t>
      </w:r>
    </w:p>
    <w:p>
      <w:pPr/>
      <w:r>
        <w:rPr>
          <w:b/>
        </w:rPr>
        <w:t>POSSIBLE 2024:</w:t>
      </w:r>
      <w:r>
        <w:t xml:space="preserve"> Incorporation of Phase Change Materials in Buildings — https://doi.org/10.3390/constrmater4040037</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This review paper explores the integration of phase change materials (PCMs) in building insulation systems to enhance energy efficiency and thermal comfort. Through an extensive analysis of existing literature, the thermal performance of PCM-enhanced building envelopes is evaluated under diverse environmental conditions. This review highlights that PCMs effectively moderate indoor temperatures by absorbing and releasing heat during phase transitions, maintaining a stable indoor climate. This paper also delves into the detailed concepts of PCMs, including their classification and various applications within building insulation. It is noted that different types of PCMs have unique thermal properties and potential uses, which can be tailored to specific building requirements and climatic conditions. Furthermore, cost–benefit and environmental assessments presented in the reviewed studies suggest that incorporating PCMs into building materials offers significant potential for reducing energy consumption and mitigating environmental impacts. These assessments indicate that PCMs can lead to substantial energy savings by decreasing the reliance on heating and cooling systems, thereby lowering overall energy costs and carbon emissions. However, despite the promising outlook, this review identifies a need for further research to optimize PCM formulations and integration methods. This op</w:t>
      </w:r>
    </w:p>
    <w:p>
      <w:pPr/>
      <w:r>
        <w:rPr>
          <w:b/>
        </w:rPr>
        <w:t>POSSIBLE 2024:</w:t>
      </w:r>
      <w:r>
        <w:t xml:space="preserve"> Phase Change Materials (PCMs) for passive Cooling: Performance in urban buildings — https://doi.org/10.30574/ijsra.2024.13.1.2050</w:t>
      </w:r>
    </w:p>
    <w:p>
      <w:pPr/>
      <w:r>
        <w:rPr>
          <w:b/>
        </w:rPr>
        <w:t>Shared claim-specific concepts:</w:t>
      </w:r>
      <w:r>
        <w:t xml:space="preserve"> building, phase, combination, case; EU scope not established. This is a provisional connection, not an outcome finding.</w:t>
      </w:r>
    </w:p>
    <w:p>
      <w:pPr>
        <w:pStyle w:val="SourceNote"/>
      </w:pPr>
      <w:r>
        <w:rPr>
          <w:b/>
        </w:rPr>
        <w:t>Available abstract (not full text):</w:t>
      </w:r>
      <w:r>
        <w:t xml:space="preserve"> The intersection of urbanization, climate change, and escalating cooling demands has underscored the urgent need for passive thermal regulation strategies in buildings. Among these, Phase Change Materials (PCMs) stand out due to their latent heat storage capabilities, offering the ability to passively regulate indoor temperatures by leveraging thermodynamic phase transitions. This paper provides an in-depth analysis of phase change materials (PCMs) in the context of passive cooling for urban environments, with a particular emphasis on their applications in building envelopes, such as walls and roofs. Through a combination of material science fundamentals, thermal modeling, building simulation studies, lifecycle analysis, and empirical case data, we elucidate the performance thresholds, integration mechanisms, and long-term viability of PCM-based systems. The study concludes that PCM-enhanced designs can lead to reductions in HVAC energy consumption by 15–40%, flatten diurnal temperature fluctuations, and contribute significantly toward net-zero energy building objectives.</w:t>
      </w:r>
    </w:p>
    <w:p>
      <w:pPr/>
      <w:r>
        <w:rPr>
          <w:b/>
        </w:rPr>
        <w:t>POSSIBLE 2024:</w:t>
      </w:r>
      <w:r>
        <w:t xml:space="preserve"> Building design with artificial intelligence : Evaluation of AI tools for building design optimization during earlyplanning phases — https://openalex.org/W7112955944</w:t>
      </w:r>
    </w:p>
    <w:p>
      <w:pPr/>
      <w:r>
        <w:rPr>
          <w:b/>
        </w:rPr>
        <w:t>Shared claim-specific concepts:</w:t>
      </w:r>
      <w:r>
        <w:t xml:space="preserve"> building, combination, alternative; EU scope not established. This is a provisional connection, not an outcome finding.</w:t>
      </w:r>
    </w:p>
    <w:p>
      <w:pPr>
        <w:pStyle w:val="SourceNote"/>
      </w:pPr>
      <w:r>
        <w:rPr>
          <w:b/>
        </w:rPr>
        <w:t>Available abstract (not full text):</w:t>
      </w:r>
      <w:r>
        <w:t xml:space="preserve"> Purpose: The purpose of this study was to explore how AI tools affect the working processes withinthe construction industry during the early planning phases of a building project and to identifypotential challenges. Method: A combination of literature studies and interviews were conducted. The literature studyprovides a theoretical framework while the interviews offered a more practice-based perspective.Results: Both the literature and interviews indicated that AI tools can streamline the design process inthe early phases by automating generation of alternative solutions. However, challenges include theimplementation process, users' learning curve, costs and integration issues.Conclusions: When properly implemented, AI tools have the potential to facilitate a more creative,efficient and integrated way of working in the early planning stages through accelerated conceptdevelopment and improved access to competence and data connections. Keywords: Artificial intelligence, construction industry, early planning phases, working processes,opportunities, challenges</w:t>
      </w:r>
    </w:p>
    <w:p>
      <w:pPr>
        <w:pStyle w:val="Heading2"/>
      </w:pPr>
      <w:r>
        <w:t>527.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2026:</w:t>
      </w:r>
      <w:r>
        <w:t xml:space="preserve"> Mesenchymal stromal cells in Rheumathology: Recent findings — https://doi.org/10.30574/wjarr.2026.29.3.0619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Mesenchymal stromal cells (MSCs) have emerged as promising therapeutic candidates for osteoarticular diseases because of their combined immunomodulatory, trophic, and regenerative properties. Although initially studied for their multipotent differentiation capacity, MSCs are now understood to act predominantly through context-dependent paracrine mechanisms, including secretion of soluble mediators and extracellular vesicles, as well as through interactions with innate and adaptive immune cells. These mechanisms enable MSCs to modulate inflammatory responses, suppress T- and B-cell activation, inhibit dendritic cell maturation, and promote anti-inflammatory macrophage polarization, thereby reshaping the joint microenvironment toward resolution and tissue repair. In rheumatoid arthritis, MSC therapy is supported by strong biological plausibility, with preclinical studies demonstrating reduction of Th1/Th17 responses and enhancement of regulatory T-cell activity. Early clinical trials suggest a favorable safety profile, although evidence for sustained clinical remission remains limited. In focal cartilage defects, MSC-based strategies—particularly when combined with biomaterial scaffolds—have shown potential to enhance cartilage repair and improve functional outcomes. In osteoarthritis and degenerative disc disease, therapeutic effects appear to rely mainly on trophic and immunore</w:t>
      </w:r>
    </w:p>
    <w:p>
      <w:pPr/>
      <w:r>
        <w:rPr>
          <w:b/>
        </w:rPr>
        <w:t>POSSIBLE 2026:</w:t>
      </w:r>
      <w:r>
        <w:t xml:space="preserve"> 298. The highs and lows of long-term lithium prophylaxis: recent findings — https://doi.org/10.1093/ijnp/pyag040.041</w:t>
      </w:r>
    </w:p>
    <w:p>
      <w:pPr/>
      <w:r>
        <w:rPr>
          <w:b/>
        </w:rPr>
        <w:t>Shared claim-specific concepts:</w:t>
      </w:r>
      <w:r>
        <w:t xml:space="preserve"> findings, recent, shown; EU scope visible. This is a provisional connection, not an outcome finding.</w:t>
      </w:r>
    </w:p>
    <w:p>
      <w:pPr>
        <w:pStyle w:val="SourceNote"/>
      </w:pPr>
      <w:r>
        <w:rPr>
          <w:b/>
        </w:rPr>
        <w:t>Available abstract (not full text):</w:t>
      </w:r>
      <w:r>
        <w:t xml:space="preserve"> Abstract Background Lithium has been the gold standard for the relapse prevention of mood disorders, especially bipolar disorder (BD). Recently, case reports of a successful lithium prophylaxis lasting half a century appeared. Several adverse effects occur both in the early and late periods of lithium treatment, the most salient being a kidney injury appearing mainly after 15-20 years of lithium administration and frequently prompting lithium discontinuation. At the same time, lithium administration may bring many beneficial outcomes, beyond its prophylactic effects on mood recurrences, among which are anti-suicidal and neuroprotective effects, being the most important. Aims &amp; Objectives The presentation aims to consider the pivotal novel findings (published between 2021 and 2025) on the adverse and beneficial effects of long-term lithium administration. Method The most important publications on these issues that appeared during this period will be discussed. Results The papers on a possible kidney injury during long-term lithium administration and its treatment pointed to a lesser prevalence of such a complication in recent studies, as well as to the possibility of successful management, preventing the necessity of lithium discontinuation. New papers also appeared on the concurrent lithium and hemodialysis treatment in dialyzed patients. The issue of the anti-suicidal effect w</w:t>
      </w:r>
    </w:p>
    <w:p>
      <w:pPr/>
      <w:r>
        <w:rPr>
          <w:b/>
        </w:rPr>
        <w:t>POSSIBLE 2026:</w:t>
      </w:r>
      <w:r>
        <w:t xml:space="preserve"> Recent findings on the anticancer potential of coumarin hybrid derivatives — https://doi.org/10.12692/ijb/28.3.52-79</w:t>
      </w:r>
    </w:p>
    <w:p>
      <w:pPr/>
      <w:r>
        <w:rPr>
          <w:b/>
        </w:rPr>
        <w:t>Shared claim-specific concepts:</w:t>
      </w:r>
      <w:r>
        <w:t xml:space="preserve"> findings, recent, activities; EU scope not established. This is a provisional connection, not an outcome finding.</w:t>
      </w:r>
    </w:p>
    <w:p>
      <w:pPr>
        <w:pStyle w:val="SourceNote"/>
      </w:pPr>
      <w:r>
        <w:rPr>
          <w:b/>
        </w:rPr>
        <w:t>Available abstract (not full text):</w:t>
      </w:r>
      <w:r>
        <w:t xml:space="preserve"> Coumarin derivatives have attracted substantial scientific interest due to their broad therapeutic potential in the field of oncology research due to their anticancer potential. Both naturally occurring and synthetically modified coumarins possess diverse pharmacological activities, and evidence highlights their strong anticancer properties. Studies emphasize the importance of understanding molecular mechanisms and structural interactions that govern the biological actions of coumarin hybrids, as these insights are crucial for optimizing their therapeutic efficacy in term of treatment. Coumarin-based hybrid compounds demonstrate the ability to modulate multiple cellular signalling pathways critical for cancer progression, including those regulating apoptosis, angiogenesis, oxidative stress, and uncontrolled cell division. Mechanistic studies show that many coumarin hybrids effectively induce apoptosis through mitochondrial disruption, caspase activation, and modulation of pro and anti-apoptotic proteins. Additionally, several derivatives exhibit potent anti-angiogenic activity by inhibiting VEGF-mediated signaling, thereby limiting tumor vascularization and growth. Their capacity to interfere with cell cycle regulators, such as cyclins and CDKs, further contributes to their antiproliferative effects. The multitargeted nature of these molecular interactions highlights the therap</w:t>
      </w:r>
    </w:p>
    <w:p>
      <w:pPr/>
      <w:r>
        <w:rPr>
          <w:b/>
        </w:rPr>
        <w:t>POSSIBLE 2025:</w:t>
      </w:r>
      <w:r>
        <w:t xml:space="preserve"> Anti-Inflammatory Activity of Thymol and Thymol-Rich Essential Oils: Mechanisms, Applications, and Recent Findings — https://doi.org/10.3390/molecules30112450</w:t>
      </w:r>
    </w:p>
    <w:p>
      <w:pPr/>
      <w:r>
        <w:rPr>
          <w:b/>
        </w:rPr>
        <w:t>Shared claim-specific concepts:</w:t>
      </w:r>
      <w:r>
        <w:t xml:space="preserve"> findings, recent, shown, activities, systems; EU scope not established. This is a provisional connection, not an outcome finding.</w:t>
      </w:r>
    </w:p>
    <w:p>
      <w:pPr>
        <w:pStyle w:val="SourceNote"/>
      </w:pPr>
      <w:r>
        <w:rPr>
          <w:b/>
        </w:rPr>
        <w:t>Available abstract (not full text):</w:t>
      </w:r>
      <w:r>
        <w:t xml:space="preserve"> Thymol, a monoterpenoid phenol present in the essential oils of several aromatic plants, has attracted considerable attention for its anti-inflammatory effects, often in combination with other bioactive compounds. This work explores the mechanisms behind the anti-inflammatory activity of thymol and thymol-rich essential oils, summarizing recent experimental findings. Inflammation, a key factor in numerous chronic diseases, can be modulated by targeting essential molecular pathways, such as MAPK, NF-κB, JAK/STAT, and arachidonic acid signaling. Thymol has been shown to influence these pathways, reducing the production of pro-inflammatory cytokines and mediators. Beyond its anti-inflammatory effects, thymol also exhibits a broad range of biological activities, including antimicrobial, antioxidant, and anticancer properties. The applications of thymol and thymol-containing essential oils in therapeutic formulations, food additives, and veterinary medicine are also reviewed. Despite promising preclinical results, challenges such as low bioavailability and toxicity at high doses limit their clinical use. Recent developments in drug delivery systems, such as encapsulation in micro- and nanoparticles, are suggested as strategies to enhance efficacy. Additionally, the synergistic effects of thymol with other natural products are examined, offering the potential for improved therapeutic</w:t>
      </w:r>
    </w:p>
    <w:p>
      <w:pPr/>
      <w:r>
        <w:rPr>
          <w:b/>
        </w:rPr>
        <w:t>POSSIBLE 2025:</w:t>
      </w:r>
      <w:r>
        <w:t xml:space="preserve"> Aging and HIV: Recent Findings in Contributing Factors — https://doi.org/10.1155/arat/8814760</w:t>
      </w:r>
    </w:p>
    <w:p>
      <w:pPr/>
      <w:r>
        <w:rPr>
          <w:b/>
        </w:rPr>
        <w:t>Shared claim-specific concepts:</w:t>
      </w:r>
      <w:r>
        <w:t xml:space="preserve"> findings, recent, science; EU scope not established. This is a provisional connection, not an outcome finding.</w:t>
      </w:r>
    </w:p>
    <w:p>
      <w:pPr>
        <w:pStyle w:val="SourceNote"/>
      </w:pPr>
      <w:r>
        <w:rPr>
          <w:b/>
        </w:rPr>
        <w:t>Available abstract (not full text):</w:t>
      </w:r>
      <w:r>
        <w:t xml:space="preserve"> Background: Aging among people living with HIV (PLWH) presents multifaceted challenges influenced by antiretroviral therapy (ART), chronic inflammation, viral coinfections, stigma, multimorbidity, and immunosuppression. Methods: This review synthesizes recent research findings to outline factors contributing to aging with HIV. A comprehensive literature search was done using electronic databases including PubMed, Web of Science, Google Scholar, and CINAHL with keywords “HIV,” “Aging,” “Elderly,” “Geriatrics,” “Older Adults,” “HIV Infections,” and “HIV/AIDS. Results: Addressing age‐related comorbidities, cognitive impairment, and non‐AIDS events is imperative as older PLWH face increased morbidity and mortality rates compounded by coinfections such as HCV, HPV, TB, HSV, and bacterial infections. While ART is vital for viral suppression, it introduces challenges such as mitochondrial toxicity, metabolic disorders, and decreased CD4 cell counts, accelerating the aging process. Lifestyle factors, including smoking, substance abuse, malnutrition, sedentary behavior, and mental health conditions, further exacerbate aging in PLWH. Conclusions: This study emphasizes the necessity of holistic approaches to meet the unique healthcare needs of older PLWH, with insights into immunosenescence, coinfections, disease progression, ART exposure, and lifestyle factors. Understanding these dynami</w:t>
      </w:r>
    </w:p>
    <w:p>
      <w:pPr/>
      <w:r>
        <w:rPr>
          <w:b/>
        </w:rPr>
        <w:t>POSSIBLE 2025:</w:t>
      </w:r>
      <w:r>
        <w:t xml:space="preserve"> Deep Learning Model in Science Learning: Bibliometric Analysis — https://doi.org/10.30736/seaj.v7i1.1160</w:t>
      </w:r>
    </w:p>
    <w:p>
      <w:pPr/>
      <w:r>
        <w:rPr>
          <w:b/>
        </w:rPr>
        <w:t>Shared claim-specific concepts:</w:t>
      </w:r>
      <w:r>
        <w:t xml:space="preserve"> findings, recent, science, learning; EU scope not established. This is a provisional connection, not an outcome finding.</w:t>
      </w:r>
    </w:p>
    <w:p>
      <w:pPr>
        <w:pStyle w:val="SourceNote"/>
      </w:pPr>
      <w:r>
        <w:rPr>
          <w:b/>
        </w:rPr>
        <w:t>Available abstract (not full text):</w:t>
      </w:r>
      <w:r>
        <w:t xml:space="preserve"> The deep learning model is one of the learning models that can be applied in science learning. Research related to deep learning has grown very rapidly in recent years. Research on deep learning models has produced many theoretical and empirical findings. Many trends have emerged to highlight the complexity and dynamics of deep learning models in science learning. This study aims to discover the latest trends in deep learning model research in science learning. This study uses a bibliometric approach of analysis based on the Google Scholar database. Based on this study's title, abstract, and keywords, it produced 872 studies from 2015-2024. The results of this study show that the deep learning model in this learning has increased significantly in 2022. The increase in research on deep learning models shows the importance of applying deep learning models in learning.</w:t>
      </w:r>
    </w:p>
    <w:p>
      <w:pPr/>
      <w:r>
        <w:rPr>
          <w:b/>
        </w:rPr>
        <w:t>POSSIBLE 2025:</w:t>
      </w:r>
      <w:r>
        <w:t xml:space="preserve"> Bridging the Gap: Enhancing Science Learning for Social Science Students — https://doi.org/10.62386/jised.v3i4.173</w:t>
      </w:r>
    </w:p>
    <w:p>
      <w:pPr/>
      <w:r>
        <w:rPr>
          <w:b/>
        </w:rPr>
        <w:t>Shared claim-specific concepts:</w:t>
      </w:r>
      <w:r>
        <w:t xml:space="preserve"> findings, recent, science, learning, activities, students; EU scope not established. This is a provisional connection, not an outcome finding.</w:t>
      </w:r>
    </w:p>
    <w:p>
      <w:pPr>
        <w:pStyle w:val="SourceNote"/>
      </w:pPr>
      <w:r>
        <w:rPr>
          <w:b/>
        </w:rPr>
        <w:t>Available abstract (not full text):</w:t>
      </w:r>
      <w:r>
        <w:t xml:space="preserve"> Many social science students at the Instituto Católico para a Formação de Professores (ICFP) Baucau, Timor-Leste, face difficulties when studying natural science in their second year because of their different academic backgrounds. This study aims to explore strategies that make natural science learning more accessible and engaging for these students. Using a literature review of recent research, the paper examines teaching methods that enhance motivation and understanding. Key approaches include hands-on experiments, clear explanations, interactive activities, and the use of real-life examples connected to students’ social and cultural contexts. The findings show that when science lessons are simplified, contextualized, and linked to practical experiences, students become more motivated and confident in their learning. These strategies not only improve comprehension but also make science more meaningful for learners from non-science backgrounds. The study provides recommendations for teachers at ICFP Baucau to design inclusive and engaging lessons that support social science students in successfully learning natural science</w:t>
      </w:r>
    </w:p>
    <w:p>
      <w:pPr/>
      <w:r>
        <w:rPr>
          <w:b/>
        </w:rPr>
        <w:t>POSSIBLE 2025:</w:t>
      </w:r>
      <w:r>
        <w:t xml:space="preserve"> The Effect of Size of Deep Learning Models in Science Learning — https://doi.org/10.31004/riggs.v4i2.947</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The study found out the influence of the deep learning model in science learning. This research is a type of quantitative research with a meta-analysis approach. The source of research data is 12 national journals indexed by SINTA, DOAJ or EBSCO. The eligibility criteria are that the research must be a quantitative method, the experimental method, the journal is published in 2022-2025, the research must be relevant, the participants come from elementary, junior high, high school and college students. Data analysis is quantitative analysis with the help of JASP applications. The results of this study can be concluded that there is a significant influence of the deep learning model in science learning with an effect size value of 0.915 in the high effect size category. These findings explain that the deep learning model is effectively applied at the elementary school to university education levels.</w:t>
      </w:r>
    </w:p>
    <w:p>
      <w:pPr/>
      <w:r>
        <w:rPr>
          <w:b/>
        </w:rPr>
        <w:t>POSSIBLE 2025:</w:t>
      </w:r>
      <w:r>
        <w:t xml:space="preserve"> Abnormal findings — https://doi.org/10.1111/aos.16907</w:t>
      </w:r>
    </w:p>
    <w:p>
      <w:pPr/>
      <w:r>
        <w:rPr>
          <w:b/>
        </w:rPr>
        <w:t>Shared claim-specific concepts:</w:t>
      </w:r>
      <w:r>
        <w:t xml:space="preserve"> findings, recent, shown, systems; EU scope not established. This is a provisional connection, not an outcome finding.</w:t>
      </w:r>
    </w:p>
    <w:p>
      <w:pPr>
        <w:pStyle w:val="SourceNote"/>
      </w:pPr>
      <w:r>
        <w:rPr>
          <w:b/>
        </w:rPr>
        <w:t>Available abstract (not full text):</w:t>
      </w:r>
      <w:r>
        <w:t xml:space="preserve"> The aim of this part is to show the difference between normal and abnormal findings in the angle. In addition grading systems and their therapeutic consequences will be discussed. Congenital disorders and acquired diseases affecting the eye and angle will be shown. The clinical findings will be discussed as well its context of recent advances in glaucoma surgery with microsurgical techniques requiring intraoperative gonioscopy for implants.</w:t>
      </w:r>
    </w:p>
    <w:p>
      <w:pPr>
        <w:pStyle w:val="Heading2"/>
      </w:pPr>
      <w:r>
        <w:t>528.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2026:</w:t>
      </w:r>
      <w:r>
        <w:t xml:space="preserve"> LITERATURE REVIEW: POLYPHARMACOTHERAPY AND ITS NEUROLOGICAL EFFECTS IN THE ELDERLY IN POLAND AND EUROPE — https://doi.org/10.31435/ijitss.2(50).2026.5712</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 recent years both in Poland and Europe there have been observed progressive demographic changes and aging of the population. Polypharmacy can be defined as the simultaneous and regular use of at least five different drugs and is particularly often used in elderly patients due to the multimorbidity. According to some sources, elderly people take between two and nine different medications daily, of which even about 60% are inappropriate. The aim of this paper is to summarize information on polypharmacy in seniors in order to plan it as best as possible and at the same time to avoid potential adverse effects, with particular emphasis on the nervous system. One of the most significant for polypharmacy is the age structure of the society. Poland is one of the European countries where the fastest growth of this ratio is observed. Huge problem seems to be the system of educating doctors, which is not adjusted to the changing demographics of the society. Furthermore, one of the factors contributing to polypharmacy is the excessive consumption of dietary supplements by Poles, especially geriatric patients - almost half of Poles consume them regularly. Polypharmacy can be defined as the simultaneous use of at least five different drugs. It is particularly often used in elderly patients due to the multimorbidity and lack of healthcare access. The advantage of polypharmacotherapy is fas</w:t>
      </w:r>
    </w:p>
    <w:p>
      <w:pPr/>
      <w:r>
        <w:rPr>
          <w:b/>
        </w:rPr>
        <w:t>POSSIBLE 2026:</w:t>
      </w:r>
      <w:r>
        <w:t xml:space="preserve"> Satellite-based Determination and Analysis of Groundwater Drought Index Time Series in Europe — https://doi.org/10.59440/ceer/220434</w:t>
      </w:r>
    </w:p>
    <w:p>
      <w:pPr/>
      <w:r>
        <w:rPr>
          <w:b/>
        </w:rPr>
        <w:t>Shared claim-specific concepts:</w:t>
      </w:r>
      <w:r>
        <w:t xml:space="preserve"> time, decrease, climate; EU scope visible. This is a provisional connection, not an outcome finding.</w:t>
      </w:r>
    </w:p>
    <w:p>
      <w:pPr>
        <w:pStyle w:val="SourceNote"/>
      </w:pPr>
      <w:r>
        <w:rPr>
          <w:b/>
        </w:rPr>
        <w:t>Available abstract (not full text):</w:t>
      </w:r>
      <w:r>
        <w:t xml:space="preserve"> According to the European Drought Observatory, more than 30% of Europe has been under drought warning conditions since 2018. This situation is primarily attributed to a persistent decline in groundwater resources. Satellite observations confirm that groundwater levels have not been recovering; in some regions, they continue to decrease. Data from the Global Gravity-based Groundwater Product (G3P) project, which employs satellite gravimetric measurements, enable continuous monitoring of groundwater variations and provide a globally consistent map of gravity field changes, directly converted into terrestrial water storage variations, of which groundwater is a key component. This study aims to estimate groundwater storage using models from the Global Gravity-based Groundwater Product derived from the Gravity Recovery and Climate Experiment (GRACE) mission. Based on the estimated groundwater storage, the Groundwater Drought Index (GDI) was calculated for climatically homogeneous regions in Europe, as defined by the Köppen–Geiger climate classification. To enhance the analysis of temporal GDI variations, the index time series was decomposed using the Fourier transform, allowing for the identification of dominant periodic components and long-term trends. Time series decomposition revealed a strong seasonal dependence of groundwater. The highest levels are observed in spring and the l</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time, temperature, measures, increase,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TDM and AI Training in the European Union – From ‘ LAION ’ to Possible Ways Ahead? — https://doi.org/10.1093/grurint/ikaf114</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Abstract The first judgments have been rendered in the European Union that directly or indirectly deal with AI training, and the corresponding applicability, conditions and scope of the European exception to copyright for commercial text and data mining (TDM). These judgments serve as important impulses for the future interpretation of the provision and the current legal and policy debate on AI training and TDM in the EU. The most pressing question is how to define the requirements for a machine-readable opt-out pursuant to Art. 4(3) DSM Directive, even more so since Art. 53(1)(c) AI Act obliges providers of general-purpose AI models to put in place a policy to identify and comply with corresponding reservations of rights during the training process – even when carried out in a third country outside the EU. This is not only relevant from a doctrinal point of view. Rather, the interpretation and specification of and the interplay between Art. 4(3) DSM Directive and Art. 53(1)(c) AI Act are of key importance for future global AI training practice. At the same time, these provisions constitute the main anchoring point in EU copyright law for reflecting on the possible development of licensing markets for AI training material and/or possible de lege ferenda options under a legal policy perspective.</w:t>
      </w:r>
    </w:p>
    <w:p>
      <w:pPr/>
      <w:r>
        <w:rPr>
          <w:b/>
        </w:rPr>
        <w:t>POSSIBLE 2025:</w:t>
      </w:r>
      <w:r>
        <w:t xml:space="preserve"> Updated monthly homogenized precipitation analysis HOMPRA Europe 2 online — https://doi.org/10.5194/ems2025-682</w:t>
      </w:r>
    </w:p>
    <w:p>
      <w:pPr/>
      <w:r>
        <w:rPr>
          <w:b/>
        </w:rPr>
        <w:t>Shared claim-specific concepts:</w:t>
      </w:r>
      <w:r>
        <w:t xml:space="preserve"> same, time, possible, minimum; EU scope visible. This is a provisional connection, not an outcome finding.</w:t>
      </w:r>
    </w:p>
    <w:p>
      <w:pPr>
        <w:pStyle w:val="SourceNote"/>
      </w:pPr>
      <w:r>
        <w:rPr>
          <w:b/>
        </w:rPr>
        <w:t>Available abstract (not full text):</w:t>
      </w:r>
      <w:r>
        <w:t xml:space="preserve"> Reliable data is essential for robust precipitation trend analyses. However, long time series in particular often contain artificial changes due to changes in the measurement conditions (e.g. instrument changes or relocations). These can lead to an artificial signal in the data and mask the actual changes in the time series. In order to perform long-term precipitation change analyses, the monthly grid product HOMPRA Europe 2 (HOMogenized PRecipitation Analysis of European in-situ data) was developed at the Global Precipitation Climatology Centre (GPCC) and is available for the period 1951-2015 with 0.5°, 1.0° and 2.5° spatial resolution. The database consists of monthly time series carefully selected from the GPCC's data archive with less than 20% missing values. All data have already passed the GPCC's semi-automatic quality control. Compared to its predecessor, the number of incoming stations has increased from 5373 to 7916 and the data set has been extended from 2005 to 2015. The selected time series have been homogenized. This process recognizes and corrects the artificial influences as far as possible while retaining the natural changes. The actual algorithm is essentially based on three steps (Rustemeier et al., 2017): Selection of overlapping station networks located in the same precipitation regime, based on rank correlation and Ward's method of minimum variance. The nat</w:t>
      </w:r>
    </w:p>
    <w:p>
      <w:pPr/>
      <w:r>
        <w:rPr>
          <w:b/>
        </w:rPr>
        <w:t>POSSIBLE 2025:</w:t>
      </w:r>
      <w:r>
        <w:t xml:space="preserve"> A Possible Way to Enhance European Competitiveness — https://doi.org/10.34190/ecie.20.1.3930</w:t>
      </w:r>
    </w:p>
    <w:p>
      <w:pPr/>
      <w:r>
        <w:rPr>
          <w:b/>
        </w:rPr>
        <w:t>Shared claim-specific concepts:</w:t>
      </w:r>
      <w:r>
        <w:t xml:space="preserve"> possible, increase, area;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Shorter and Warmer Winters Expand the Hibernation Area of Bats in Europe — https://doi.org/10.1111/ele.70119</w:t>
      </w:r>
    </w:p>
    <w:p>
      <w:pPr/>
      <w:r>
        <w:rPr>
          <w:b/>
        </w:rPr>
        <w:t>Shared claim-specific concepts:</w:t>
      </w:r>
      <w:r>
        <w:t xml:space="preserve"> winter, temperature, climate, area; EU scope visible. This is a provisional connection, not an outcome finding.</w:t>
      </w:r>
    </w:p>
    <w:p>
      <w:pPr>
        <w:pStyle w:val="SourceNote"/>
      </w:pPr>
      <w:r>
        <w:rPr>
          <w:b/>
        </w:rPr>
        <w:t>Available abstract (not full text):</w:t>
      </w:r>
      <w:r>
        <w:t xml:space="preserve"> Predicting species range shifts in response to environmental change requires the determination of regions where individuals maintain a positive energy budget. For hibernating animals, this budget depends on two physiological states (normothermy and torpor) that alternate in response to ambient temperature. To study range shifts of hibernators like the common noctule (Nyctalus noctula), we developed an ecophysiological approach that integrates metabolic rates, physiological states, and environmental conditions. Our model accurately hindcasted the northward range shift of this migratory bat over the past 50 years. Under climate change forecasts SSP1-2.6, SSP2-4.5, SSP3-7.0, and SSP5-8.5, for which winters will shorten by 1.4-41 days and warm by 0.11°C-2.3°C, the hibernation area is predicted to shift by 78-732 km and expand north-eastward by 5.8%-14% by 2100. Mean ambient temperature and winter duration prove sufficient to approximate the hibernation niche and may be used to predict changes in hibernation areas where collecting physiological measurements is difficult.</w:t>
      </w:r>
    </w:p>
    <w:p>
      <w:pPr/>
      <w:r>
        <w:rPr>
          <w:b/>
        </w:rPr>
        <w:t>POSSIBLE 2025:</w:t>
      </w:r>
      <w:r>
        <w:t xml:space="preserve"> Winter stratospheric extreme events impact European storm damage — https://doi.org/10.1038/s43247-025-02431-w</w:t>
      </w:r>
    </w:p>
    <w:p>
      <w:pPr/>
      <w:r>
        <w:rPr>
          <w:b/>
        </w:rPr>
        <w:t>Shared claim-specific concepts:</w:t>
      </w:r>
      <w:r>
        <w:t xml:space="preserve"> winter, increase, climate; EU scope visible. This is a provisional connection, not an outcome finding.</w:t>
      </w:r>
    </w:p>
    <w:p>
      <w:pPr>
        <w:pStyle w:val="SourceNote"/>
      </w:pPr>
      <w:r>
        <w:rPr>
          <w:b/>
        </w:rPr>
        <w:t>Available abstract (not full text):</w:t>
      </w:r>
      <w:r>
        <w:t xml:space="preserve"> Extreme stratospheric events, such as sudden stratospheric warmings or strong polar vortex events, can have a persistent influence on winter surface weather. While these changes often lead to shifts in extratropical cyclone tracks and increased risk of extreme winds, flooding, or heavy snowfall, there has been no systematic effort to quantify their associated impacts with respect to stratospheric forcing. Here we establish the connection between stratospheric extreme events and midlatitude storms in the Euro-Atlantic region using reanalysis of the European Centre for Medium-Range Weather Forecasts and impact datasets. We show that storm-related hazards in northern Europe occur more frequently following strong vortex events than after sudden stratospheric warmings. Moreover, stratospheric forcing shapes the geographic pattern of storm impacts. Quantifying these connections - from precursors to hazards and impacts - can enable earlier warnings for society and for decision-makers in sectors such as emergency preparedness, public health, energy, and water management. Stratospheric extremes might contribute to an increase in the total counts of storm-related disasters in Europe during winter, according to analysis of climate reanalysis dataset as well as impact and disaster records.</w:t>
      </w:r>
    </w:p>
    <w:p>
      <w:pPr/>
      <w:r>
        <w:rPr>
          <w:b/>
        </w:rPr>
        <w:t>POSSIBLE 2025:</w:t>
      </w:r>
      <w:r>
        <w:t xml:space="preserve"> Multidecadal variability of the ENSO early-winter teleconnection to Europe and implications for seasonal forecasting — https://doi.org/10.1038/s41612-025-01160-3</w:t>
      </w:r>
    </w:p>
    <w:p>
      <w:pPr/>
      <w:r>
        <w:rPr>
          <w:b/>
        </w:rPr>
        <w:t>Shared claim-specific concepts:</w:t>
      </w:r>
      <w:r>
        <w:t xml:space="preserve"> temperature, climate, sea; EU scope visible. This is a provisional connection, not an outcome finding.</w:t>
      </w:r>
    </w:p>
    <w:p>
      <w:pPr>
        <w:pStyle w:val="SourceNote"/>
      </w:pPr>
      <w:r>
        <w:rPr>
          <w:b/>
        </w:rPr>
        <w:t>Available abstract (not full text):</w:t>
      </w:r>
      <w:r>
        <w:t xml:space="preserve"> Abstract The impacts of the El Niño-Southern Oscillation (ENSO) on the climate of the North Atlantic and Europe (NAE) are season-dependent and, in some cases, neither symmetric nor stationary. Generally, ENSO teleconnections involve different tropospheric mechanisms, depending on the ocean background state. However, the impacts and mechanisms of the ENSO teleconnection to NAE in early-winter (November-December) remain unclear. Here, the teleconnection is analysed for different sea surface temperature background states of the Pacific Ocean. Using gridded reanalysis and observational datasets, the results reveal that the teleconnection is not stationary and has changed with the Pacific Decadal Oscillation (PDO) phase, leading to distinct impacts on the surface climate in Europe. The SEAS5 dynamical seasonal prediction model from ECMWF accurately captures ENSO as a source of early-winter predictability over Europe. Moreover, the model's teleconnection and predictive capability show multi-decadal variability. This implies the emergence of windows of opportunity for seasonal forecasting, where predictability may be higher than initially expected.</w:t>
      </w:r>
    </w:p>
    <w:p>
      <w:pPr>
        <w:pStyle w:val="Heading2"/>
      </w:pPr>
      <w:r>
        <w:t>529.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2026:</w:t>
      </w:r>
      <w:r>
        <w:t xml:space="preserve"> Why Grey Room — https://doi.org/10.1162/grey.e.11</w:t>
      </w:r>
    </w:p>
    <w:p>
      <w:pPr/>
      <w:r>
        <w:rPr>
          <w:b/>
        </w:rPr>
        <w:t>Shared claim-specific concepts:</w:t>
      </w:r>
      <w:r>
        <w:t xml:space="preserve"> room, further, liquidity; EU scope visible. This is a provisional connection, not an outcome finding.</w:t>
      </w:r>
    </w:p>
    <w:p>
      <w:pPr>
        <w:pStyle w:val="SourceNote"/>
      </w:pPr>
      <w:r>
        <w:rPr>
          <w:b/>
        </w:rPr>
        <w:t>Available abstract (not full text):</w:t>
      </w:r>
      <w:r>
        <w:t xml:space="preserve"> Photo falling—Word falling—Break through in grey room—Towers, open fireWhen Branden Joseph, Reinhold Martin, and Felicity Scott founded Grey Room twenty-five years ago, they borrowed its title from a passage in William S. Burroughs's novel The Ticket That Exploded (1962). As a new editorial group takes the helm, we revisit this foundational part of the journal's identity to think about what it means to “break through in grey room” today.Burroughs wrote these lines amid a period of postwar, Atomic Age tumult. For a number of years he resided in the so-called International Zone of Tangier, Morocco—a semi-lawless place where sovereign state power was indefinite, a city on the cusp of decolonial revolution. In Burroughs's writings, it was fictionalized as the Interzone, “a place where the unknown past and the emergent future meet in a vibrating soundless hum.”1 No single national authority controlled the International Zone; its interstitial status was poised between a waning colonial Europe and the waxing Pax Americana, of which Burroughs was a certain sort of privileged scion. For decades, the Burroughs Corporation, a manufacturer of adding machines founded by the author's grandfather, acted as a significant rival to (and occasional collaborator with) IBM. In the first half of the twentieth century, its computers aided astronomical calculations that guided U.S. sailors on the open</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2024:</w:t>
      </w:r>
      <w:r>
        <w:t xml:space="preserve"> Evaluation of an automated decision aid for the further referral of emergency room patients — https://doi.org/10.3238/arztebl.m2024.0191</w:t>
      </w:r>
    </w:p>
    <w:p>
      <w:pPr/>
      <w:r>
        <w:rPr>
          <w:b/>
        </w:rPr>
        <w:t>Shared claim-specific concepts:</w:t>
      </w:r>
      <w:r>
        <w:t xml:space="preserve"> there, room, further, application; EU scope visible. This is a provisional connection, not an outcome finding.</w:t>
      </w:r>
    </w:p>
    <w:p>
      <w:pPr>
        <w:pStyle w:val="SourceNote"/>
      </w:pPr>
      <w:r>
        <w:rPr>
          <w:b/>
        </w:rPr>
        <w:t>Available abstract (not full text):</w:t>
      </w:r>
      <w:r>
        <w:t xml:space="preserve">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r>
        <w:rPr>
          <w:b/>
        </w:rPr>
        <w:t>POSSIBLE 2024:</w:t>
      </w:r>
      <w:r>
        <w:t xml:space="preserve"> MODELING THE ENTRY OF AIR CONTAMINANTS INTO A ROOM — https://doi.org/10.31650/2618-0650-2024-6-2-58-76</w:t>
      </w:r>
    </w:p>
    <w:p>
      <w:pPr/>
      <w:r>
        <w:rPr>
          <w:b/>
        </w:rPr>
        <w:t>Shared claim-specific concepts:</w:t>
      </w:r>
      <w:r>
        <w:t xml:space="preserve"> room, carbon, possible; EU scope not established. This is a provisional connection, not an outcome finding.</w:t>
      </w:r>
    </w:p>
    <w:p>
      <w:pPr>
        <w:pStyle w:val="SourceNote"/>
      </w:pPr>
      <w:r>
        <w:rPr>
          <w:b/>
        </w:rPr>
        <w:t>Available abstract (not full text):</w:t>
      </w:r>
      <w:r>
        <w:t xml:space="preserve"> A mathematical model of air contaminant (products of human activity) inflow into the isolated air space has been developed. On the basis of the formula modified by us the simulation of human respiration with carbon dioxide, water vapor and heat emission is implemented. The model also takes into account the heat input from the human body through clothing. Applying numerical modelling ANSYS CFD (Computational Fluid Dynamics) on the basis of continuity equations and Reynolds-Averaged Navier-Stokes equations "RANS" (Reynolds-Averaged Navier-Stokes) the following results on air medium state change in the isolated space were obtained: - the human respiratory cycle is modelled at simultaneous heat transfer from the body surface through clothes into the studied air space; - the exponential equation of the trend line of concentration to observation time was obtained; - monitoring and rendering (visualization) of changes in concentration, temperature and relative humidity in the space under study by time along the room height was performed. These results and regularities served as initial data for solving a number of model non-stationary problems on aerodynamics and heat and mass transfer in the room. The inverse problem of general exchange ventilation was to be solved. Changes in the state of the air environment initially contaminated with carbon dioxide, heat and water vapors were stud</w:t>
      </w:r>
    </w:p>
    <w:p>
      <w:pPr/>
      <w:r>
        <w:rPr>
          <w:b/>
        </w:rPr>
        <w:t>POSSIBLE 2024:</w:t>
      </w:r>
      <w:r>
        <w:t xml:space="preserve"> Modelling potential distribution of the invasive box tree moth across Asia, Europe, and North America — https://doi.org/10.1371/journal.pone.0302259</w:t>
      </w:r>
    </w:p>
    <w:p>
      <w:pPr/>
      <w:r>
        <w:rPr>
          <w:b/>
        </w:rPr>
        <w:t>Shared claim-specific concepts:</w:t>
      </w:r>
      <w:r>
        <w:t xml:space="preserve"> further, possible; EU scope visible. This is a provisional connection, not an outcome finding.</w:t>
      </w:r>
    </w:p>
    <w:p>
      <w:pPr>
        <w:pStyle w:val="SourceNote"/>
      </w:pPr>
      <w:r>
        <w:rPr>
          <w:b/>
        </w:rPr>
        <w:t>Available abstract (not full text):</w:t>
      </w:r>
      <w:r>
        <w:t xml:space="preserve"> The box tree moth Cydalima perspectalis (Walker) (Lepidoptera: Crambidae) (BTM) is a native moth throughout eastern Asia, having recently become invasive in Europe (2007) where it feeds on boxwood (= box tree), Buxus spp. The moth rapidly spread across Europe and the Caucasus causing damage to both ornamental and wild Buxus. In 2018, C. perspectalis was found in Toronto, ON, Canada, and has since spread south into the US. To better predict where the moth will establish and have significant impact on ornamental trade in North America, we used most recent scientific literature and distribution points to update the temperature and diapause indices of an existing ecoclimatic CLIMEX model. The model parameters provided a good fit for the potential distribution of BTM compared to its known distribution across eastern Asia and in Europe. Interestingly, our results suggest that the current native distribution in Asia is incomplete and that further expansion is also possible in its introduced range, especially in northern Europe, along the Mediterranean coast of Africa, and eastward to central Russia. In North America, the model predicts that most of North America should be climatically suitable for the moth's establishment, with the exception of Alaska and the northern territories of Canada, as well as higher elevations in the Rocky Mountains and southern hot and dry areas. Our study h</w:t>
      </w:r>
    </w:p>
    <w:p>
      <w:pPr/>
      <w:r>
        <w:rPr>
          <w:b/>
        </w:rPr>
        <w:t>POSSIBLE 2023:</w:t>
      </w:r>
      <w:r>
        <w:t xml:space="preserve"> Hyper-resolution PCR-GLOBWB: opportunities and challenges from refining model spatial resolution to 1 km over the European continent — https://doi.org/10.5194/hess-27-1383-2023</w:t>
      </w:r>
    </w:p>
    <w:p>
      <w:pPr/>
      <w:r>
        <w:rPr>
          <w:b/>
        </w:rPr>
        <w:t>Shared claim-specific concepts:</w:t>
      </w:r>
      <w:r>
        <w:t xml:space="preserve"> application, applied; EU scope visible. This is a provisional connection, not an outcome finding.</w:t>
      </w:r>
    </w:p>
    <w:p>
      <w:pPr>
        <w:pStyle w:val="SourceNote"/>
      </w:pPr>
      <w:r>
        <w:rPr>
          <w:b/>
        </w:rPr>
        <w:t>Available abstract (not full text):</w:t>
      </w:r>
      <w:r>
        <w:t xml:space="preserve"> Abstract. The quest for hydrological hyper-resolution modelling is already on-going for more than a decade. While global hydrological models (GHMs) have seen a reduction in grid size, thus far they never have been consistently applied at hyper-resolution (&lt;= 1km) at the large scale. Here, we present the first application of the GHM PCR-GLOBWB at 1 km over Europe. We thoroughly evaluated simulated discharge, evaporation, soil moisture, and terrestrial water storage anomalies, and subsequently compared results with the ‘established’ 10 km and 50 km resolutions of PCR-GLOBWB. Subsequently, we could assess the added value of this first hyper-resolution version of PCR-GLOBWB as well as understand model and data requirements for future improvements. We found that for most variables epistemic uncertainty is still large. Merely for simulated discharge we can confidently state that model output at hyper-resolution improves over coarser resolutions. This first large-scale hyper-resolution modelling attempt shows that applying a GHM consistently is by now feasible with improved data availability and computer power. Also, simulated discharge improves due to better representation of the river network at 1 km. However, currently available observations are not yet widely available at hyper-resolution or lack sufficiently long timeseries, which makes it difficult to assess the performance of t</w:t>
      </w:r>
    </w:p>
    <w:p>
      <w:pPr/>
      <w:r>
        <w:rPr>
          <w:b/>
        </w:rPr>
        <w:t>POSSIBLE 2023:</w:t>
      </w:r>
      <w:r>
        <w:t xml:space="preserve"> Pricing and Optimization Model of European Options — https://doi.org/10.54097/hbem.v21i.14412</w:t>
      </w:r>
    </w:p>
    <w:p>
      <w:pPr/>
      <w:r>
        <w:rPr>
          <w:b/>
        </w:rPr>
        <w:t>Shared claim-specific concepts:</w:t>
      </w:r>
      <w:r>
        <w:t xml:space="preserve"> application, applied, improve; EU scope visible. This is a provisional connection, not an outcome finding.</w:t>
      </w:r>
    </w:p>
    <w:p>
      <w:pPr>
        <w:pStyle w:val="SourceNote"/>
      </w:pPr>
      <w:r>
        <w:rPr>
          <w:b/>
        </w:rPr>
        <w:t>Available abstract (not full text):</w:t>
      </w:r>
      <w:r>
        <w:t xml:space="preserve"> Financial market forecasts are gradually gaining the attention of investors. The options market is an integral and important part. Commonly used analysis methods include traditional BS formula and CRR model. This article obtained the transaction data of SP&amp;500 from February 2013 to February 2018, used the data of the first 4 years to train the model, and finally explored the actual price and predicted value of the European call option. To forecast the stock price, a hidden Markov model (HMM) is first applied. And on this basis, improve the parameter estimation in the traditional method BS-CRR, and compare each model with the actual value of the option. Compared with the traditional model, to some extent, the Hidden Markov Model can predict the state of the stock market., get rid of the limitations of the BS model assumptions, predict the direction of the price trend, and verify the feasibility of its application in the financial field.</w:t>
      </w:r>
    </w:p>
    <w:p>
      <w:pPr/>
      <w:r>
        <w:rPr>
          <w:b/>
        </w:rPr>
        <w:t>POSSIBLE 2023:</w:t>
      </w:r>
      <w:r>
        <w:t xml:space="preserve"> Subspecialisation in radiology in Europe, a survey of the accreditation council of imaging — https://doi.org/10.1186/s13244-023-01481-y</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BACKGROUND: To provide an overview of existing Subspecialty Exams and Diplomas in Radiology and their endorsement as well as to providing an insight into the status of subspecialisation in radiology in Europe. The European Training Curriculum for Subspecialisation in Radiology mentions thirteen fields of subspecialisation within radiology. The websites of the corresponding subspecialty societies were checked for Subspecialty Exams and Diplomas. In addition, we performed a survey among European radiologists regarding subspecialisation in radiology. RESULTS: Ten out of 13 European subspecialty societies offer a European subspecialty diploma. At least 7 out of the 10 European subspecialties societies in radiology offering a European subspecialty diploma obtained European Society of Radiology (ESR) endorsement. Two out of 10 obtained European Union of Medical Specialists-Council of European Specialist Medical Assessment endorsement. Survey among European radiologists who were ESR full members in March 2021 demonstrated that almost 20% of respondents indicated that they have no subspecialisation. Another 15% indicated that their area of subspecialisation is not recognised in their country of work. Eighty-four percent of respondents would like their area of subspecialisation in radiology to be officially recognised. According to the respondents, the major benefit of having their subs</w:t>
      </w:r>
    </w:p>
    <w:p>
      <w:pPr/>
      <w:r>
        <w:rPr>
          <w:b/>
        </w:rPr>
        <w:t>POSSIBLE 2023:</w:t>
      </w:r>
      <w:r>
        <w:t xml:space="preserve"> Investigating the phenomenon of small families in Europe — https://doi.org/10.58445/rars.581</w:t>
      </w:r>
    </w:p>
    <w:p>
      <w:pPr/>
      <w:r>
        <w:rPr>
          <w:b/>
        </w:rPr>
        <w:t>Shared claim-specific concepts:</w:t>
      </w:r>
      <w:r>
        <w:t xml:space="preserve"> there, room, possible; EU scope visible. This is a provisional connection, not an outcome finding.</w:t>
      </w:r>
    </w:p>
    <w:p>
      <w:pPr>
        <w:pStyle w:val="SourceNote"/>
      </w:pPr>
      <w:r>
        <w:rPr>
          <w:b/>
        </w:rPr>
        <w:t>Available abstract (not full text):</w:t>
      </w:r>
      <w:r>
        <w:t xml:space="preserve"> Investigating the phenomenon of small families in EuropeBlanka Osvay-SzabóIn the last decades, European countries have experienced a significant decline in fertility rates, with family patterns undergoing drastic changes.The conventional idea of large families has become antiquated and been replaced by a more contemporary view of family structure, which gave rise to the phenomenon of small families or having no kids at all.It is argued that the emergence of households with two kids or less can be attributed to a number of factors, including technological, political and legal, economic, and sociological contributors.In this essay, I will explore to what extent these variables play a role in determining family size while noting that there are many correlations and crossovers among these factors.Additionally, I will also shed light on the negative implications a decrease in the number of children per household entails, ranging from an aging society, a declining labour force, to a shrinking economic performance.One significant factor that profoundly contributed to the emergence of smaller families is the advancements that occurred in technology.The relevance of technological factors shaping family size roots back to the 18 th -19 th century, namely the Industrial Revolution.According to Beauvoir (1949, p. 122-155), the Industrial Revolution's new position for women in factory produ</w:t>
      </w:r>
    </w:p>
    <w:p>
      <w:pPr>
        <w:pStyle w:val="Heading2"/>
      </w:pPr>
      <w:r>
        <w:t>530.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2026:</w:t>
      </w:r>
      <w:r>
        <w:t xml:space="preserve"> Challenges and Opportunities in Single-Sample Network Modeling — https://doi.org/10.64898/2026.02.27.708608</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1 Abstract Analysis of biological networks can provide unprecedented insights into the mechanisms underlying disease. Although many methods have been developed to estimate biological networks, these approaches typically use multiple experimental samples to estimate a single ‘aggregate’ network, which fails to capture population-level heterogeneity. Recently, several methods have been developed that overcome this limitation by inferring networks for individual samples, i.e. single-sample networks. However, each approach for inferring single-sample networks has been formulated differently, making it challenging to compare them. To address this issue, we re-cast the mathematics of several single-sample network methods using common variables. We then systematically explore the parameters, caveats, and underlying assumptions made by each method and examine how these differences impact single-sample network prediction. Our analyses point to a critical trade-off that occurs when trying to simultaneously predict network edges that are both shared across samples as well as edges that are specific to a given sample. For example, the mathematics of both SWEET and BONOBO includes a scale factor that drives the weights of edges in the predicted single-sample networks toward a background network. The result is that, although networks predicted by these methods tend to have the highest accura</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2025:</w:t>
      </w:r>
      <w:r>
        <w:t xml:space="preserve"> Is it possible to predict single cane reed mouthpiece interaction by measuring the reed alone? — https://doi.org/10.61782/fa.2025.0509</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This paper deals with the experimental characterization of single cane reeds.According to some authors, the reed stiffness symmetry of the unmounted reed may explain it's perceived quality.Other studies show that the nonlinear stiffness of a reed mounted on a mouthpiece partially explains it's behavior in playing situations.According to these results, the aim of this work is to study the link between measurements performed on unmounted and mounted reeds.We adapted two experimental test rigs to characterize 90 reeds with 3 different strengths.The first is dedicated to unmounted reeds.It enables to measure the local stiffness at a known distance from the reed tip by imposing a displacement and measuring the force.The second test rig focuses on the reed mouthpiece interaction.Using a force sensor and a camera, it enables to estimate the nonlinear characteristics between lip force and reed channel area.Using these numerous measurements, we investigate the relation between the indicators by the use of statistical analysis and machine learning techniques.These methods enable to show several correlations between parameters obtained from unmounted and mounted reed measurements.</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r>
        <w:rPr>
          <w:b/>
        </w:rPr>
        <w:t>POSSIBLE 2024:</w:t>
      </w:r>
      <w:r>
        <w:t xml:space="preserve"> scEpiAge: an age predictor highlighting single-cell ageing heterogeneity in mouse blood — https://doi.org/10.1038/s41467-024-51833-5</w:t>
      </w:r>
    </w:p>
    <w:p>
      <w:pPr/>
      <w:r>
        <w:rPr>
          <w:b/>
        </w:rPr>
        <w:t>Shared claim-specific concepts:</w:t>
      </w:r>
      <w:r>
        <w:t xml:space="preserve"> predict, single, develop; EU scope not established. This is a provisional connection, not an outcome finding.</w:t>
      </w:r>
    </w:p>
    <w:p>
      <w:pPr>
        <w:pStyle w:val="SourceNote"/>
      </w:pPr>
      <w:r>
        <w:rPr>
          <w:b/>
        </w:rPr>
        <w:t>Available abstract (not full text):</w:t>
      </w:r>
      <w:r>
        <w:t xml:space="preserve"> Ageing is the accumulation of changes and decline of function of organisms over time. The concept and biomarkers of biological age have been established, notably DNA methylation-based clocks. The emergence of single-cell DNA methylation profiling methods opens the possibility of studying the biological age of individual cells. Here, we generate a large single-cell DNA methylation and transcriptome dataset from mouse peripheral blood samples, spanning a broad range of ages. The number of genes expressed increases with age, but gene-specific changes are small. We next develop scEpiAge, a single-cell DNA methylation age predictor, which can accurately predict age in (very sparse) publicly available datasets, and also in single cells. DNA methylation age distribution is wider than technically expected, indicating epigenetic age heterogeneity and functional differences. Our work provides a foundation for single-cell and sparse data epigenetic age predictors, validates their functionality and highlights epigenetic heterogeneity during ageing.</w:t>
      </w:r>
    </w:p>
    <w:p>
      <w:pPr/>
      <w:r>
        <w:rPr>
          <w:b/>
        </w:rPr>
        <w:t>POSSIBLE 2024:</w:t>
      </w:r>
      <w:r>
        <w:t xml:space="preserve"> Predictive coding with spiking neurons and feedforward gist signaling — https://doi.org/10.3389/fncom.2024.1338280</w:t>
      </w:r>
    </w:p>
    <w:p>
      <w:pPr/>
      <w:r>
        <w:rPr>
          <w:b/>
        </w:rPr>
        <w:t>Shared claim-specific concepts:</w:t>
      </w:r>
      <w:r>
        <w:t xml:space="preserve"> uses, alternative, plausible; EU scope not established. This is a provisional connection, not an outcome finding.</w:t>
      </w:r>
    </w:p>
    <w:p>
      <w:pPr>
        <w:pStyle w:val="SourceNote"/>
      </w:pPr>
      <w:r>
        <w:rPr>
          <w:b/>
        </w:rPr>
        <w:t>Available abstract (not full text):</w:t>
      </w:r>
      <w:r>
        <w:t xml:space="preserve"> Abstract Predictive coding (PC) is an influential theory in neuroscience, which suggests the existence of a cortical architecture that is constantly generating and updating predictive representations of sensory inputs. Owing to its hierarchical and generative nature, PC has inspired many computational models of perception in the literature. However, the biological plausibility of existing models has not been sufficiently explored due to their use of artificial neural network features such as a non-linear, continuous, and clock-driven function approximator as basic unit of computation. Therefore, we have developed a spiking neural network for predictive coding (SNN-PC), in which neurons communicate using event-driven and asynchronous spikes. While adopting the hierarchical structure and Hebbian learning algorithms from previous PC neural network models, SNN-PC introduces two novel features: 1) a fast feedforward sweep from the input to higher areas, which generates a spatially reduced and abstract representation of input (i.e., a neural code for the gist of a scene) and provides a neurobiological alternative to an arbitrary choice of priors; and 2) a separation of positive and negative error-computing neurons, which counters the biological implausibility of a bi-directional error neuron with a very high basal firing rate. After training with the MNIST handwritten digit dataset, </w:t>
      </w:r>
    </w:p>
    <w:p>
      <w:pPr/>
      <w:r>
        <w:rPr>
          <w:b/>
        </w:rPr>
        <w:t>POSSIBLE 2024:</w:t>
      </w:r>
      <w:r>
        <w:t xml:space="preserve"> Biased expectations about future choice options predict sequential economic decisions — https://doi.org/10.1038/s44271-024-00172-8</w:t>
      </w:r>
    </w:p>
    <w:p>
      <w:pPr/>
      <w:r>
        <w:rPr>
          <w:b/>
        </w:rPr>
        <w:t>Shared claim-specific concepts:</w:t>
      </w:r>
      <w:r>
        <w:t xml:space="preserve"> predict, version, several; EU scope not established. This is a provisional connection, not an outcome finding.</w:t>
      </w:r>
    </w:p>
    <w:p>
      <w:pPr>
        <w:pStyle w:val="SourceNote"/>
      </w:pPr>
      <w:r>
        <w:rPr>
          <w:b/>
        </w:rPr>
        <w:t>Available abstract (not full text):</w:t>
      </w:r>
      <w:r>
        <w:t xml:space="preserve"> Considerable research has shown that people make biased decisions in "optimal stopping problems", where options are encountered sequentially, and there is no opportunity to recall rejected options or to know upcoming options in advance (e.g. when flat hunting or choosing a spouse). Here, we used computational modelling to identify the mechanisms that best explain decision bias in the context of an especially realistic version of this problem: the full-information problem. We eliminated a number of factors as potential instigators of bias. Then, we examined sequence length and payoff scheme: two manipulations where an optimality model recommends adjusting the sampling rate. Here, participants were more reluctant to increase their sampling rates when it was optimal to do so, leading to increased undersampling bias. Our comparison of several computational models of bias demonstrates that many participants maintain these relatively low sampling rates because of suboptimally pessimistic expectations about the quality of future options (i.e. a mis-specified prior distribution). These results support a new theory about how humans solve full information problems. Understanding the causes of decision error could enhance how we conduct real world sequential searches for options, for example how online shopping or dating applications present options to users.</w:t>
      </w:r>
    </w:p>
    <w:p>
      <w:pPr/>
      <w:r>
        <w:rPr>
          <w:b/>
        </w:rPr>
        <w:t>POSSIBLE 2024:</w:t>
      </w:r>
      <w:r>
        <w:t xml:space="preserve"> Predicting the Pathway Involvement of Metabolites Based on Combined Metabolite and Pathway Features — https://doi.org/10.3390/metabo14050266</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A major limitation of most metabolomics datasets is the sparsity of pathway annotations of detected metabolites. It is common for less than half of identified metabolites in these datasets to have known metabolic pathway involvement. Trying to address this limitation, machine learning models have been developed to predict the association of a metabolite with a "pathway category", as defined by one of the metabolic knowledgebases like the Kyoto Encyclopedia of Gene and Genomes. Most of these models are implemented as a single binary classifier specific to a single pathway category, requiring a set of binary classifiers for generating predictions for multiple pathway categories. This single binary classifier per pathway category approach both multiplies the computational resources necessary for training while diluting the positive entries in gold standard datasets needed for training. To address the limitations of training separate classifiers, we propose a generalization of the metabolic pathway prediction problem using a single binary classifier that accepts both features representing a metabolite and features representing a generic pathway category and then predicts whether the given metabolite is involved in the corresponding pathway category. We demonstrate that this metabolite-pathway features-pair approach is not only competitive with the combined performance of training s</w:t>
      </w:r>
    </w:p>
    <w:p>
      <w:pPr/>
      <w:r>
        <w:rPr>
          <w:b/>
        </w:rPr>
        <w:t>POSSIBLE 2023:</w:t>
      </w:r>
      <w:r>
        <w:t xml:space="preserve"> Predicting the quality of life based on happiness and hope in single-parent teenagers — https://doi.org/10.61838/kman.jayps.4.1.3</w:t>
      </w:r>
    </w:p>
    <w:p>
      <w:pPr/>
      <w:r>
        <w:rPr>
          <w:b/>
        </w:rPr>
        <w:t>Shared claim-specific concepts:</w:t>
      </w:r>
      <w:r>
        <w:t xml:space="preserve"> single, version, based; EU scope not established. This is a provisional connection, not an outcome finding.</w:t>
      </w:r>
    </w:p>
    <w:p>
      <w:pPr>
        <w:pStyle w:val="SourceNote"/>
      </w:pPr>
      <w:r>
        <w:rPr>
          <w:b/>
        </w:rPr>
        <w:t>Available abstract (not full text):</w:t>
      </w:r>
      <w:r>
        <w:t xml:space="preserve"> Background and Aim: The present study was conducted with the aim of predicting the quality of life based on happiness and hope in single-parent teenagers. Methods: The current research population was female elementary school students in Semnan city, from which 220 single parents (12 to 16 years old) who met the criteria for entering the study were selected according to the criteria. The measurement tools in this research included the World Health Organization Quality of Life Questionnaire (1991), Oxford Hills and Argyll Happiness Questionnaire (2002) and Schneider et al.'s Hope Questionnaire (1991) and statistical analysis using SPSS version 23 software and multiple regression test. It was used simultaneously. Results: The results showed that happiness variables and hope components (strategic thinking and agentic thinking) can explain 23.2% of the variance of quality of life and it is significant at a level less than 0.01. Conclusion: Based on the obtained results, it can be said that the quality of life of single-parent teenagers can be predicted with the help of hope and happiness</w:t>
      </w:r>
    </w:p>
    <w:p>
      <w:pPr>
        <w:pStyle w:val="Heading2"/>
      </w:pPr>
      <w:r>
        <w:t>531.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2026:</w:t>
      </w:r>
      <w:r>
        <w:t xml:space="preserve"> The AI Answer Evidence Index: data, code and results of the main run — https://doi.org/10.5281/zenodo.23238428</w:t>
      </w:r>
    </w:p>
    <w:p>
      <w:pPr/>
      <w:r>
        <w:rPr>
          <w:b/>
        </w:rPr>
        <w:t>Shared claim-specific concepts:</w:t>
      </w:r>
      <w:r>
        <w:t xml:space="preserve"> result, found, main, time; EU scope not established. This is a provisional connection, not an outcome finding.</w:t>
      </w:r>
    </w:p>
    <w:p>
      <w:pPr>
        <w:pStyle w:val="SourceNote"/>
      </w:pPr>
      <w:r>
        <w:rPr>
          <w:b/>
        </w:rPr>
        <w:t>Available abstract (not full text):</w:t>
      </w:r>
      <w:r>
        <w:t xml:space="preserve"> This record holds the data, the code and the results of the main run of The AI Answer Evidence Index. The study asks whether a reader who follows an AI answer engine's own sources can find there the figures the answer gives: do the numbers in AI answers have sources? It measures whether a figure in an answer occurs on the pages that answer cites, and it does not measure whether any figure is correct. Fifty buyer questions about prices, costs, fees and value, drawn by a written rule from Google autocomplete suggestions, were put to Google AI Overviews, ChatGPT and Gemini through their free public web interfaces from a New York network exit on 5 to 7 October 2026, by fixed scripts, and the first ten were asked a second time. The design, the questions and the instrument were registered for these three engines before the first answer was collected (doi:10.5281/zenodo.23145556, published 5 October 2026 at 13:32:08 UTC). A local model listed the figures in each answer, a script checked every listed figure against the pages the answer cites, the figures that were not found were classified, and a 40-figure sample drawn from the figures of the three registered engines was read by a second model; both readings are model readings and are reported as such. Two engines were added after the registration and outside it, as exploratory additions. The same fifty questions were put once to Perpl</w:t>
      </w:r>
    </w:p>
    <w:p>
      <w:pPr/>
      <w:r>
        <w:rPr>
          <w:b/>
        </w:rPr>
        <w:t>POSSIBLE 2025:</w:t>
      </w:r>
      <w:r>
        <w:t xml:space="preserve"> The Types Of Illocutionary Found In The Main Character’s Utterances In Alladin Movie — https://doi.org/10.22334/traverse.v6i1.169</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pPr/>
      <w:r>
        <w:rPr>
          <w:b/>
        </w:rPr>
        <w:t>POSSIBLE 2025:</w:t>
      </w:r>
      <w:r>
        <w:t xml:space="preserve"> Prevalence of main soybean seed pathogens according to phytosanitary expertise results — https://doi.org/10.31073/kormovyrobnytstvo2025100-08</w:t>
      </w:r>
    </w:p>
    <w:p>
      <w:pPr/>
      <w:r>
        <w:rPr>
          <w:b/>
        </w:rPr>
        <w:t>Shared claim-specific concepts:</w:t>
      </w:r>
      <w:r>
        <w:t xml:space="preserve"> found, main, necessary; EU scope not established. This is a provisional connection, not an outcome finding.</w:t>
      </w:r>
    </w:p>
    <w:p>
      <w:pPr>
        <w:pStyle w:val="SourceNote"/>
      </w:pPr>
      <w:r>
        <w:rPr>
          <w:b/>
        </w:rPr>
        <w:t>Available abstract (not full text):</w:t>
      </w:r>
      <w:r>
        <w:t xml:space="preserve">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pPr/>
      <w:r>
        <w:rPr>
          <w:b/>
        </w:rPr>
        <w:t>POSSIBLE 2025:</w:t>
      </w:r>
      <w:r>
        <w:t xml:space="preserve"> The Illocutionary Acts Found in Main Characters’ Conversation of the Maleficent Movie — https://doi.org/10.24256/ideas.v12i2.5457</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pPr/>
      <w:r>
        <w:rPr>
          <w:b/>
        </w:rPr>
        <w:t>POSSIBLE 2025:</w:t>
      </w:r>
      <w:r>
        <w:t xml:space="preserve"> Changes in Ageism and LGBTIA Clinical Competency Following an LGBTIA Older Adult Competency Training — https://doi.org/10.1093/geroni/igaf122.3728</w:t>
      </w:r>
    </w:p>
    <w:p>
      <w:pPr/>
      <w:r>
        <w:rPr>
          <w:b/>
        </w:rPr>
        <w:t>Shared claim-specific concepts:</w:t>
      </w:r>
      <w:r>
        <w:t xml:space="preserve"> found, lack, skills, necessary; EU scope not established. This is a provisional connection, not an outcome finding.</w:t>
      </w:r>
    </w:p>
    <w:p>
      <w:pPr>
        <w:pStyle w:val="SourceNote"/>
      </w:pPr>
      <w:r>
        <w:rPr>
          <w:b/>
        </w:rPr>
        <w:t>Available abstract (not full text):</w:t>
      </w:r>
      <w:r>
        <w:t xml:space="preserve"> Abstract Lesbian, gay, bisexual, transgender, intersex, agender/asexual, and other sexual and gender minority (LGBTIA) older adults face health disparities relative to the general population (Lampe et al., 2023), due in part to unmet health needs through available healthcare and aging services (Gibson et al., 2019). Lack of culturally competent services emerged in a community needs assessment as a concern among LGBTIA older adults (Winberry, 2023). To address this, we conducted an LGBTIA older adult cultural competency training focused on preparing healthcare and other service providers with the knowledge and skills necessary to meet the needs of this population. Using paired sample t-tests, we examined how the training impacted ageist attitudes and LGBTIA clinical competency among participants (n = 43). The training reduced ageist attitudes among participants, t(33) = -3.94, p &lt; .001 with a moderate effect size (d = .47; Cohen, 1988). We also found that the training improved self-perceived clinical competency for working with LGBTQ+ individuals among participants, t(37) = 7.64, p &lt; .001 with a moderate effect size (d = .58; Cohen, 1988). We found similar results for clinical preparedness, t(39) = 2.57, p = .014 with a moderate effect size (d = .53; Cohen, 1988); attitudes toward LGBTIA individuals, t(39) = 2.57, p = .014 with a small effect size (d = .22; Cohen, 1988); and kno</w:t>
      </w:r>
    </w:p>
    <w:p>
      <w:pPr/>
      <w:r>
        <w:rPr>
          <w:b/>
        </w:rPr>
        <w:t>POSSIBLE 2025:</w:t>
      </w:r>
      <w:r>
        <w:t xml:space="preserve"> Overcoming virtual distance: a systematic review of leadership competencies for managing performance in telework — https://doi.org/10.3389/forgp.2024.1499248</w:t>
      </w:r>
    </w:p>
    <w:p>
      <w:pPr/>
      <w:r>
        <w:rPr>
          <w:b/>
        </w:rPr>
        <w:t>Shared claim-specific concepts:</w:t>
      </w:r>
      <w:r>
        <w:t xml:space="preserve"> found, lack, competencies; EU scope not established. This is a provisional connection, not an outcome finding.</w:t>
      </w:r>
    </w:p>
    <w:p>
      <w:pPr>
        <w:pStyle w:val="SourceNote"/>
      </w:pPr>
      <w:r>
        <w:rPr>
          <w:b/>
        </w:rPr>
        <w:t>Available abstract (not full text):</w:t>
      </w:r>
      <w:r>
        <w:t xml:space="preserve"> Introduction Leadership in organizations is facing important challenges related to technological and social developments. The widespread use of teleworking and remote work requires organizations to identify and develop leadership competencies adapted to this work context. This structured literature review explores empirical evidence on theleadership competencies that facilitate telework and how they contribute to achieving high levels of performance in teleworkers. Methods We analyzed 22 quantitative and 15 qualitative empirical articles (2000–2024) following PRISMA guidelines. We selected only research that concentrates on specific leadership competencies. Results The review shows that competencies oriented to decrease operational and social distance at work are positively related to individual and team task performance in organizations. There is some evidence of the relationship of those competencies with other dimensions of performance such as innovative performance or OCB. Leaders' digital communication emerges as the foremost competency, along with goal management, support and empowerment. To some extent, mechanisms such as trust, autonomy, and media usage have been found as intervening mechanisms. Moderators such as teleworkers' self-management and geographical distance have been identified. Discussion Substantial gaps in the literature were identified, including the lack</w:t>
      </w:r>
    </w:p>
    <w:p>
      <w:pPr/>
      <w:r>
        <w:rPr>
          <w:b/>
        </w:rPr>
        <w:t>POSSIBLE 2025:</w:t>
      </w:r>
      <w:r>
        <w:t xml:space="preserve"> Reflection on Indonesia's PISA Scores and the 2024 Madrasah Teacher Competency Assessment Results: Challenges in Enhancing Teacher Competence — https://doi.org/10.37630/jpi.v15i1.2559</w:t>
      </w:r>
    </w:p>
    <w:p>
      <w:pPr/>
      <w:r>
        <w:rPr>
          <w:b/>
        </w:rPr>
        <w:t>Shared claim-specific concepts:</w:t>
      </w:r>
      <w:r>
        <w:t xml:space="preserve"> found, main, lack, skills, teachers; EU scope not established. This is a provisional connection, not an outcome finding.</w:t>
      </w:r>
    </w:p>
    <w:p>
      <w:pPr>
        <w:pStyle w:val="SourceNote"/>
      </w:pPr>
      <w:r>
        <w:rPr>
          <w:b/>
        </w:rPr>
        <w:t>Available abstract (not full text):</w:t>
      </w:r>
      <w:r>
        <w:t xml:space="preserve"> The low score of Programme for International Student Assessment (PISA) of Indonesian students in 2022 is a serious concern in education. PISA results show that Indonesian students' literacy, numeracy and science skills are still below the international average. One of the factors contributing to this problem is the suboptimal quality of teachers. Based on the results of the Assessment of the Competence of Madrasah Teachers and Education Personnel in 2024, it was found that many teachers still have limitations in pedagogic, literacy and numeracy aspects. This study aims to analyse the relationship between the low PISA scores of Indonesian students and the quality of teacher competence through a descriptive approach. Using a descriptive quantitative approach, this study processes secondary data from the results of teacher competency assessments covering pedagogic, professional, social, and personality aspects. The results show that there is a significant relationship between low teacher competence and student academic achievement. Some of the main points found were weak mastery of higher-order thinking skills (HOTS)-based learning concepts, lack of innovation in learning methods, and minimal utilisation of technology in the teaching process. In addition, many teachers do not have effective strategies to improve students' literacy and numeracy skills. Efforts to improve the qualit</w:t>
      </w:r>
    </w:p>
    <w:p>
      <w:pPr/>
      <w:r>
        <w:rPr>
          <w:b/>
        </w:rPr>
        <w:t>POSSIBLE 2025:</w:t>
      </w:r>
      <w:r>
        <w:t xml:space="preserve"> Teaching competencies according to The TPACK model for chemistry teachers in Iraq — https://doi.org/10.53894/ijirss.v8i2.6071</w:t>
      </w:r>
    </w:p>
    <w:p>
      <w:pPr/>
      <w:r>
        <w:rPr>
          <w:b/>
        </w:rPr>
        <w:t>Shared claim-specific concepts:</w:t>
      </w:r>
      <w:r>
        <w:t xml:space="preserve"> found, lack, competencies, teachers; EU scope not established. This is a provisional connection, not an outcome finding.</w:t>
      </w:r>
    </w:p>
    <w:p>
      <w:pPr>
        <w:pStyle w:val="SourceNote"/>
      </w:pPr>
      <w:r>
        <w:rPr>
          <w:b/>
        </w:rPr>
        <w:t>Available abstract (not full text):</w:t>
      </w:r>
      <w:r>
        <w:t xml:space="preserve"> The research aims to identify the degree of availability of teaching competencies according to the TPACK model among chemistry teachers in secondary schools in Iraq. The study used a descriptive correlational research method, with 300 teachers from day and evening secondary schools in Baghdad Al-Rusafa Governorate selected randomly for the 2022-2023 academic year. The TPACK model was used to assess teaching competencies, which consisted of 45 items across seven domains: content knowledge, educational knowledge, technological knowledge, content and educational knowledge, technology and content knowledge, technology and educational knowledge, and technology, education, and content knowledge. The results of the research showed that there is a weakness in the degree of availability of teaching competencies according to the TPACK model among chemistry teachers. The questionnaire as a whole indicated this, as shown by the results. The study found a lack of availability in areas of teaching competencies such as educational knowledge, technological knowledge, knowledge of technology and content, and knowledge of technology and education. However, the field of content knowledge was available. The researchers recommended in-service teacher training programs to integrate technology, education, and content knowledge.</w:t>
      </w:r>
    </w:p>
    <w:p>
      <w:pPr/>
      <w:r>
        <w:rPr>
          <w:b/>
        </w:rPr>
        <w:t>POSSIBLE 2025:</w:t>
      </w:r>
      <w:r>
        <w:t xml:space="preserve"> Disaster Responder Competencies for Emergency Medical Teams: A Scoping Review — https://doi.org/10.1017/s1049023x2500041x</w:t>
      </w:r>
    </w:p>
    <w:p>
      <w:pPr/>
      <w:r>
        <w:rPr>
          <w:b/>
        </w:rPr>
        <w:t>Shared claim-specific concepts:</w:t>
      </w:r>
      <w:r>
        <w:t xml:space="preserve"> found, lack, competencies, time; EU scope not established. This is a provisional connection, not an outcome finding.</w:t>
      </w:r>
    </w:p>
    <w:p>
      <w:pPr>
        <w:pStyle w:val="SourceNote"/>
      </w:pPr>
      <w:r>
        <w:rPr>
          <w:b/>
        </w:rPr>
        <w:t>Available abstract (not full text):</w:t>
      </w:r>
      <w:r>
        <w:t xml:space="preserve"> Background/Introduction: Historically, medical response efforts to large-scale disaster events have highlighted significant variability in the capabilities of responding medical providers and emergency medical teams (EMTs). Analysis of the 2010 Haiti earthquake response found that a number of medical teams were poorly prepared, inexperienced, or lacked the competencies to provide the level of medical care required, highlighting the need for medical team standards. The World Health Organization (WHO) EMT initiative that followed created minimum team standards for responding international EMTs to improve the quality and timeliness of medical services. At the present time however, there remains a lack of globally recognized minimum competency standards at the level of the individual disaster medical responder, allowing for continued variability in patient care. Objectives: This study examines existing competencies for physicians, nurses, and paramedics who are members of deployable disaster response teams. Method/Description: A scoping review of published English-language articles on existing competencies for physicians, nurses, and paramedics who are members of deployable disaster response teams was performed in Ovid MEDLINE, Ovid Embase, CINAHL, Scopus, and Web of Science Core Collection. A total of 3,474 articles will be reviewed. Results/Outcomes: Data to be analyzed by Octobe</w:t>
      </w:r>
    </w:p>
    <w:p>
      <w:pPr>
        <w:pStyle w:val="Heading2"/>
      </w:pPr>
      <w:r>
        <w:t>532.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multidimensional, approach, traditional;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The Right to a Fair Remuneration and Fair Income Replacement in the European Social Charter: A Multidimensional Approach — https://doi.org/10.3935/zpfz.75.6.2</w:t>
      </w:r>
    </w:p>
    <w:p>
      <w:pPr/>
      <w:r>
        <w:rPr>
          <w:b/>
        </w:rPr>
        <w:t>Shared claim-specific concepts:</w:t>
      </w:r>
      <w:r>
        <w:t xml:space="preserve"> multidimensional, approach, labour; EU scope visible. This is a provisional connection, not an outcome finding.</w:t>
      </w:r>
    </w:p>
    <w:p>
      <w:pPr>
        <w:pStyle w:val="SourceNote"/>
      </w:pPr>
      <w:r>
        <w:rPr>
          <w:b/>
        </w:rPr>
        <w:t>Available abstract (not full text):</w:t>
      </w:r>
      <w:r>
        <w:t xml:space="preserve"> The right to fair remuneration constitutes a fundamental employment-related entitlement and a cornerstone of the adequate standard of living. Closely linked to various provisions of the Revised (1996) European Social Charter – such as the right to social security – it not only ensures individuals can meet basic subsistence needs but also empowers them to autonomously pursue their life plans within market-based democracies. Its adequate protection is essential to preventing poverty, promoting social inclusion, and safeguarding equal opportunities in the labour market as well as in society. The European Committee of Social Rights plays a crucial role in this regard by monitoring compliance with the Charter, interpreting its provisions, and assessing whether national laws and practices align with the standards of fair remuneration set out in international law. The contribution examines the right to fair remuneration from different perspectives within as well as outside the European Social Charter, indicating its global importance and the sometimes-overlooked link to a number of other (social and economic) rights which together allow for persons’ development and execution of life plans in marked democracies. Since only a handful of countries, Members of the Council of Europe have not yet ratified the Revised European Social Charter, the article primarily focuses on the latter and n</w:t>
      </w:r>
    </w:p>
    <w:p>
      <w:pPr/>
      <w:r>
        <w:rPr>
          <w:b/>
        </w:rPr>
        <w:t>POSSIBLE 2026:</w:t>
      </w:r>
      <w:r>
        <w:t xml:space="preserve"> A Multidimensional Approach to Financial Fragility — https://doi.org/10.4324/9781003596851-5</w:t>
      </w:r>
    </w:p>
    <w:p>
      <w:pPr/>
      <w:r>
        <w:rPr>
          <w:b/>
        </w:rPr>
        <w:t>Shared claim-specific concepts:</w:t>
      </w:r>
      <w:r>
        <w:t xml:space="preserve"> multidimensional, approach, age; EU scope visible. This is a provisional connection, not an outcome finding.</w:t>
      </w:r>
    </w:p>
    <w:p>
      <w:pPr>
        <w:pStyle w:val="SourceNote"/>
      </w:pPr>
      <w:r>
        <w:rPr>
          <w:b/>
        </w:rPr>
        <w:t>Available abstract (not full text):</w:t>
      </w:r>
      <w:r>
        <w:t xml:space="preserve"> This chapter presents a comprehensive comparative analysis of household financial fragility across Central and Eastern European countries, drawing on harmonised micro-level data from the European Union Statistics on Income and Living Conditions. It conceptualises financial fragility as a multidimensional condition reflecting households’ limited capacity to absorb economic shocks, combining subjective perceptions of financial strain with objective indicators of material constraints. To capture this complexity, the chapter constructs a composite indicator of financial fragility using a fuzzy-set approach, allowing for nuanced differentiation among degrees of vulnerability rather than binary classifications. The empirical analysis compares levels, distributions, and trajectories of financial fragility across eleven countries over time, highlighting both convergence trends and persistent cross-country disparities. In addition, the chapter examines heterogeneity within countries by analysing differences across socio-demographic groups, settlement types, age cohorts, gender, education levels, and housing tenure. The findings reveal substantial overall improvements in household financial conditions since the global financial crisis, alongside enduring structural vulnerabilities affecting specific population groups and national contexts. By integrating theory, methodology, and comparat</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r>
        <w:rPr>
          <w:b/>
        </w:rPr>
        <w:t>POSSIBLE 2025:</w:t>
      </w:r>
      <w:r>
        <w:t xml:space="preserve"> Measuring and targeting energy poverty in Europe using a multidimensional approach — https://doi.org/10.1016/j.enpol.2025.114518</w:t>
      </w:r>
    </w:p>
    <w:p>
      <w:pPr/>
      <w:r>
        <w:rPr>
          <w:b/>
        </w:rPr>
        <w:t>Shared claim-specific concepts:</w:t>
      </w:r>
      <w:r>
        <w:t xml:space="preserve"> multidimensional, approach, increase; EU scope visible. This is a provisional connection, not an outcome finding.</w:t>
      </w:r>
    </w:p>
    <w:p>
      <w:pPr>
        <w:pStyle w:val="SourceNote"/>
      </w:pPr>
      <w:r>
        <w:rPr>
          <w:b/>
        </w:rPr>
        <w:t>Available abstract (not full text):</w:t>
      </w:r>
      <w:r>
        <w:t xml:space="preserve">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pPr/>
      <w:r>
        <w:rPr>
          <w:b/>
        </w:rPr>
        <w:t>POSSIBLE 2025:</w:t>
      </w:r>
      <w:r>
        <w:t xml:space="preserve"> Demographic Drivers of Epidemic Outcomes: Sensitivity Analysis of Multidimensional Parameters in the Covasim Model — https://doi.org/10.1101/2025.10.14.25328629</w:t>
      </w:r>
    </w:p>
    <w:p>
      <w:pPr/>
      <w:r>
        <w:rPr>
          <w:b/>
        </w:rPr>
        <w:t>Shared claim-specific concepts:</w:t>
      </w:r>
      <w:r>
        <w:t xml:space="preserve"> multidimensional, demographic, approach, age; EU scope not established. This is a provisional connection, not an outcome finding.</w:t>
      </w:r>
    </w:p>
    <w:p>
      <w:pPr>
        <w:pStyle w:val="SourceNote"/>
      </w:pPr>
      <w:r>
        <w:rPr>
          <w:b/>
        </w:rPr>
        <w:t>Available abstract (not full text):</w:t>
      </w:r>
      <w:r>
        <w:t xml:space="preserve"> Abstract Background Sensitivity analysis is a key tool for identifying which model inputs most strongly influence model outputs thereby informing data collection priorities. In agent-based models, these inputs include demographic parameters used to construct synthetic populations. Such parameters — age distributions, household size distributions, and contact matrices — are critical in shaping transmission dynamics. However, most established sensitivity analysis methods are designed for scalar inputs and cannot readily accommodate multidimensional demographic data. We introduce a novel sampling approach to assess the influence of such parameters on model outputs, addressing a key gap in sensitivity analysis of epidemiological agent-based models. Methods The Covasim model of COVID-19 transmission was used as the case study in this work. An autoencoder neural network was trained on country-level demographic datasets to generate realistic samples of high-dimensional inputs of the model. These sampled inputs were coupled with Sobol’ sensitivity indices to quantify their influence on cumulative infections and deaths. Results Non-scalar parameters were found to exert a major influence on model outputs. Household size distribution was the most important parameter for cumulative number of infectious cases, while age distribution had the largest effect on cumulative deaths. These finding</w:t>
      </w:r>
    </w:p>
    <w:p>
      <w:pPr/>
      <w:r>
        <w:rPr>
          <w:b/>
        </w:rPr>
        <w:t>POSSIBLE 2025:</w:t>
      </w:r>
      <w:r>
        <w:t xml:space="preserve"> De welvaartsstaat hervormen in de 21e eeuw: Publieke steun en de politieke haalbaarheid van voorstellen voor een basisinkomen — https://openalex.org/W7113667282</w:t>
      </w:r>
    </w:p>
    <w:p>
      <w:pPr/>
      <w:r>
        <w:rPr>
          <w:b/>
        </w:rPr>
        <w:t>Shared claim-specific concepts:</w:t>
      </w:r>
      <w:r>
        <w:t xml:space="preserve"> approach, microsimulation, project, labour, traditional, increase; EU scope visible. This is a provisional connection, not an outcome finding.</w:t>
      </w:r>
    </w:p>
    <w:p>
      <w:pPr>
        <w:pStyle w:val="SourceNote"/>
      </w:pPr>
      <w:r>
        <w:rPr>
          <w:b/>
        </w:rPr>
        <w:t>Available abstract (not full text):</w:t>
      </w:r>
      <w:r>
        <w:t xml:space="preserve"> A basic income (BI) differs radically from traditional public benefits because it breaks the link between contribution and benefit on the one hand and between need and benefit on the other. Although a BI is often presented as a simple idea, discussing concrete policy proposals quickly ends in a Tower of Babel-like argument. In many of these debates, it appears that proponents, and respectively opponents, often have different types of BI schemes in mind when advocating or criticizing the idea. However, it is quite clear that the actual outcomes of a BI will depend largely on the concrete policy design in terms of eligibility, eligibility criteria, benefit levels, financing, and implementation modalities. These aspects will have a major impact on the extent to which a BI will encourage or discourage paid work or any work at all, increase or decrease gender inequality in work and care, and end the myriad problems associated with income-dependent welfare benefits. Unfortunately, we lack empirical research on many of these outcomes. This is the main focus of the BAsic income in BELgium (BABEL) project. The BABEL project aims to close the gap between dream and deed regarding basic income. The project has several objectives. First, it aims to investigate the actual labour supply effects of BI. To this end, a quasi-experimental approach is applied, where we use administrative data to e</w:t>
      </w:r>
    </w:p>
    <w:p>
      <w:pPr>
        <w:pStyle w:val="Heading2"/>
      </w:pPr>
      <w:r>
        <w:t>533.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anticipating, not, methods, management, based,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predicting, methods, identify, affect, based, several;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Species traits and invasion history as predictors of freshwater fish invasion success in Europe — https://doi.org/10.3391/mbi.2025.16.1.16</w:t>
      </w:r>
    </w:p>
    <w:p>
      <w:pPr/>
      <w:r>
        <w:rPr>
          <w:b/>
        </w:rPr>
        <w:t>Shared claim-specific concepts:</w:t>
      </w:r>
      <w:r>
        <w:t xml:space="preserve"> primarily, management, established; EU scope visible. This is a provisional connection, not an outcome finding.</w:t>
      </w:r>
    </w:p>
    <w:p>
      <w:pPr>
        <w:pStyle w:val="SourceNote"/>
      </w:pPr>
      <w:r>
        <w:rPr>
          <w:b/>
        </w:rPr>
        <w:t>Available abstract (not full text):</w:t>
      </w:r>
      <w:r>
        <w:t xml:space="preserve"> Despite the growing literature on the topic of freshwater fish invasions, few studies have employed a comprehensive analysis of the stages characterizing the invasion process with reference to the invasion pathway.There is therefore a need to understand more fully invasion pathways to avoid incomplete and biased conclusions and to support adequate management strategies.This study aims to provide a complete analysis of the species traits and invasion history that are associated with the successful passage of an alien freshwater fish species through the invasion pathway stages in European river basins.To predict how likely a freshwater fish species moves from each stage of the invasion pathway (release, establishment, spread and impact) to the next, generalized linear mixed models were run, using 23 species traits and seven variables describing introduction history as predictors for 127 established alien freshwater fish species in Europe.The results showed that the release and spread stages were driven primarily by variables related to invasion history (i.e. the type and number of causes of introduction).The establishment stage was driven mainly by functional and ecological traits, while the impact stage was driven both by functional and ecological traits and invasion history.Identifying the main drivers of alien species success at each invasion stage is key to designing stage-sp</w:t>
      </w:r>
    </w:p>
    <w:p>
      <w:pPr/>
      <w:r>
        <w:rPr>
          <w:b/>
        </w:rPr>
        <w:t>POSSIBLE 2024:</w:t>
      </w:r>
      <w:r>
        <w:t xml:space="preserve"> Buy It, Steal It, Print It: How Right-Wing Extremists in Europe Acquire Firearms and What To Do About It — https://doi.org/10.19165/2024.9820</w:t>
      </w:r>
    </w:p>
    <w:p>
      <w:pPr/>
      <w:r>
        <w:rPr>
          <w:b/>
        </w:rPr>
        <w:t>Shared claim-specific concepts:</w:t>
      </w:r>
      <w:r>
        <w:t xml:space="preserve"> about, methods, based; EU scope visible. This is a provisional connection, not an outcome finding.</w:t>
      </w:r>
    </w:p>
    <w:p>
      <w:pPr>
        <w:pStyle w:val="SourceNote"/>
      </w:pPr>
      <w:r>
        <w:rPr>
          <w:b/>
        </w:rPr>
        <w:t>Available abstract (not full text):</w:t>
      </w:r>
      <w:r>
        <w:t xml:space="preserve"> This policy brief examines the methods of firearms acquisition by right-wing extremists (RWEs) in Europe between 2019 and 2024. Based on a dataset of 118 cases, it reveals that RWEs resort to diverse legal and illegal acquisition strategies, including the use of illicit markets, legal possession, theft from military and law enforcement sources, and private manufacture, particularly 3D printing. The policy brief further discusses current EU countermeasures and their effectiveness in addressing RWE-specific acquisition methods. It identifies gaps in existing policies and enforcement, particularly regarding background checks in issuing and reviewing weapon licences, screening of military and law enforcement personnel, and regulation of emerging technologies like 3D printing. The authors call for further research to increase the understanding of the RWE-firearms nexus and to develop more targeted prevention strategies.</w:t>
      </w:r>
    </w:p>
    <w:p>
      <w:pPr/>
      <w:r>
        <w:rPr>
          <w:b/>
        </w:rPr>
        <w:t>POSSIBLE 2023:</w:t>
      </w:r>
      <w:r>
        <w:t xml:space="preserve"> A Lexicographic Practice Map of Europe — https://doi.org/10.1093/ijl/ecad023</w:t>
      </w:r>
    </w:p>
    <w:p>
      <w:pPr/>
      <w:r>
        <w:rPr>
          <w:b/>
        </w:rPr>
        <w:t>Shared claim-specific concepts:</w:t>
      </w:r>
      <w:r>
        <w:t xml:space="preserve"> identify, affect, based, trends;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r>
        <w:rPr>
          <w:b/>
        </w:rPr>
        <w:t>POSSIBLE 2023:</w:t>
      </w:r>
      <w:r>
        <w:t xml:space="preserve"> Integration of migrant and refugee data in health information systems in Europe: advancing evidence, policy and practice — https://doi.org/10.1016/j.lanepe.2023.100744</w:t>
      </w:r>
    </w:p>
    <w:p>
      <w:pPr/>
      <w:r>
        <w:rPr>
          <w:b/>
        </w:rPr>
        <w:t>Shared claim-specific concepts:</w:t>
      </w:r>
      <w:r>
        <w:t xml:space="preserve"> about, not, methods, management, based; EU scope visible. This is a provisional connection, not an outcome finding.</w:t>
      </w:r>
    </w:p>
    <w:p>
      <w:pPr>
        <w:pStyle w:val="SourceNote"/>
      </w:pPr>
      <w:r>
        <w:rPr>
          <w:b/>
        </w:rPr>
        <w:t>Available abstract (not full text):</w:t>
      </w:r>
      <w:r>
        <w:t xml:space="preserve"> Coverage of migrant and refugee data is incomplete and of insufficient quality in European health information systems. This is not because we lack the knowledge or technology. Rather, it is due to various political factors at local, national and European levels, which hinder the implementation of existing knowledge and guidelines. This reflects the low political priority given to the topic, and also complex governance challenges associated with migration and displacement. We review recent evidence, guidelines, and policies to propose four approaches that will advance science, policy, and practice. First, we call for strategies that ensure that data is collected, analyzed and disseminated systematically. Second, we propose methods to safeguard privacy while combining data from multiple sources. Third, we set out how to enable survey methods that take account of the groups' diversity. Fourth, we emphasize the need to engage migrants and refugees in decisions about their own health data. Based on these approaches, we propose a change management approach that narrows the gap between knowledge and action to create healthcare policies and practices that are truly inclusive of migrants and refugees. We thereby offer an agenda that will better serve public health needs, including those of migrants and refugees and advance equity in European health systems. Funding: No specific funding </w:t>
      </w:r>
    </w:p>
    <w:p>
      <w:pPr/>
      <w:r>
        <w:rPr>
          <w:b/>
        </w:rPr>
        <w:t>POSSIBLE 2023:</w:t>
      </w:r>
      <w:r>
        <w:t xml:space="preserve"> Spatial assessment of topsoil zinc concentrations in Europe — https://doi.org/10.1016/j.scitotenv.2023.164512</w:t>
      </w:r>
    </w:p>
    <w:p>
      <w:pPr/>
      <w:r>
        <w:rPr>
          <w:b/>
        </w:rPr>
        <w:t>Shared claim-specific concepts:</w:t>
      </w:r>
      <w:r>
        <w:t xml:space="preserve"> showing, identify, developed; EU scope visible. This is a provisional connection, not an outcome finding.</w:t>
      </w:r>
    </w:p>
    <w:p>
      <w:pPr>
        <w:pStyle w:val="SourceNote"/>
      </w:pPr>
      <w:r>
        <w:rPr>
          <w:b/>
        </w:rPr>
        <w:t>Available abstract (not full text):</w:t>
      </w:r>
      <w:r>
        <w:t xml:space="preserve"> Zinc (Zn) is essential to sustain crop production and human health, while it can be toxic when present in excess. In this manuscript, we applied a machine learning model on 21,682 soil samples from the Land Use and Coverage Area frame Survey (LUCAS) topsoil database of 2009/2012 to assess the spatial distribution in Europe of topsoil Zn concentrations measured by aqua regia extraction, and to identify the influence of natural drivers and anthropogenic sources on topsoil Zn concentrations. As a result, a map was produced showing topsoil Zn concentrations in Europe at a resolution of 250 m. The mean predicted Zn concentration in Europe was 41 mg kg−1, with a root mean squared error of around 40 mg kg−1 calculated for independent soil samples. We identified clay content as the most important factor explaining the overall distribution of soil Zn in Europe, with lower Zn concentrations in coarser soils. Next to texture, low Zn concentrations were found in soils with low pH (e.g. Podzols), as well as in soils with pH above 8 (i.e., Calcisols). The presence of deposits and mining activities mainly explained the occurrence of relatively high Zn concentrations above 167 mg kg−1 (the one percentile highest concentrations) within 10 km from these sites. In addition, the relatively higher Zn levels found in grasslands in regions with high livestock density may point to manure as a signific</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primarily, trends, developed;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pStyle w:val="Heading2"/>
      </w:pPr>
      <w:r>
        <w:t>534.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Corrective and Restorative Dermatology in Cancer Survivors: An Urgent Unmet Need! — https://doi.org/10.1007/s40257-026-01027-0</w:t>
      </w:r>
    </w:p>
    <w:p>
      <w:pPr/>
      <w:r>
        <w:rPr>
          <w:b/>
        </w:rPr>
        <w:t>Shared claim-specific concepts:</w:t>
      </w:r>
      <w:r>
        <w:t xml:space="preserve"> recognizing, urgent, need; EU scope not established. This is a provisional connection, not an outcome finding.</w:t>
      </w:r>
    </w:p>
    <w:p>
      <w:pPr>
        <w:pStyle w:val="SourceNote"/>
      </w:pPr>
      <w:r>
        <w:rPr>
          <w:b/>
        </w:rPr>
        <w:t>Available abstract (not full text):</w:t>
      </w:r>
      <w:r>
        <w:t xml:space="preserve"> The increasing efficacy of oncological therapies has led to a rapidly growing population of cancer survivors, shifting clinical attention from acute treatment-related toxicities to long-term and late sequelae. Among these, dermatological sequelae represent some of the most visible and persistent consequences of cancer treatments and may significantly impair quality of life. Persistent alopecia, nail disorders, pigmentary alterations, chronic radiation-induced skin changes, scarring, vascular abnormalities, mucosal alterations, and secondary skin cancers may develop or persist long after treatment completion, acting as constant reminders of the cancer experience. These conditions are not only cosmetic; they may be associated with functional limitations, psychological distress, and altered body image, particularly in patients treated during childhood or adolescence. While the role of supportive oncodermatology during active cancer treatment is well established, structured dermatological care in the survivorship phase remains insufficiently developed. This narrative review provides a comprehensive overview of the main long-lasting dermatological adverse events associated with chemotherapy, radiotherapy, targeted therapies, immunotherapy, endocrine treatments, and hematopoietic stem cell transplantation. In addition, available restorative and corrective dermatological interventions</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r>
        <w:rPr>
          <w:b/>
        </w:rPr>
        <w:t>POSSIBLE 2025:</w:t>
      </w:r>
      <w:r>
        <w:t xml:space="preserve"> Europe as a subject and object of epistemic reflection — https://doi.org/10.30574/wjarr.2025.27.1.2547</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Review of: "The Limitations and Challenges of Researching Mass Casualty Incidents and Disasters in Europe" — https://doi.org/10.32388/9sm5gm</w:t>
      </w:r>
    </w:p>
    <w:p>
      <w:pPr/>
      <w:r>
        <w:rPr>
          <w:b/>
        </w:rPr>
        <w:t>Shared claim-specific concepts:</w:t>
      </w:r>
      <w:r>
        <w:t xml:space="preserve"> recognizing, urgent, need, concrete, information, pathways; EU scope visible. This is a provisional connection, not an outcome finding.</w:t>
      </w:r>
    </w:p>
    <w:p>
      <w:pPr>
        <w:pStyle w:val="SourceNote"/>
      </w:pPr>
      <w:r>
        <w:rPr>
          <w:b/>
        </w:rPr>
        <w:t>Available abstract (not full text):</w:t>
      </w:r>
      <w:r>
        <w:t xml:space="preserve"> The article "The Limitations and Challenges of Researching Mass Casualty Incidents and Disasters in Europe" offers an outstanding overview of the main methodological, technological, and organizational barriers affecting research and management of mass casualty incidents in Europe, providing a thorough and constructive approach to the subject.The paper excels at presenting a detailed and well-referenced review of regulatory obstacles, the lack of a consensual de nition of mass casualty incidents, and the fragmentation in data collection systems and methodologies.This contextualized analysis, supported by multiple European projects and studies, enhances the understanding of the urgent need for coordinated and evidence-based solutions.A key strength of the article is its emphasis on interoperability between emergency services and the urgent need for the development of minimum data sets.The authors highlight cross-border initiatives and speci c examples, such as IDIRA and VALKYRIES, that have begun to overcome technical and language barriers, showing viable pathways toward harmonizing protocols and information formats in Europe.The discussion on adopting new technologies-drones, GIS, arti cial intelligence, and mobile platforms-is both critical and pragmatic, recognizing their real impact on improving situational awareness and operational coordination.Furthermore, the article rigor</w:t>
      </w:r>
    </w:p>
    <w:p>
      <w:pPr/>
      <w:r>
        <w:rPr>
          <w:b/>
        </w:rPr>
        <w:t>POSSIBLE 2025:</w:t>
      </w:r>
      <w:r>
        <w:t xml:space="preserve"> Antibiotic Use in Livestock Production and Progress Made with Regulations in Europe and Africa: Implications for Illness Prevention and Health Promotion — https://doi.org/10.1007/978-981-97-0821-5_104-1</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Antibiotic misuse in livestock production poses a significant threat to public health, contributing to antimicrobial resistance and illness. This chapter delves into the progress made in regulating antibiotic use in food animals, with a focus on Europe and Africa as representatives of developed and developing regions. While European countries have implemented stringent regulations and achieved substantial reductions in antibiotic use, many African nations lack robust regulatory frameworks and enforcement mechanisms. The One Health approach emerges as a crucial strategy in addressing this complex issue, recognizing the interconnectedness of human, animal, and environmental health. The implications of antibiotic regulation in food animal production extend beyond antimicrobial resistance, influencing animal welfare, environmental health, and global health equity. Notably, these regulations have spurred innovations in animal husbandry practices, potentially reducing the transmission of resistant bacteria from animals to humans. However, challenges remain in balancing the need for antibiotic reduction with ensuring appropriate therapeutic use and addressing potential economic impacts on farmers. The chapter underscores the importance of interdisciplinary collaboration in health promotion efforts and the need for improved surveillance systems to guide evidence-based policies. It also</w:t>
      </w:r>
    </w:p>
    <w:p>
      <w:pPr/>
      <w:r>
        <w:rPr>
          <w:b/>
        </w:rPr>
        <w:t>POSSIBLE 2025:</w:t>
      </w:r>
      <w:r>
        <w:t xml:space="preserve"> Fast Fashion Sector: Business Models, Supply Chains, and European Sustainability Standards — https://doi.org/10.3390/systems13060405</w:t>
      </w:r>
    </w:p>
    <w:p>
      <w:pPr/>
      <w:r>
        <w:rPr>
          <w:b/>
        </w:rPr>
        <w:t>Shared claim-specific concepts:</w:t>
      </w:r>
      <w:r>
        <w:t xml:space="preserve"> climate, decarbonization, emissions; EU scope visible. This is a provisional connection, not an outcome finding.</w:t>
      </w:r>
    </w:p>
    <w:p>
      <w:pPr>
        <w:pStyle w:val="SourceNote"/>
      </w:pPr>
      <w:r>
        <w:rPr>
          <w:b/>
        </w:rPr>
        <w:t>Available abstract (not full text):</w:t>
      </w:r>
      <w:r>
        <w:t xml:space="preserve"> One of the core objectives of the European Green Deal in pursuing climate neutrality and sustainable development is the decarbonization of high-impact sectors. Among the most polluting is the fast fashion industry, driven by linear business models that must urgently transition to circular economy frameworks and decarbonized supply chains. Fast fashion poses significant environmental and social challenges due to its high greenhouse gas emissions, excessive resource consumption, and substantial waste generation. To foster greater sustainability within the sector, this study examines environmental indicators defined by the European Sustainability Reporting Standards (ESRS), in accordance with the EU’s Corporate Sustainability Reporting Directive (CSRD) 2022/2464. Aligned with the Global Reporting Initiative (GRI), these standards aim to harmonize sustainability disclosures and enable better decision-making across environmental, social, and governance (ESG) dimensions throughout Europe. This research focuses on five key environmental aspects—climate change, pollution, water resource management, biodiversity, and circular economy/resource use—across four leading fast fashion brands: Mango, Zara, H&amp;M, and Shein. Using an exploratory web-based methodology, this study evaluates how these companies disclose and implement ESG strategies in their supply chains. The central aim is to asses</w:t>
      </w:r>
    </w:p>
    <w:p>
      <w:pPr>
        <w:pStyle w:val="Heading2"/>
      </w:pPr>
      <w:r>
        <w:t>535.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2025:</w:t>
      </w:r>
      <w:r>
        <w:t xml:space="preserve"> EMA – Eighth European Medicines Agency (EMA) and Medicines for Europe bilateral meeting - 15 December 2025 — https://doi.org/10.58079/15bvb</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meeting between European Medicines Agency (EMA) and Medicines for Europe is organised in the context of the EMA annual bilateral meetings with industry stakeholder organisations. The purpose of the meeting is to exchange views and promote dialogue on topics of common interest. More information on the EMA Website.</w:t>
      </w:r>
    </w:p>
    <w:p>
      <w:pPr/>
      <w:r>
        <w:rPr>
          <w:b/>
        </w:rPr>
        <w:t>POSSIBLE 2025:</w:t>
      </w:r>
      <w:r>
        <w:t xml:space="preserve"> Insights from the European Medicines Agency on digital health technology derived endpoints — https://doi.org/10.1016/j.drudis.2025.104388</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study evaluates the use of digital health technologies (DHTs) for endpoint measurement in clinical trials, as documented in the Qualification Opinions, Qualification Advice, and Scientific Advice procedures issued by the European Medicines Agency (EMA) between 2013 and 2022. Accelerometers are the most proposed DHTs, followed by glucose monitors and smartphones. Accelerometers are often proposed for nervous system diseases to support mobility measures and objective testing. Most DHTs were proposed for efficacy endpoints. The feedback provided by EMA emphasizes the importance of validation, precision, and a clearly defined context of use. The EMA's recent action plan further supports advancing DHT methodologies in clinical trials.</w:t>
      </w:r>
    </w:p>
    <w:p>
      <w:pPr/>
      <w:r>
        <w:rPr>
          <w:b/>
        </w:rPr>
        <w:t>POSSIBLE 2025:</w:t>
      </w:r>
      <w:r>
        <w:t xml:space="preserve"> Populations Addressed in Vaccines Approved via the European Medicines Agency — https://doi.org/10.1002/cpt.3694</w:t>
      </w:r>
    </w:p>
    <w:p>
      <w:pPr/>
      <w:r>
        <w:rPr>
          <w:b/>
        </w:rPr>
        <w:t>Shared claim-specific concepts:</w:t>
      </w:r>
      <w:r>
        <w:t xml:space="preserve"> medicines, agency; EU scope visible. This is a provisional connection, not an outcome finding.</w:t>
      </w:r>
    </w:p>
    <w:p>
      <w:pPr>
        <w:pStyle w:val="SourceNote"/>
      </w:pPr>
      <w:r>
        <w:rPr>
          <w:b/>
        </w:rPr>
        <w:t>Available abstract (not full text):</w:t>
      </w:r>
      <w:r>
        <w:t xml:space="preserve"> Therapeutic and prophylactic agents require robust evidence before patient use. Randomized controlled trials are essential for evaluating safety and efficacy but often exclude specific populations that are also targets for the intervention. This study assessed which populations are included in vaccine registration studies and/or addressed in label indications, and if special populations are considered at any point in the regulatory life cycle of vaccines approved in the European Union. We analyzed product labels, pivotal studies, risk management plans, and post-authorization studies for all vaccines centrally approved via the European Medicines Agency between 2012 and 2022. For the 31 vaccines approved, we identified 90 pivotal studies supporting initial marketing authorizations and 46 studies supporting product revisions. At the end of our follow-up, 27 vaccines (87%) were approved for adults, 19 (68%) for pediatric patients, 3 (11%) were recommended for pregnant populations, 4 (14%) for breastfeeding populations, and 7 (23%) for immunocompromised populations. Pregnant, breastfeeding, and immunocompromised individuals were rarely included in studies supporting regulatory actions. We observed a slight increase in the inclusion of special populations in post-marketing studies, yet this had limited impact on product indications or information availability on labels. Pivotal studi</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context, medicines, agency, early, discussed;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2025:</w:t>
      </w:r>
      <w:r>
        <w:t xml:space="preserve"> Review on organ-on-chips for medicines safety assessment: A European regulatory perspective — https://doi.org/10.14573/altex.2502061</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pPr/>
      <w:r>
        <w:rPr>
          <w:b/>
        </w:rPr>
        <w:t>POSSIBLE 2025:</w:t>
      </w:r>
      <w:r>
        <w:t xml:space="preserve"> Capability Development in the European Medicines Regulatory Network—A European Learning Needs Analysis and Survey Study — https://doi.org/10.1002/cpt.70158</w:t>
      </w:r>
    </w:p>
    <w:p>
      <w:pPr/>
      <w:r>
        <w:rPr>
          <w:b/>
        </w:rPr>
        <w:t>Shared claim-specific concepts:</w:t>
      </w:r>
      <w:r>
        <w:t xml:space="preserve"> medicines, agency, technological, medicinal, products, challenges; EU scope visible. This is a provisional connection, not an outcome finding.</w:t>
      </w:r>
    </w:p>
    <w:p>
      <w:pPr>
        <w:pStyle w:val="SourceNote"/>
      </w:pPr>
      <w:r>
        <w:rPr>
          <w:b/>
        </w:rPr>
        <w:t>Available abstract (not full text):</w:t>
      </w:r>
      <w:r>
        <w:t xml:space="preserve"> The European Medicines Regulatory Network plays a critical role in safeguarding public health through the assessment and supervision of human medicines. However, rapid scientific and technological advancements have exposed capability deficits across the network, threatening timely and effective regulatory decision-making. To identify the most critical learning needs within the European Medicines Regulatory Network-specifically those related to capability gaps-the EU4Health Joint Action, IncreaseNET, conducted a learning needs analysis. This study presents a learning needs analysis conducted via two complementary approaches: stakeholder collaboration with European Medicines Agency expert committees and a network-wide survey of National Competent Authorities. The analysis identified six priority subject areas requiring urgent capability development: Advanced Therapy Medicinal Products, Biologically Active Substances, Clinical Trials, Modeling and Simulation, Pharmacokinetics, and Statistics. Additional training needs-such as Environmental Risk Assessment and Radiopharmaceuticals-were highlighted through the National Competent Authority survey. Key barriers to capability development include uneven distribution of expertise, limited time for training due to high workloads, and recruitment challenges. The study also revealed methodological variation in how learning needs analyses ar</w:t>
      </w:r>
    </w:p>
    <w:p>
      <w:pPr/>
      <w:r>
        <w:rPr>
          <w:b/>
        </w:rPr>
        <w:t>POSSIBLE 2025:</w:t>
      </w:r>
      <w:r>
        <w:t xml:space="preserve"> Review on organ-on-chips for medicines safety assessment: A European regulatory perspective_suppl1 — https://doi.org/10.14573/altex.2502061s1</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pPr/>
      <w:r>
        <w:rPr>
          <w:b/>
        </w:rPr>
        <w:t>POSSIBLE 2025:</w:t>
      </w:r>
      <w:r>
        <w:t xml:space="preserve"> Horizon Scanning Methods for Identification of New and Repurposed Medicines for Stakeholders in the United Kingdom — https://doi.org/10.1002/ffo2.210</w:t>
      </w:r>
    </w:p>
    <w:p>
      <w:pPr/>
      <w:r>
        <w:rPr>
          <w:b/>
        </w:rPr>
        <w:t>Shared claim-specific concepts:</w:t>
      </w:r>
      <w:r>
        <w:t xml:space="preserve"> medicines, horizon, scanning, early, innovation; EU scope not established. This is a provisional connection, not an outcome finding.</w:t>
      </w:r>
    </w:p>
    <w:p>
      <w:pPr>
        <w:pStyle w:val="SourceNote"/>
      </w:pPr>
      <w:r>
        <w:rPr>
          <w:b/>
        </w:rPr>
        <w:t>Available abstract (not full text):</w:t>
      </w:r>
      <w:r>
        <w:t xml:space="preserve"> ABSTRACT Horizon scanning (HS) is a method for the identification of emerging change through systematic analysis of trusted sources using a defined scope and prespecified methods. In health research, it can provide early awareness of potential developments ahead of market access. Within the medicines space, HS is supported by international requirements for clinical trial registration, conduct and reporting, and by transparent regulatory processes. Potential changes can be identified at different stages of development, emerging, transitional, and imminent to launch. This paper delineates a comprehensive methodological approach for medicines HS within the transitional horizon from a national HS center, the National Institute for Health and Care Research Innovation Observatory (IO) in the United Kingdom. The UK single‐payer healthcare system supports access to medicines approved by the National Institute for Health and Care Excellence (NICE); the assessment process for this requires an early awareness program ahead of regulatory approval. We report an expansive step‐by‐step HS process at the IO that has been tailored to meet stakeholder requirements. Manual and automated methods are used in tandem to extract and sift data from clinical trial registries, industry databases and medical databases. Intensive industry engagement and news media sources are used to supplement data collec</w:t>
      </w:r>
    </w:p>
    <w:p>
      <w:pPr>
        <w:pStyle w:val="Heading2"/>
      </w:pPr>
      <w:r>
        <w:t>536.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2026:</w:t>
      </w:r>
      <w:r>
        <w:t xml:space="preserve"> Wetland bird conservation: Insights from a horizon scan across Atlantic Europe — https://doi.org/10.1016/j.biocon.2026.111974</w:t>
      </w:r>
    </w:p>
    <w:p>
      <w:pPr/>
      <w:r>
        <w:rPr>
          <w:b/>
        </w:rPr>
        <w:t>Shared claim-specific concepts:</w:t>
      </w:r>
      <w:r>
        <w:t xml:space="preserve"> horizon, scan, not; EU scope visible. This is a provisional connection, not an outcome finding.</w:t>
      </w:r>
    </w:p>
    <w:p>
      <w:pPr>
        <w:pStyle w:val="SourceNote"/>
      </w:pPr>
      <w:r>
        <w:rPr>
          <w:b/>
        </w:rPr>
        <w:t>Available abstract (not full text):</w:t>
      </w:r>
      <w:r>
        <w:t xml:space="preserve"> The conservation of wetland and wet-grassland birds remains a major challenge across Europe. This challenge is driven by compounding pressures from agricultural intensification, habitat degradation, climate change, and governance constraints. Effective conservation outcomes depend not only on ecological knowledge but also on governance and implementation. Consequently, understanding practitioner perspectives is vital for informing the development of effective conservation strategies. To synthesize practitioner perspectives, we conducted a Horizon Scan survey across eight Atlantic European countries (Germany, the Netherlands, Belgium, France, Spain, Portugal, the United Kingdom, and Ireland), engaging 176 conservation professionals. Using a combination of dictionary-based text analysis, term frequency assessment, and keyness analysis, we evaluated perceived strengths, weaknesses, opportunities, and threats (SWOT) for wetland and wet-grassland bird conservation. Habitat management emerged as a unifying and cross-cutting theme across all countries and SWOT categories, while agriculture was predominantly framed as a weakness or threat, except in the Netherlands where it was also associated with opportunities. Climate change and predation were consistently identified as escalating threats, whereas research and monitoring capacity showed strong national disparities, opposing for exam</w:t>
      </w:r>
    </w:p>
    <w:p>
      <w:pPr>
        <w:pStyle w:val="Heading2"/>
      </w:pPr>
      <w:r>
        <w:t>537.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2026:</w:t>
      </w:r>
      <w:r>
        <w:t xml:space="preserve"> Trade‐Offs in Sustainable Development? The Relationship Between the Sustainable Development Goals and Circular Economy Outcomes in the European Union — https://doi.org/10.1002/sd.71766</w:t>
      </w:r>
    </w:p>
    <w:p>
      <w:pPr/>
      <w:r>
        <w:rPr>
          <w:b/>
        </w:rPr>
        <w:t>Shared claim-specific concepts:</w:t>
      </w:r>
      <w:r>
        <w:t xml:space="preserve"> trade, offs, between, countries, goals, progress; EU scope visible. This is a provisional connection, not an outcome finding.</w:t>
      </w:r>
    </w:p>
    <w:p>
      <w:pPr>
        <w:pStyle w:val="SourceNote"/>
      </w:pPr>
      <w:r>
        <w:rPr>
          <w:b/>
        </w:rPr>
        <w:t>Available abstract (not full text):</w:t>
      </w:r>
      <w:r>
        <w:t xml:space="preserve"> ABSTRACT Countries around the world have committed to a range of sustainable development initiatives aimed at advancing the Sustainable Development Goals and promoting the circular economy. However, the implementation of these sustainability initiatives entails substantial costs and resource requirements which may result in potential trade‐offs. We examine these sustainability trade‐offs by focusing on the relationship between the Sustainable Development Goals and the circular economy. Drawing on a panel dataset of European Union member states spanning 2009–2021, we find that progress on the Sustainable Development Goals is negatively associated with circular economy outcomes, indicating potential trade‐offs between these major sustainability initiatives. Furthermore, we find that strong environmental policy settings within ruling governments, higher levels of government spending, and greater trade freedom positively moderate the relationship between the Sustainable Development Goals and circular economy outcomes, thereby reducing sustainability trade‐offs. The findings of this study contribute to extant theory and have implications for policymakers.</w:t>
      </w:r>
    </w:p>
    <w:p>
      <w:pPr/>
      <w:r>
        <w:rPr>
          <w:b/>
        </w:rPr>
        <w:t>POSSIBLE 2025:</w:t>
      </w:r>
      <w:r>
        <w:t xml:space="preserve"> Thinking in trade-offs — https://openalex.org/W7134102523</w:t>
      </w:r>
    </w:p>
    <w:p>
      <w:pPr/>
      <w:r>
        <w:rPr>
          <w:b/>
        </w:rPr>
        <w:t>Shared claim-specific concepts:</w:t>
      </w:r>
      <w:r>
        <w:t xml:space="preserve"> between, objectives, all, progress; EU scope not established. This is a provisional connection, not an outcome finding.</w:t>
      </w:r>
    </w:p>
    <w:p>
      <w:pPr>
        <w:pStyle w:val="SourceNote"/>
      </w:pPr>
      <w:r>
        <w:rPr>
          <w:b/>
        </w:rPr>
        <w:t>Available abstract (not full text):</w:t>
      </w:r>
      <w:r>
        <w:t xml:space="preserve">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pPr/>
      <w:r>
        <w:rPr>
          <w:b/>
        </w:rPr>
        <w:t>POSSIBLE 2025:</w:t>
      </w:r>
      <w:r>
        <w:t xml:space="preserve"> Family matters: the role of trade-offs in shaping human life-histories and health — https://doi.org/10.33612/diss.1419980082</w:t>
      </w:r>
    </w:p>
    <w:p>
      <w:pPr/>
      <w:r>
        <w:rPr>
          <w:b/>
        </w:rPr>
        <w:t>Shared claim-specific concepts:</w:t>
      </w:r>
      <w:r>
        <w:t xml:space="preserve"> evident, between, all, little; EU scope visible. This is a provisional connection, not an outcome finding.</w:t>
      </w:r>
    </w:p>
    <w:p>
      <w:pPr>
        <w:pStyle w:val="SourceNote"/>
      </w:pPr>
      <w:r>
        <w:rPr>
          <w:b/>
        </w:rPr>
        <w:t>Available abstract (not full text):</w:t>
      </w:r>
      <w:r>
        <w:t xml:space="preserve"> All organisms are born and die, but the parts in between are incredibly varied. Evolutionary life-history theory tells us that this diversity across species is partly shaped by trade-offs, because organisms cannot, for example, maximize both their reproduction and lifespan. However, how well these trade-offs shape some of the most important outcomes in our own lives, such as how long we live for, is less well understood. To this end, I applied a diversity of approaches to data from three unique human datasets. First, using Swiss historical data, I found little evidence for these life-history trade-offs limiting overall family sizes, despite the high birth-rates present in this preindustrial population and no strong findings of cooperation amongst siblings. However, analyzing historical data from Finland suggested that family size may trade-off against a mother’s own lifespan, at least during challenging environmental conditions, revealing one potential factor shaping human lifespan. Whether these trade-offs remain important in more contemporary populations was less evident. Using European genomic data, I found that genetic factors shaping time to maturity and first childbirth, and fertility were not associated with genetic predispositions to breast cancer, suggesting that life-history trade-offs have not led to genes underlying this particular disease. More work must be done to</w:t>
      </w:r>
    </w:p>
    <w:p>
      <w:pPr/>
      <w:r>
        <w:rPr>
          <w:b/>
        </w:rPr>
        <w:t>POSSIBLE 2025:</w:t>
      </w:r>
      <w:r>
        <w:t xml:space="preserve"> Navigating trade-offs: Energy dependency, geopolitical shocks, and sustainability in European parliamentary debates — https://doi.org/10.1016/j.erss.2025.104198</w:t>
      </w:r>
    </w:p>
    <w:p>
      <w:pPr/>
      <w:r>
        <w:rPr>
          <w:b/>
        </w:rPr>
        <w:t>Shared claim-specific concepts:</w:t>
      </w:r>
      <w:r>
        <w:t xml:space="preserve"> between, objectives, countries, sdgs, goals, attention; EU scope visible. This is a provisional connection, not an outcome finding.</w:t>
      </w:r>
    </w:p>
    <w:p>
      <w:pPr>
        <w:pStyle w:val="SourceNote"/>
      </w:pPr>
      <w:r>
        <w:rPr>
          <w:b/>
        </w:rPr>
        <w:t>Available abstract (not full text):</w:t>
      </w:r>
      <w:r>
        <w:t xml:space="preserve"> This study examines the evolution of energy and sustainability debates in European parliaments from 2014 to 2022, focusing on how national energy dependency moderates responses to geopolitical shocks, specifically, the Russian invasion of Ukraine. The research uses quantitative text analysis via the BERTopic model to compare the allocation of parliamentary attention between immediate energy security concerns and long-term sustainability objectives. The analysis finds that, following the escalation of the conflict, countries with a higher reliance on imported energy allocate a comparatively smaller share of their debates to sustainability issues, as evidenced by decreased legislative engagement with the Sustainable Development Goals. This pattern suggests that structural vulnerabilities in energy supply might restrict legislative capacity to uphold long-term sustainability commitments as short-term security imperatives increase. It highlights the importance of policy approaches that effectively combine immediate energy security measures with long-term sustainability strategies to strengthen national resilience. • EU parliamentary debates reveal energy security vs. sustainability trade-offs. • Energy dependency moderates sustainability legislative focus post-geopolitical shock. • Higher energy dependency correlates with reduced SDGs focus. • Integrated policies needed to balance </w:t>
      </w:r>
    </w:p>
    <w:p>
      <w:pPr/>
      <w:r>
        <w:rPr>
          <w:b/>
        </w:rPr>
        <w:t>POSSIBLE 2025:</w:t>
      </w:r>
      <w:r>
        <w:t xml:space="preserve"> Export Controls and the Green Agenda in the European Union — https://doi.org/10.1017/s0020589325000119</w:t>
      </w:r>
    </w:p>
    <w:p>
      <w:pPr/>
      <w:r>
        <w:rPr>
          <w:b/>
        </w:rPr>
        <w:t>Shared claim-specific concepts:</w:t>
      </w:r>
      <w:r>
        <w:t xml:space="preserve"> evident, trade, between, agenda, objectives, progress; EU scope visible. This is a provisional connection, not an outcome finding.</w:t>
      </w:r>
    </w:p>
    <w:p>
      <w:pPr>
        <w:pStyle w:val="SourceNote"/>
      </w:pPr>
      <w:r>
        <w:rPr>
          <w:b/>
        </w:rPr>
        <w:t>Available abstract (not full text):</w:t>
      </w:r>
      <w:r>
        <w:t xml:space="preserve"> Abstract This article argues that critical and emerging technologies, evolving geopolitical dynamics and the urgent need to pursue the green agenda are changing the traditional approach of the European Union (EU) and its Member States towards their trade and security strategies, and this is particularly evident in the domain of export controls. In search of a balance between green energy, security and technological progress, this article explores the potential for a more cohesive and comprehensive regulatory framework for export controls at the EU level. It takes the debate beyond a technical level of export control lists to discuss geopolitical and strategic assumptions surrounding inter-State cooperation on the regulation of critical and emerging technologies and their components. The article underscores, in particular, the potential unintended repercussions of controls for the EU's technological future and the prospects of the green transition in Europe and beyond. Finally, it advocates for what is often overlooked in discussions: the necessity for the EU to set clear, long-term objectives for its export controls and to align them with the purposes and objectives of other EU economic instruments.</w:t>
      </w:r>
    </w:p>
    <w:p>
      <w:pPr/>
      <w:r>
        <w:rPr>
          <w:b/>
        </w:rPr>
        <w:t>POSSIBLE 2025:</w:t>
      </w:r>
      <w:r>
        <w:t xml:space="preserve"> Green Economy, Trade, and Consumers – Interactions in European Green Transition — https://doi.org/10.7494/geom.2025.19.2.25</w:t>
      </w:r>
    </w:p>
    <w:p>
      <w:pPr/>
      <w:r>
        <w:rPr>
          <w:b/>
        </w:rPr>
        <w:t>Shared claim-specific concepts:</w:t>
      </w:r>
      <w:r>
        <w:t xml:space="preserve"> trade, achieving, all, interactions, goals, achieve;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Market Power Europe and the research agenda on geopoliticisation and economic security — https://doi.org/10.1080/23745118.2025.2576708</w:t>
      </w:r>
    </w:p>
    <w:p>
      <w:pPr/>
      <w:r>
        <w:rPr>
          <w:b/>
        </w:rPr>
        <w:t>Shared claim-specific concepts:</w:t>
      </w:r>
      <w:r>
        <w:t xml:space="preserve"> between, agenda, objectives, all; EU scope visible. This is a provisional connection, not an outcome finding.</w:t>
      </w:r>
    </w:p>
    <w:p>
      <w:pPr>
        <w:pStyle w:val="SourceNote"/>
      </w:pPr>
      <w:r>
        <w:rPr>
          <w:b/>
        </w:rPr>
        <w:t>Available abstract (not full text):</w:t>
      </w:r>
      <w:r>
        <w:t xml:space="preserve"> The global system is experiencing a geopolitical turn, which is encouraging coercive policy responses from governments while fuelling the emergence of a new scholarly research agenda. To understand these changes and their potential effects on European Union (EU) institutions and policies, this article employs the conceptual framework of Market Power Europe (MPE). Guided by three central characteristics that MPE draws from the Comparative and International Political Economy literature – market size, institutional capacity and domestic interest contestation – the article undertakes a qualitative content analysis of the design and objectives of the EU's 2023 European Economic Security Strategy. The evidence shows that these three characteristics help to shape the EU's exercise of power in a geopoliticising environment and reveal the important role of external factors and increasing linkages between market and security objectives. The findings reinforce the analytical importance of considering all three characteristics of MPE, which complements the propositions raised in this Special Issue and contributes to the emerging research agenda on the new challenges of geopoliticisation and economic security.</w:t>
      </w:r>
    </w:p>
    <w:p>
      <w:pPr/>
      <w:r>
        <w:rPr>
          <w:b/>
        </w:rPr>
        <w:t>POSSIBLE 2025:</w:t>
      </w:r>
      <w:r>
        <w:t xml:space="preserve"> The Impact of European Union's Free Trade Agreements on Türkiye’s Foreign Trade: Trade Diversion — https://doi.org/10.25295/fsecon.1677273</w:t>
      </w:r>
    </w:p>
    <w:p>
      <w:pPr/>
      <w:r>
        <w:rPr>
          <w:b/>
        </w:rPr>
        <w:t>Shared claim-specific concepts:</w:t>
      </w:r>
      <w:r>
        <w:t xml:space="preserve"> trade, between, countries; EU scope visible. This is a provisional connection, not an outcome finding.</w:t>
      </w:r>
    </w:p>
    <w:p>
      <w:pPr>
        <w:pStyle w:val="SourceNote"/>
      </w:pPr>
      <w:r>
        <w:rPr>
          <w:b/>
        </w:rPr>
        <w:t>Available abstract (not full text):</w:t>
      </w:r>
      <w:r>
        <w:t xml:space="preserve"> This study investigates the trade diversion effects stemming from the European Union’s (EU) Free Trade Agreements (FTAs) with third countries—particularly Canada and Algeria—on Türkiye’s import structure. As a non-EU member bound by the EU–Türkiye Customs Union, Türkiye is compelled to align with the Common External Tariff but is systematically excluded from the EU’s bilateral trade negotiations. This institutional asymmetry creates the potential for both direct and indirect trade diversion, whereby third-country exporters route goods through the EU to exploit tariff advantages. Using detailed trade data from 2004 to 2023 and disaggregated product-level analysis across HS chapters (notably Chapters 10, 27, 28, 29, 72, 79, and 84), this study demonstrates that trade diversion is both sector-specific and tariff-sensitive. Empirical findings show strong diversionary patterns in energy-related and agricultural commodities, whereas capital goods and chemical sectors show limited or no diversion. The analysis is supported by a comparative assessment of customs duty structures and trade flows between Türkiye, Canada, and Algeria vis-à-vis the EU. Panel gravity model estimations using Poisson Pseudo Maximum Likelihood (PPML) reveal statistically significant diversion effects, confirming that Türkiye’s exclusion from the EU FTAs with Canada and Algeria has a measurable negative impact o</w:t>
      </w:r>
    </w:p>
    <w:p>
      <w:pPr/>
      <w:r>
        <w:rPr>
          <w:b/>
        </w:rPr>
        <w:t>POSSIBLE 2025:</w:t>
      </w:r>
      <w:r>
        <w:t xml:space="preserve"> Trade and Sustainable Development Between the European Union and New Zealand — https://doi.org/10.53465/ceecbe.2025.9788022552257.303-314</w:t>
      </w:r>
    </w:p>
    <w:p>
      <w:pPr/>
      <w:r>
        <w:rPr>
          <w:b/>
        </w:rPr>
        <w:t>Shared claim-specific concepts:</w:t>
      </w:r>
      <w:r>
        <w:t xml:space="preserve"> trade, between, agenda, objectives, goals; EU scope visible. This is a provisional connection, not an outcome finding.</w:t>
      </w:r>
    </w:p>
    <w:p>
      <w:pPr>
        <w:pStyle w:val="SourceNote"/>
      </w:pPr>
      <w:r>
        <w:rPr>
          <w:b/>
        </w:rPr>
        <w:t>Available abstract (not full text):</w:t>
      </w:r>
      <w:r>
        <w:t xml:space="preserve"> The bilateral Free Trade Agreement (FTA) between the European Union (EU) and New Zealand, concluded in May 2024, represents a significant advancement in their trade and economic relations. Both partners prioritize social, economic, and environmental objectives as integral components of their trade policies, reflecting shared values and a commitment to balanced growth. The paper assesses how trade policies can support environmental objectives and strengthen circular economy principles. A particular emphasis is placed on Chapter 19 of the EU-New Zealand FTA, titled "Trade and Sustainable Development" (T&amp;SD), which addresses the interface between trade policy and the goals of environmental protection and labour rights. The article evaluates the alignment of the FTA with the broader global agenda for sustainable trade.</w:t>
      </w:r>
    </w:p>
    <w:p>
      <w:pPr>
        <w:pStyle w:val="Heading2"/>
      </w:pPr>
      <w:r>
        <w:t>538.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number, increase, between, annual;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Elasticity in CES Production Functions: New Estimates for Europe and Different Nesting Structures — https://doi.org/10.1177/01956574261440162</w:t>
      </w:r>
    </w:p>
    <w:p>
      <w:pPr/>
      <w:r>
        <w:rPr>
          <w:b/>
        </w:rPr>
        <w:t>Shared claim-specific concepts:</w:t>
      </w:r>
      <w:r>
        <w:t xml:space="preserve"> constant, between, levels; EU scope visible. This is a provisional connection, not an outcome finding.</w:t>
      </w:r>
    </w:p>
    <w:p>
      <w:pPr>
        <w:pStyle w:val="SourceNote"/>
      </w:pPr>
      <w:r>
        <w:rPr>
          <w:b/>
        </w:rPr>
        <w:t>Available abstract (not full text):</w:t>
      </w:r>
      <w:r>
        <w:t xml:space="preserve"> This study addresses the scarcity of empirical estimates on the elasticity of production factor substitutions, a crucial parameter in general equilibrium models for policy analysis. Employing the non-linear least squares estimation method, we determine the elasticity of substitution between capital, labor, energy, and materials in the Constant Elasticity of Substitution model across Europe at both aggregate and sectoral levels. Through rigorous analysis, we identify the optimal nesting structure of the production function for our data, rejecting widely used CES functional forms such as Cobb-Douglas and Leontief. Our findings reveal changes in elasticity of substitution over time, with Eastern Europe exhibiting greater ease of substitution compared to Western Europe, particularly between capital and labor. While elasticities in tertiary sectors diverge over time, those in energy-intensive sectors converge, though they remain statistically different, underscoring the necessity of region-specific elasticity sets in CGE models. JEL Classification: C51, Model Construction and Estimation; D24, Production; Cost; Capital; Capital, Total Factor, and Multifactor Productivity; Capacity</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2025:</w:t>
      </w:r>
      <w:r>
        <w:t xml:space="preserve"> Critical load exceedances for North America and Europe using an ensemble of models and an investigation of causes of environmental impact estimate variability: an AQMEII4 study — https://doi.org/10.5194/acp-25-3049-2025</w:t>
      </w:r>
    </w:p>
    <w:p>
      <w:pPr/>
      <w:r>
        <w:rPr>
          <w:b/>
        </w:rPr>
        <w:t>Shared claim-specific concepts:</w:t>
      </w:r>
      <w:r>
        <w:t xml:space="preserve"> estimated, number, use, between, annual, predicted; EU scope visible. This is a provisional connection, not an outcome finding.</w:t>
      </w:r>
    </w:p>
    <w:p>
      <w:pPr>
        <w:pStyle w:val="SourceNote"/>
      </w:pPr>
      <w:r>
        <w:rPr>
          <w:b/>
        </w:rPr>
        <w:t>Available abstract (not full text):</w:t>
      </w:r>
      <w:r>
        <w:t xml:space="preserve"> Abstract. Exceedances of critical loads for deposition of sulphur (S) and nitrogen (N) to different ecosystems were estimated using European and North American ensembles of air quality models, under Phase 4 of the Air Quality Model Evaluation International Initiative (AQMEII4), to identify where risk of ecosystem harm is expected to occur based on model deposition estimates. The ensembles were driven by common emissions and lateral boundary condition inputs. Model output was regridded to common North American and Europe 0.125° resolution domains, which were then used to calculate critical load exceedances. New, targeted deposition diagnostics implemented in AQMEII4 allowed an unprecedented level of post-simulation analysis to be carried out and facilitated the identification of specific causes of model-to-model variability in critical load exceedance estimates. New datasets for North American critical loads for acidity for forest soil water and aquatic ecosystems were combined with the ensemble deposition predictions to show a substantial decrease in the area and number of locations in exceedance between 2010 and 2016 (forest soils: 13.2 % to 6.1 %; aquatic ecosystems: 21.2 % to 11.4 %). All models agreed in the direction of the ensemble exceedance change between 2010 and 2016. The North American ensemble also predicted a decrease in both severity and total area in exceedance b</w:t>
      </w:r>
    </w:p>
    <w:p>
      <w:pPr/>
      <w:r>
        <w:rPr>
          <w:b/>
        </w:rPr>
        <w:t>POSSIBLE 2025:</w:t>
      </w:r>
      <w:r>
        <w:t xml:space="preserve"> The development of the cost of cancer in 31 European countries. — https://doi.org/10.1200/jco.2025.43.16_suppl.1596</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1596 Background: The estimated number of new cancer cases in Europe has risen from 2.6 million in 1995 to 4.1 million in 2022. Around every fourth death is due to cancer, yet survival rates have been improving due to advances in early detection, diagnosis, and treatment. The implications of these epidemiological changes and medical advances for the overall cost of cancer are not well documented. Methods: This cost-of-illness study estimated the direct and indirect costs of cancer across 31 European countries (the EU-27 countries, plus Iceland, Norway, Switzerland, and the UK) from 1995 to 2023. For direct costs, information on cancer-specific health expenditure was searched for all countries and combined with data from Eurostat and the OECD. Extrapolations were made for countries with missing information. For indirect costs, productivity losses due to premature mortality were calculated using mortality data from the World Health Organization, Eurostat, and the Office for National Statistics, combined with labor market data from Eurostat. Productivity loss due to morbidity were estimated using data from prior studies and changes in population structure. The human-capital approach was employed to calculate indirect costs. Total costs, costs per capita, and costs per new case were estimated for Europe as a whole and for each individual country. Results: Between 1995 and 2023, the </w:t>
      </w:r>
    </w:p>
    <w:p>
      <w:pPr/>
      <w:r>
        <w:rPr>
          <w:b/>
        </w:rPr>
        <w:t>POSSIBLE 2025:</w:t>
      </w:r>
      <w:r>
        <w:t xml:space="preserve"> Regional Strategies for PV-Based Sustainable Energy in GCC and Europe — https://doi.org/10.31875/2410-2199.2025.12.09</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2024:</w:t>
      </w:r>
      <w:r>
        <w:t xml:space="preserve"> Projection of the number of new lymphoma cases in the world — https://doi.org/10.1093/jjco/hyae147</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lymphoma cases including both Hodgkin and non-Hodgkin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and the USA (graph on the far left and second to the left) are to be interpreted with reference to the right Y-axis, by contrast with results for all other countries, given with reference to the left Y-axis of each graph. Figure 1 shows the trend in the estimated numbers of lymphoma cases for males. Estimated number of new Hodgkin and non-Hodgkin lymphoma cases from 2022 to 2050 (male). In 2022, the highest number of new cases were found in the USA (48 249), Chi</w:t>
      </w:r>
    </w:p>
    <w:p>
      <w:pPr/>
      <w:r>
        <w:rPr>
          <w:b/>
        </w:rPr>
        <w:t>POSSIBLE 2024:</w:t>
      </w:r>
      <w:r>
        <w:t xml:space="preserve"> Projection of the number of new cases of ovarian cancer in the world — https://doi.org/10.1093/jjco/hyad191</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ovarian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number of cases by 2040 prediction relative to the number of cases in 2020 for each country. Figure 1 illustrates the projected trends in the estimated number of ovarian cancer cases for females in 2020 and 2040. Notice that results for China (shown in the leftmost graph) and for the USA (shown in the second graph from the left) are represented on the right Y axis, by contrast with all other numbers represented on the left Y axis of each graph. This differentiation is attributed to the considerably higher number of cases in these two countries compared to the rest. In 2020, the highest number of new cases o</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estimated, number, cases, between;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pStyle w:val="Heading2"/>
      </w:pPr>
      <w:r>
        <w:t>539.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2025:</w:t>
      </w:r>
      <w:r>
        <w:t xml:space="preserve"> Mapping socio-environmental policy integration in the European Union: A multilayer network approach — https://doi.org/10.1016/j.jclepro.2025.144792</w:t>
      </w:r>
    </w:p>
    <w:p>
      <w:pPr/>
      <w:r>
        <w:rPr>
          <w:b/>
        </w:rPr>
        <w:t>Shared claim-specific concepts:</w:t>
      </w:r>
      <w:r>
        <w:t xml:space="preserve"> union, based, approach; EU scope visible. This is a provisional connection, not an outcome finding.</w:t>
      </w:r>
    </w:p>
    <w:p>
      <w:pPr>
        <w:pStyle w:val="SourceNote"/>
      </w:pPr>
      <w:r>
        <w:rPr>
          <w:b/>
        </w:rPr>
        <w:t>Available abstract (not full text):</w:t>
      </w:r>
      <w:r>
        <w:t xml:space="preserve"> This paper faces the relevant task of assessing the integration of European countries when dealing with three paradigmatic socio-environmental themes: Circular Economy (CE), Energy Transition (ET), and Social Justice (SJ). Specifically, we aim to explore whether a similar behavior in facing one of the considered aspects is mirrored by similarity in the others. We move from a dataset composed of five variables for CE, two for ET, and three for SJ, representing yearly data for the quinquennium 2016–2020 and European countries. We build a multilayer network based on the ten variables having countries as nodes. Each layer/variable has weighted links based on countries’ similarity. Inter-layer links are created through a community detection exercise over the individual layers. This approach allows us to evaluate analogies, leading to the assessment of intra- and inter-layer policy integration. We find a relatively low level of integration at the European level and a high sensitivity to the number of detected communities, thus revealing the role of countries’ heterogeneity in driving integration.</w:t>
      </w:r>
    </w:p>
    <w:p>
      <w:pPr/>
      <w:r>
        <w:rPr>
          <w:b/>
        </w:rPr>
        <w:t>POSSIBLE 2025:</w:t>
      </w:r>
      <w:r>
        <w:t xml:space="preserve"> REGIONAL SOCIO-ECONOMIC CHANGES IN THE FACE OF DEVELOPMENT CONDITIONS IN THE EUROPEAN UNION — https://doi.org/10.29119/1641-3466.2025.220.5</w:t>
      </w:r>
    </w:p>
    <w:p>
      <w:pPr/>
      <w:r>
        <w:rPr>
          <w:b/>
        </w:rPr>
        <w:t>Shared claim-specific concepts:</w:t>
      </w:r>
      <w:r>
        <w:t xml:space="preserve"> assess, implications, union, approach; EU scope visible. This is a provisional connection, not an outcome finding.</w:t>
      </w:r>
    </w:p>
    <w:p>
      <w:pPr>
        <w:pStyle w:val="SourceNote"/>
      </w:pPr>
      <w:r>
        <w:rPr>
          <w:b/>
        </w:rPr>
        <w:t>Available abstract (not full text):</w:t>
      </w:r>
      <w:r>
        <w:t xml:space="preserve"> Purpose: To identify economic development trends in the European Union, the extent of which is driven by new dimensions of security and cohesion in the socio-economic development of regions, and to analyse and assess the impact of new crisis phenomena on changes in public expenditure to finance public investment projects in EU regions. Design/methodology/approach: The method of critical analysis of the literature on the subject, the method of comparative analysis and the method of time series analysis with the use of selected methods of descriptive statistics in the field of empirical and statistical data in the generic and territorial arrangement by selected categories of regional units were used. Findings: A group of issues was identified that can be regarded as important directions of investment activity, shaping economic processes and introducing changes in social relations and expectations in the EU. The economic differentiation of European regions at the NUTS 2 level was identified, as well as the directions of changes in the spatial disparities of investment potential in regions in Poland, taking into account changes resulting from crisis phenomena. Research limitations/implications: The presented research results are limited by the availability of empirical data in detailed territorial arrangements. Due to the currently observed factors of socio-economic instability, it</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Assessing teratogenic risks of gadolinium in freshwater environments: Implications for environmental health — https://doi.org/10.1016/j.ecoenv.2024.116442</w:t>
      </w:r>
    </w:p>
    <w:p>
      <w:pPr/>
      <w:r>
        <w:rPr>
          <w:b/>
        </w:rPr>
        <w:t>Shared claim-specific concepts:</w:t>
      </w:r>
      <w:r>
        <w:t xml:space="preserve"> here, assess, environmental, implications; EU scope visible. This is a provisional connection, not an outcome finding.</w:t>
      </w:r>
    </w:p>
    <w:p>
      <w:pPr>
        <w:pStyle w:val="SourceNote"/>
      </w:pPr>
      <w:r>
        <w:rPr>
          <w:b/>
        </w:rPr>
        <w:t>Available abstract (not full text):</w:t>
      </w:r>
      <w:r>
        <w:t xml:space="preserve"> Gadolinium (Gd) is among the rare earth elements extensively utilized in both industrial and medical applications. The latter application appears to contribute to the rise in Gd levels in aquatic ecosystems, as it is excreted via urine from patients undergoing MRI scans and often not captured by wastewater treatment systems. The potential environmental and biological hazards posed by gadolinium exposure are still under investigation. This study aimed to assess the teratogenic risk posed by a gadolinium chelate on the freshwater cnidarian Hydra vulgaris. The experimental design evaluated the impact of pure Gadodiamide (25 μg/l, 50 μg/l, 100 μg/l, 500 μg/l) and its commercial counterpart compound (Omniscan®; 100 μg/l, 500 μg/l, 782.7 mg/l) at varying concentrations using the Teratogenic Risk Index (TRI). Here we showed a moderate risk (Class III of TRI) following exposure to both tested formulations at concentrations ≥ 100 μg/l. Given the potential for similar concentrations in aquatic environments, particularly near wastewater discharge points, a teratogenic risk assessment using the Hydra regeneration assay was conducted on environmental samples collected from three rivers (Tiber, Almone, and Sacco) in Central Italy. Additionally, chemical analysis of field samples was performed using ICP-MS. Analysis of freshwater samples revealed low Gd concentrations (≤ 0.1 μg/l), despite lo</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here, assess, environmental, implications, approach;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2024:</w:t>
      </w:r>
      <w:r>
        <w:t xml:space="preserve"> Assessing the Potential for Electrification of the Food Industry and Its Implications for Environmental Sustainability — https://doi.org/10.3390/en17112602</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Electrification is one of the most promising options to align energy demand with greenhouse gas emission reduction targets set by the Paris Agreement or the EU Green Deal. Most studies on the electrification of industrial processes focus on energy and greenhouse gas emissions, while other potential environmental impacts have often been overlooked. The aim of the proposed work is therefore to highlight the benefits and drawbacks of switching to electricity, using life cycle assessment (LCA) methodology to explore more environmental issues. In addition, in order to evaluate the environmental sustainability of this transformation, the LCA results are compared with sustainability thresholds defined with two different methods, on a global scale using “sustainable levels” concept. The first method is based on current environmental impacts of the industrial processes while the second considers the economic added value. Industrial heat productions for the Danish and French food industries are used as case studies. The results show a large number of environmental trade-offs associated with electrification, some of which are leading to unsustainable levels. Sustainability thresholds based on economic added value ensure a fairer distribution between sectors, in particular by preventing the most virtuous sectors and processes from being penalised.</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here, assess, based;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multiple, approach;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2023:</w:t>
      </w:r>
      <w:r>
        <w:t xml:space="preserve"> Environmental and socio-economic effects of construction and demolition waste recycling in the European Union — https://doi.org/10.1016/j.scitotenv.2023.168295</w:t>
      </w:r>
    </w:p>
    <w:p>
      <w:pPr/>
      <w:r>
        <w:rPr>
          <w:b/>
        </w:rPr>
        <w:t>Shared claim-specific concepts:</w:t>
      </w:r>
      <w:r>
        <w:t xml:space="preserve"> assess, environmental, union; EU scope visible. This is a provisional connection, not an outcome finding.</w:t>
      </w:r>
    </w:p>
    <w:p>
      <w:pPr>
        <w:pStyle w:val="SourceNote"/>
      </w:pPr>
      <w:r>
        <w:rPr>
          <w:b/>
        </w:rPr>
        <w:t>Available abstract (not full text):</w:t>
      </w:r>
      <w:r>
        <w:t xml:space="preserve"> The recovery rate of construction and demolition waste (CDW) in the European Union (EU) is at 89 % and thus high relative to other waste streams. However, the relatively high figure can be misleading because it typically does not correspond to high-value material recovery but rather “poor” levels of circularity. From a life-cycle perspective, we assess the environmental impacts and costs of 12 CDW material fractions relying on alternative pathways and treatment technologies. The results indicate important trade-offs in the transition towards the circular economy. Indeed, recycling of concrete, bricks, gypsum, and ceramics and tiles represent the best environmental performance but also the most expensive pathway. However, when shifting from landfill to recycling the total societal costs in the EU are reduced mainly due to the lower external costs. Overall, recycling CDW in the EU with advanced technologies would save about 264 kg CO2-eq t−1 with a cost of 25 EUR t−1. The maximum potential for recycling under current technology in the EU would lead to an annual total reduction of about 33 Mt. of CO2-eq using 2020 as reference year. The fractions with the highest potential for improving current waste management practices in terms of environmental improvements are concrete and bricks. The economic and non-economic barriers for realising this potential at EU level are discussed in r</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environmental, based, approach;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pStyle w:val="Heading2"/>
      </w:pPr>
      <w:r>
        <w:t>540.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2025:</w:t>
      </w:r>
      <w:r>
        <w:t xml:space="preserve"> Concluding Remarks — https://doi.org/10.1017/9781009381437.012</w:t>
      </w:r>
    </w:p>
    <w:p>
      <w:pPr/>
      <w:r>
        <w:rPr>
          <w:b/>
        </w:rPr>
        <w:t>Shared claim-specific concepts:</w:t>
      </w:r>
      <w:r>
        <w:t xml:space="preserve"> conclude, potential, approach, other; EU scope not established. This is a provisional connection, not an outcome finding.</w:t>
      </w:r>
    </w:p>
    <w:p>
      <w:pPr>
        <w:pStyle w:val="SourceNote"/>
      </w:pPr>
      <w:r>
        <w:rPr>
          <w:b/>
        </w:rPr>
        <w:t>Available abstract (not full text):</w:t>
      </w:r>
      <w:r>
        <w:t xml:space="preserve">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conclude, implications, foresight, approach, regions;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2024:</w:t>
      </w:r>
      <w:r>
        <w:t xml:space="preserve"> When Replication Fails: What to Conclude and Not to Conclude? — https://doi.org/10.1177/25152459241268197</w:t>
      </w:r>
    </w:p>
    <w:p>
      <w:pPr/>
      <w:r>
        <w:rPr>
          <w:b/>
        </w:rPr>
        <w:t>Shared claim-specific concepts:</w:t>
      </w:r>
      <w:r>
        <w:t xml:space="preserve"> conclude, potential, implications; EU scope not established. This is a provisional connection, not an outcome finding.</w:t>
      </w:r>
    </w:p>
    <w:p>
      <w:pPr>
        <w:pStyle w:val="SourceNote"/>
      </w:pPr>
      <w:r>
        <w:rPr>
          <w:b/>
        </w:rPr>
        <w:t>Available abstract (not full text):</w:t>
      </w:r>
      <w:r>
        <w:t xml:space="preserve"> In this commentary, we examine the implications of the failed replication reported by Vaidis et al., which represents the largest multilab attempt to replicate the induced-compliance paradigm in cognitive-dissonance theory. We respond to commentaries on this study and discuss potential explanations for the null findings, including issues with the perceived choice manipulation and various post hoc explanations. Our commentary includes an assessment of the broader landscape of cognitive-dissonance research, revealing pervasive methodological limitations, such as underpowered studies and a lack of open-science practices. We conclude that our replication study and our examination of the literature raise substantial concerns about the reliability of the induced-compliance paradigm and highlight the need for more rigorous research practices in the field of cognitive dissonance.</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potential, foresight, sustainable;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Leading a New Path with Foresight in China — https://doi.org/10.1002/9781394340651.ch4</w:t>
      </w:r>
    </w:p>
    <w:p>
      <w:pPr/>
      <w:r>
        <w:rPr>
          <w:b/>
        </w:rPr>
        <w:t>Shared claim-specific concepts:</w:t>
      </w:r>
      <w:r>
        <w:t xml:space="preserve"> conclude, discussing, foresight; EU scope not established. This is a provisional connection, not an outcome finding.</w:t>
      </w:r>
    </w:p>
    <w:p>
      <w:pPr>
        <w:pStyle w:val="SourceNote"/>
      </w:pPr>
      <w:r>
        <w:rPr>
          <w:b/>
        </w:rPr>
        <w:t>Available abstract (not full text):</w:t>
      </w:r>
      <w:r>
        <w:t xml:space="preserve"> The Chinese government deeply participate in the planning of social and economic activities, and allocate resources at the macro-level through each five-year plan, meanwhile raise long-term future prospects through Long-Range Objectives Through the Year 2035. Enterprises tend to follow closely with economic development goals based on the five-year plan and long-term visions, without the need to build up own foresight capability. Foresight, while offering promising future prospects, often appears idealistic and lacking in the data and analysis needed to gain their trust. The pivotal challenge lies in the measurement and validation of the foresight, a critical step to support further investment in exploring future innovation opportunities. When discussing with foresight practitioners in China, we discover that the demand for foresight as a methodology is rising at critical junctures of growth dilemma. To conclude, developing foresight literacy is a gradual but highly worthwhile journey.</w:t>
      </w:r>
    </w:p>
    <w:p>
      <w:pPr/>
      <w:r>
        <w:rPr>
          <w:b/>
        </w:rPr>
        <w:t>POSSIBLE 2024:</w:t>
      </w:r>
      <w:r>
        <w:t xml:space="preserve"> Application of Foresight Analysis Methods for Food Supply Research — https://doi.org/10.17212/2075-0862-2024-16.4.2-292-308</w:t>
      </w:r>
    </w:p>
    <w:p>
      <w:pPr/>
      <w:r>
        <w:rPr>
          <w:b/>
        </w:rPr>
        <w:t>Shared claim-specific concepts:</w:t>
      </w:r>
      <w:r>
        <w:t xml:space="preserve"> conclude, potential, foresight, approach; EU scope not established. This is a provisional connection, not an outcome finding.</w:t>
      </w:r>
    </w:p>
    <w:p>
      <w:pPr>
        <w:pStyle w:val="SourceNote"/>
      </w:pPr>
      <w:r>
        <w:rPr>
          <w:b/>
        </w:rPr>
        <w:t>Available abstract (not full text):</w:t>
      </w:r>
      <w:r>
        <w:t xml:space="preserve"> This article discusses the possibilities of using foresight analysis methods in relation to the issue of food supply. Taking into account the fact that food markets are a rather complex object of study, and food supply depends not only on quantitative (volume of consumption, total calorie intake), but also qualitative parameters (quality of nutrition, structure and macronutrient composition of the food basket, provision of micronutrients, etc.), using only quantitative, economic and statistical methods for analysis is inappropriate. The best effect can be achieved by foresight techniques that take into account non-trivial, deep connections and allow a more comprehensive look at the phenomenon under consideration. Taking into account the above, the authors systematized modern approaches to foresight analysis, considered the most effective methods, such as identifying weak signals and wild card events, and also identified the features of using these methodological approaches for analyzing food markets, which are subject to a wide range of difficult to predict climatic and technogenic factors, as well as factors of geopolitical and macroeconomic nature. An emphasis on identifying implicit connections, and also predicting key reference points that can have a decisive impact on the development of food markets, can help improve economic resilience in the face of emerging global food </w:t>
      </w:r>
    </w:p>
    <w:p>
      <w:pPr/>
      <w:r>
        <w:rPr>
          <w:b/>
        </w:rPr>
        <w:t>POSSIBLE 2023:</w:t>
      </w:r>
      <w:r>
        <w:t xml:space="preserve"> Discussing ChatGPT in education: A literature review and bibliometric analysis — https://doi.org/10.1080/2331186x.2023.2243134</w:t>
      </w:r>
    </w:p>
    <w:p>
      <w:pPr/>
      <w:r>
        <w:rPr>
          <w:b/>
        </w:rPr>
        <w:t>Shared claim-specific concepts:</w:t>
      </w:r>
      <w:r>
        <w:t xml:space="preserve"> conclude, discussing, potential; EU scope not established. This is a provisional connection, not an outcome finding.</w:t>
      </w:r>
    </w:p>
    <w:p>
      <w:pPr>
        <w:pStyle w:val="SourceNote"/>
      </w:pPr>
      <w:r>
        <w:rPr>
          <w:b/>
        </w:rPr>
        <w:t>Available abstract (not full text):</w:t>
      </w:r>
      <w:r>
        <w:t xml:space="preserve"> This article aims to provide a review of existing research on the use of OpenAI ChatGPT in education using bibliometric analysis and systematic literature review. We explored published articles to observe the leading contributors to this field, the important subtopics, and the potential study in the future. We discovered that there is already a rise in the quantity of articles published on this subject between 2022 and 2023. We also map the research clusters using network analysis. The results obtained found a total of 93 articles. The analysis conclude that keywords such as “challenge,” “teaching,” and “knowledge,” have not been thoroughly researched This article contributes to the literature discussing the use of artificial intelligence in education and can be useful for academics and policymakers in education.</w:t>
      </w:r>
    </w:p>
    <w:p>
      <w:pPr/>
      <w:r>
        <w:rPr>
          <w:b/>
        </w:rPr>
        <w:t>POSSIBLE 2023:</w:t>
      </w:r>
      <w:r>
        <w:t xml:space="preserve"> A Brief Overview of ChatGPT: The History, Status Quo and Potential Future Development — https://doi.org/10.1109/jas.2023.123618</w:t>
      </w:r>
    </w:p>
    <w:p>
      <w:pPr/>
      <w:r>
        <w:rPr>
          <w:b/>
        </w:rPr>
        <w:t>Shared claim-specific concepts:</w:t>
      </w:r>
      <w:r>
        <w:t xml:space="preserve"> conclude, potential; EU scope not established. This is a provisional connection, not an outcome finding.</w:t>
      </w:r>
    </w:p>
    <w:p>
      <w:pPr>
        <w:pStyle w:val="SourceNote"/>
      </w:pPr>
      <w:r>
        <w:rPr>
          <w:b/>
        </w:rPr>
        <w:t>Available abstract (not full text):</w:t>
      </w:r>
      <w:r>
        <w:t xml:space="preserve"> 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w:t>
      </w:r>
    </w:p>
    <w:p>
      <w:pPr>
        <w:pStyle w:val="Heading2"/>
      </w:pPr>
      <w:r>
        <w:t>541.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2026:</w:t>
      </w:r>
      <w:r>
        <w:t xml:space="preserve"> Sustainable Development Regimes, Transition Dynamics and Environmental Performance in the European Union — https://doi.org/10.3390/su18147219</w:t>
      </w:r>
    </w:p>
    <w:p>
      <w:pPr/>
      <w:r>
        <w:rPr>
          <w:b/>
        </w:rPr>
        <w:t>Shared claim-specific concepts:</w:t>
      </w:r>
      <w:r>
        <w:t xml:space="preserve"> transition, characterized, emissions; EU scope visible. This is a provisional connection, not an outcome finding.</w:t>
      </w:r>
    </w:p>
    <w:p>
      <w:pPr>
        <w:pStyle w:val="SourceNote"/>
      </w:pPr>
      <w:r>
        <w:rPr>
          <w:b/>
        </w:rPr>
        <w:t>Available abstract (not full text):</w:t>
      </w:r>
      <w:r>
        <w:t xml:space="preserve"> Sustainable development has become a strategic priority for the European Union in response to climate change, resource constraints and environmental degradation. Despite common policy objectives, Member States exhibit substantial differences in sustainability performance and transition capacities. This study investigates sustainable development pathways in the European Union using an integrated framework combining cluster analysis, transition analysis, panel econometrics and a conceptual Petri Net model. The empirical analysis is based on a balanced panel dataset covering the 27 EU Member States during the period 2015–2024. K-means clustering was employed to identify sustainable development regimes, transition matrices were used to evaluate regime persistence, and panel data models were estimated to examine the determinants of environmental performance measured through greenhouse gas emissions per capita. The results confirm the existence of four distinct sustainable development regimes characterized by different combinations of economic performance, environmental pressure and resource efficiency. Transition analysis confirms heterogeneous transition dynamics characterized by a generally high degree of regime persistence, while only a limited number of countries experienced regime changes during the study period. The econometric findings confirm that renewable energy deployment</w:t>
      </w:r>
    </w:p>
    <w:p>
      <w:pPr/>
      <w:r>
        <w:rPr>
          <w:b/>
        </w:rPr>
        <w:t>POSSIBLE 2025:</w:t>
      </w:r>
      <w:r>
        <w:t xml:space="preserve"> 14. (How) Can the Energy Transition in Europe be a Just Transition? — https://doi.org/10.11647/obp.0499.14</w:t>
      </w:r>
    </w:p>
    <w:p>
      <w:pPr/>
      <w:r>
        <w:rPr>
          <w:b/>
        </w:rPr>
        <w:t>Shared claim-specific concepts:</w:t>
      </w:r>
      <w:r>
        <w:t xml:space="preserve"> transition, emissions;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transition, emissions, show,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Decoupling Economy Growth and Emissions: Energy Transition Pathways Under the European Agenda for Climate Action — https://doi.org/10.3390/en18195096</w:t>
      </w:r>
    </w:p>
    <w:p>
      <w:pPr/>
      <w:r>
        <w:rPr>
          <w:b/>
        </w:rPr>
        <w:t>Shared claim-specific concepts:</w:t>
      </w:r>
      <w:r>
        <w:t xml:space="preserve"> transition, ghg, emissions, co2; EU scope visible. This is a provisional connection, not an outcome finding.</w:t>
      </w:r>
    </w:p>
    <w:p>
      <w:pPr>
        <w:pStyle w:val="SourceNote"/>
      </w:pPr>
      <w:r>
        <w:rPr>
          <w:b/>
        </w:rPr>
        <w:t>Available abstract (not full text):</w:t>
      </w:r>
      <w:r>
        <w:t xml:space="preserve"> As the European Union’s energy systems are transforming towards achieving climate goals, this article examines the energy balances of EU member states. This analysis covers, among other things, the dynamics of energy dependence and strategies for decoupling economic growth from the level of emissions in the European Union (EU), with particular emphasis on Poland, which is strongly influenced by its historical reliance on coal in the energy balance. Using panel data from 1990 to 2022, the article investigates differences in energy dependence between individual countries, shaped by economic structures and national energy policies. The study results confirm significant heterogeneity between member states and emphasize that the stability and direction of decoupling economic growth from greenhouse gas (GHG) emissions are strongly dependent on the composition of the energy mix and vulnerability to external conditions. Based on scenario analysis, potential paths for Poland’s energy transition are assessed. We demonstrate that a high share of renewable energy sources (RES) significantly reduces CO2 emissions, provided it is accompanied by infrastructure modernization and the development of energy storage. Furthermore, integrating nuclear energy as a stabilizing element of the energy mix offers an additional path to deep decarbonization while ensuring supply reliability. Finally, we dem</w:t>
      </w:r>
    </w:p>
    <w:p>
      <w:pPr/>
      <w:r>
        <w:rPr>
          <w:b/>
        </w:rPr>
        <w:t>POSSIBLE 2025:</w:t>
      </w:r>
      <w:r>
        <w:t xml:space="preserve"> Drivers of inequality in CO 2 per capita emissions: The role of the energy transition in the European Union — https://doi.org/10.1080/15567249.2025.2580555</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paper analyses the evolution of inequality in CO2 per capita (CO2pc) emissions in the 27 EU countries and its driving forces (1990–2018). The measure of inequality is the Theil index, which is additively decomposable by factors and population sub-groups. Along with the traditional factors (e.g. carbon intensity of the energy mix, energy intensity of GDP and GDP per capita), we introduce three new factors, namely the contribution of the electricity sector, the development of renewable energy and the progress of renewable electrification. We find that total inequality declined between 1990 and 2018. Over the whole period, carbon intensity of electricity production and renewable energy development are the main drivers of emissions inequality. In this sense, factors like energy intensity of GDP and GDP per capita are no longer so relevant to explain inequality in CO2pc emissions. Therefore, we stress the urgency of cohesion policies linked to technology transfers that ensure clean electrification of the economy, as they are crucial to fight climate change while reducing emissions inequality.</w:t>
      </w:r>
    </w:p>
    <w:p>
      <w:pPr/>
      <w:r>
        <w:rPr>
          <w:b/>
        </w:rPr>
        <w:t>POSSIBLE 2025:</w:t>
      </w:r>
      <w:r>
        <w:t xml:space="preserve"> Energy Transition and Household Carbon Emissions in China — https://doi.org/10.1111/1467-8454.12401</w:t>
      </w:r>
    </w:p>
    <w:p>
      <w:pPr/>
      <w:r>
        <w:rPr>
          <w:b/>
        </w:rPr>
        <w:t>Shared claim-specific concepts:</w:t>
      </w:r>
      <w:r>
        <w:t xml:space="preserve"> transition, emissions, show; EU scope not established. This is a provisional connection, not an outcome finding.</w:t>
      </w:r>
    </w:p>
    <w:p>
      <w:pPr>
        <w:pStyle w:val="SourceNote"/>
      </w:pPr>
      <w:r>
        <w:rPr>
          <w:b/>
        </w:rPr>
        <w:t>Available abstract (not full text):</w:t>
      </w:r>
      <w:r>
        <w:t xml:space="preserve"> ABSTRACT This paper uses CFPS 2014, 2016, and 2018 micro‐survey data to measure the level of household carbon emissions and utilizes Chinese city data to construct a composite index to measure the development level of energy transition and then empirically examines the impact of city energy transition on household carbon emissions through macro–micro data matching. It is found that the higher the index level of energy transition, the more obvious the inhibitory effect on household carbon emissions. Subsequently, the robustness test and the estimation results considering the endogeneity problem are not significantly different from the baseline regression findings. The mechanism analysis suggests that energy transition will have an indirect effect on household carbon emissions through green technology innovation, environmental regulation and the adjustment of consumer lifestyles. The heterogeneity study found that the impacts of energy transition on different household age structures, housing sizes, geographic locations and energy structures show significant differences. This paper has important policy implications for accelerating city energy transition, promoting energy structure transformation, and guiding household decarbonization.</w:t>
      </w:r>
    </w:p>
    <w:p>
      <w:pPr/>
      <w:r>
        <w:rPr>
          <w:b/>
        </w:rPr>
        <w:t>POSSIBLE 2025:</w:t>
      </w:r>
      <w:r>
        <w:t xml:space="preserve"> Policy-relevance of a model inter-comparison: Switzerland in the European energy transition — https://doi.org/10.1016/j.apenergy.2025.125906</w:t>
      </w:r>
    </w:p>
    <w:p>
      <w:pPr/>
      <w:r>
        <w:rPr>
          <w:b/>
        </w:rPr>
        <w:t>Shared claim-specific concepts:</w:t>
      </w:r>
      <w:r>
        <w:t xml:space="preserve"> transition, reduction; EU scope visible. This is a provisional connection, not an outcome finding.</w:t>
      </w:r>
    </w:p>
    <w:p>
      <w:pPr>
        <w:pStyle w:val="SourceNote"/>
      </w:pPr>
      <w:r>
        <w:rPr>
          <w:b/>
        </w:rPr>
        <w:t>Available abstract (not full text):</w:t>
      </w:r>
      <w:r>
        <w:t xml:space="preserve"> The energy transition is reshaping electricity systems, bringing new challenges, and emphasizing the need for strategic planning. Energy policies play a crucial role in guiding this transition. However, assessing their impacts often requires robust modeling involving multiple models and going beyond a single country’s scope, analyzing international interactions. In this study, we examine three Swiss energy policies, analyzing their impacts on both the national energy system and the cross-border electricity flows. We use a model inter-comparison approach with four electricity system models to explore scenarios involving Swiss renewable generation targets, the Swiss market integration, and the Swiss winter import limitations, in the context of various European electricity developments. The results indicate that a renewable generation target leads to a reduction in net imports and electricity prices. Additionally, reduced market integration impacts both Swiss and European energy transitions by limiting trade benefits, underutilizing Variable Renewable Energy Sources (VRES), and increasing electricity supply costs. Lastly, we observe that limiting Swiss winter imports adversely affects electricity trading, driving up both supply costs and electricity prices. • Energy model inter-comparison for robust policy insights. • Three Swiss policies affect the power system. • Achieving a ren</w:t>
      </w:r>
    </w:p>
    <w:p>
      <w:pPr>
        <w:pStyle w:val="Heading2"/>
      </w:pPr>
      <w:r>
        <w:t>542.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2026:</w:t>
      </w:r>
      <w:r>
        <w:t xml:space="preserve"> Educational Psychology in the European Union in the Twenty-first Century: An Extensive Bibliometric Study — https://doi.org/10.5093/psed2026a22</w:t>
      </w:r>
    </w:p>
    <w:p>
      <w:pPr/>
      <w:r>
        <w:rPr>
          <w:b/>
        </w:rPr>
        <w:t>Shared claim-specific concepts:</w:t>
      </w:r>
      <w:r>
        <w:t xml:space="preserve"> extensive, member, states, union; EU scope visible. This is a provisional connection, not an outcome finding.</w:t>
      </w:r>
    </w:p>
    <w:p>
      <w:pPr>
        <w:pStyle w:val="SourceNote"/>
      </w:pPr>
      <w:r>
        <w:rPr>
          <w:b/>
        </w:rPr>
        <w:t>Available abstract (not full text):</w:t>
      </w:r>
      <w:r>
        <w:t xml:space="preserve"> This paper reviews recent research in Educational Psychology related to twenty-first century development in the European Union (EU). Over the last two decades, researchers have promoted interdisciplinary and collaborative approaches across areas such as literacy, reading and writing, cognitive disabilities, creativity, motivation, social and individual differences, and academic achievement. The study focuses on the EU due to the limited research examining its specific contribution to Educational Psychology. It addresses key questions regarding the contribution of the EU and its member states, the main topics covered in Web of Science publications, the evolution of research trends, the leading European journals in the field, and the impact of the post-Brexit context. Through bibliometric analysis, the study highlights the EU’s significant contribution to the scientific community and recent advances in Educational Psychology research.</w:t>
      </w:r>
    </w:p>
    <w:p>
      <w:pPr/>
      <w:r>
        <w:rPr>
          <w:b/>
        </w:rPr>
        <w:t>POSSIBLE 2025:</w:t>
      </w:r>
      <w:r>
        <w:t xml:space="preserve"> Prediction of the Methane Yield From Extensively Managed, Flower‐Rich Fen Grassland Based on NIRS Data — https://doi.org/10.1111/gcbb.70046</w:t>
      </w:r>
    </w:p>
    <w:p>
      <w:pPr/>
      <w:r>
        <w:rPr>
          <w:b/>
        </w:rPr>
        <w:t>Shared claim-specific concepts:</w:t>
      </w:r>
      <w:r>
        <w:t xml:space="preserve"> despite, rich, extensive, energy; EU scope visible. This is a provisional connection, not an outcome finding.</w:t>
      </w:r>
    </w:p>
    <w:p>
      <w:pPr>
        <w:pStyle w:val="SourceNote"/>
      </w:pPr>
      <w:r>
        <w:rPr>
          <w:b/>
        </w:rPr>
        <w:t>Available abstract (not full text):</w:t>
      </w:r>
      <w:r>
        <w:t xml:space="preserve"> ABSTRACT In many regions of Europe, biogas production is an integral part of farming to generate methane as a sustainable and versatile renewable energy carrier. Besides providing feedstock for ruminants and energy production, grasslands support multiple beneficial ecosystem services, namely diverse flora and habitats that serve as resources for pollinators. The cost‐effective utilization of grassland biomass is mainly determined by the biomass quality, which is highly variable and dependent on the management intensities. Besides chemical analyses, biogas models are usually applied to predict the biogas yield of a specific biomass type and quality. However, available models do not apply to mixed grass stands as they primarily refer to individual grass species and/or are just based on single parameters such as lignin. In this work, we evaluated flower‐rich extensive fen grassland for its biogas yield using a newly created model based on common chemical parameters. Therefore, flower‐rich biomass from a cultivation experiment (n = 48) was analyzed for its biomass yield (average 9.43 ± 1.26 tVS × ha−1), chemical composition by wet chemical analysis and near‐infrared spectroscopy (NIRS), specific methane yield (SMY) potential via batch tests, and methane hectare yield (1505.62 ± 282.86 m3N × ha−1). In the results obtained, we found flower‐rich grassland biomass characterized by high</w:t>
      </w:r>
    </w:p>
    <w:p>
      <w:pPr/>
      <w:r>
        <w:rPr>
          <w:b/>
        </w:rPr>
        <w:t>POSSIBLE 2025:</w:t>
      </w:r>
      <w:r>
        <w:t xml:space="preserve"> Traditional agroforestry systems in Europe revisited: a systematic review — https://doi.org/10.1007/s10457-025-01335-0</w:t>
      </w:r>
    </w:p>
    <w:p>
      <w:pPr/>
      <w:r>
        <w:rPr>
          <w:b/>
        </w:rPr>
        <w:t>Shared claim-specific concepts:</w:t>
      </w:r>
      <w:r>
        <w:t xml:space="preserve"> despite, rich, long-term;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Multicultural Issues: A Comparison of India and Europe — https://doi.org/10.54103/milanoup.196.c365</w:t>
      </w:r>
    </w:p>
    <w:p>
      <w:pPr/>
      <w:r>
        <w:rPr>
          <w:b/>
        </w:rPr>
        <w:t>Shared claim-specific concepts:</w:t>
      </w:r>
      <w:r>
        <w:t xml:space="preserve"> despite, states, national; EU scope visible. This is a provisional connection, not an outcome finding.</w:t>
      </w:r>
    </w:p>
    <w:p>
      <w:pPr>
        <w:pStyle w:val="SourceNote"/>
      </w:pPr>
      <w:r>
        <w:rPr>
          <w:b/>
        </w:rPr>
        <w:t>Available abstract (not full text):</w:t>
      </w:r>
      <w:r>
        <w:t xml:space="preserve"> The chapter introduces the general framework of the multicultural debate in India and Europe, highlighting the points of originality and convergence.India and Europe, despite having different historical paths, today find themselves facing similar problems regarding the possibility of developing inclusive societies, capable of integrating diversity and difference in a context of democratic participation in common social and political life.India had to face -well before the multicultural debate was consolidated in the West -the question of including cultural difference in the definition of national unity.The central point of the multicultural comparison was the effort and need to build unity, solidarity and a sense of common belonging starting from the recognition of cultural differences.In many respects Europe has had to deal with an inverse problem: how to recognize the plurality and multiplicity of cultural differences starting from a deep-rooted idea of internal homogeneity which constituted the ideological and rhetorical basis of the formation of European nation states.A narrative of homogeneity and cultural purity which has fostered both internal cohesion and competitive distinction with other European states, but which is unmasked in its claim to naturalness by migratory phenomena and globalization processes.After briefly introducing the different ways in which multicultur</w:t>
      </w:r>
    </w:p>
    <w:p>
      <w:pPr/>
      <w:r>
        <w:rPr>
          <w:b/>
        </w:rPr>
        <w:t>POSSIBLE 2025:</w:t>
      </w:r>
      <w:r>
        <w:t xml:space="preserve"> Health and relationship quality of sexual minorities in Europe — https://doi.org/10.1007/s00148-025-01077-4</w:t>
      </w:r>
    </w:p>
    <w:p>
      <w:pPr/>
      <w:r>
        <w:rPr>
          <w:b/>
        </w:rPr>
        <w:t>Shared claim-specific concepts:</w:t>
      </w:r>
      <w:r>
        <w:t xml:space="preserve"> rich, member, states; EU scope visible. This is a provisional connection, not an outcome finding.</w:t>
      </w:r>
    </w:p>
    <w:p>
      <w:pPr>
        <w:pStyle w:val="SourceNote"/>
      </w:pPr>
      <w:r>
        <w:rPr>
          <w:b/>
        </w:rPr>
        <w:t>Available abstract (not full text):</w:t>
      </w:r>
      <w:r>
        <w:t xml:space="preserve"> Abstract A growing body of literature investigates inequalities between sexual minorities and their heterosexual peers. This paper deals with disparities in health, health-related behaviours, and relationship quality among LGB+ individuals. We use a novel data set that allows for a wide cross-national analysis (27 EU member states) of disparities between sexual minorities and the rest of the population, as well as differences in reporting sexual orientation. We consider a rich set of social stressors, individual-specific behavioural factors, and health outcomes, as well as novel para-data (i.e., individuals’ response times) that are not available in other large surveys. The results indicate that sexual minorities are more exposed to stigma-related social stressors (both in childhood and adulthood), report worse physical and mental health conditions, feel more lonely, and are more likely to engage in coping strategies aimed at reducing or adapting to stressful conditions. Some of these findings significantly differ across gay, lesbian, and bisexual individuals and with respect to household income, the country’s enforcement of sexual minorities’ rights, and relationship status.</w:t>
      </w:r>
    </w:p>
    <w:p>
      <w:pPr/>
      <w:r>
        <w:rPr>
          <w:b/>
        </w:rPr>
        <w:t>POSSIBLE 2025:</w:t>
      </w:r>
      <w:r>
        <w:t xml:space="preserve"> Measuring Sustainability in Economic Output in the Member States that Joined the European Union in 2004 — https://doi.org/10.1016/j.sftr.2025.100724</w:t>
      </w:r>
    </w:p>
    <w:p>
      <w:pPr/>
      <w:r>
        <w:rPr>
          <w:b/>
        </w:rPr>
        <w:t>Shared claim-specific concepts:</w:t>
      </w:r>
      <w:r>
        <w:t xml:space="preserve"> member, states, energy, long-term, still, union; EU scope visible. This is a provisional connection, not an outcome finding.</w:t>
      </w:r>
    </w:p>
    <w:p>
      <w:pPr>
        <w:pStyle w:val="SourceNote"/>
      </w:pPr>
      <w:r>
        <w:rPr>
          <w:b/>
        </w:rPr>
        <w:t>Available abstract (not full text):</w:t>
      </w:r>
      <w:r>
        <w:t xml:space="preserve"> • Resource productivity (RP) is a frequently used measure of sustainability. • RP is the ratio of GDP to domestic material consumption (DMC). • RP is examined in the member states of the European Union between 2011 and 2021. • Based on the results, RP has an impact on GDP. • The RP is influenced by different factors in the member states that joined in 2004. The 2004 enlargement of the European Union (EU) marked a significant shift, integrating ten new member states, most of which had experienced economic lag due to their historical background. This study assesses the progress of these countries in closing the gap with older EU members from 2011 to 2021, focusing on resource productivity as a key indicator of sustainable economic growth. Using panel regression and structural equation modeling, the analysis highlights persistent differences between the EU-27 and EU-10. Findings suggest that in EU-27 countries, resource productivity is driven primarily by circular economy measures, waste recycling, and renewable energy utilization. In contrast, EU-10 countries, still undergoing economic transformation, rely more on innovation, human capital development, and research and development (R&amp;D) investments to enhance efficiency. Notably, while renewable energy positively impacts resource productivity in EU-27, it shows a paradoxical negative effect in EU-10, likely due to transitional in</w:t>
      </w:r>
    </w:p>
    <w:p>
      <w:pPr/>
      <w:r>
        <w:rPr>
          <w:b/>
        </w:rPr>
        <w:t>POSSIBLE 2025:</w:t>
      </w:r>
      <w:r>
        <w:t xml:space="preserve"> Edible Insects as an Alternative Source of Nutrients: Benefits, Risks, and the Future of Entomophagy in Europe—A Narrative Review — https://doi.org/10.3390/foods14020270</w:t>
      </w:r>
    </w:p>
    <w:p>
      <w:pPr/>
      <w:r>
        <w:rPr>
          <w:b/>
        </w:rPr>
        <w:t>Shared claim-specific concepts:</w:t>
      </w:r>
      <w:r>
        <w:t xml:space="preserve"> despite, rich, union; EU scope visible. This is a provisional connection, not an outcome finding.</w:t>
      </w:r>
    </w:p>
    <w:p>
      <w:pPr>
        <w:pStyle w:val="SourceNote"/>
      </w:pPr>
      <w:r>
        <w:rPr>
          <w:b/>
        </w:rPr>
        <w:t>Available abstract (not full text):</w:t>
      </w:r>
      <w:r>
        <w:t xml:space="preserve"> According to projections by the Food and Agriculture Organization of the United Nations, the global population will reach 9 billion by 2050. This raises concerns about the ability to feed such a population. In view of the above, it is necessary to search for alternative food sources. Edible insects are rich in complete protein, essential fatty acids, vitamins and micronutrients. Despite this, entomophagy is not common in Europe. In 2021, the European Union approved Acheta domesticus, Tenebrio molitor, Locusta migratoria, and Alphitobius diaperinus for consumption. However, their consumption may also be associated with certain hazards, e.g., food allergies. The purpose of this review is to present existing knowledge, discuss the possible dangers of consuming insects, and identify areas for further research. Studies in Asian populations indicate that edible insects may be responsible for 4.2–19.4% of food allergies and 18% of fatal food-induced anaphylaxis. There are also increasing reports from Europe of food allergies to edible insects. A thorough understanding of allergens, their properties, and the mechanisms of food allergies associated with edible insects’ consumption is essential for ensuring consumers’ safety. In the future, it would be worthwhile to investigate the effects of heat treatment on the allergenicity of insect proteins.</w:t>
      </w:r>
    </w:p>
    <w:p>
      <w:pPr/>
      <w:r>
        <w:rPr>
          <w:b/>
        </w:rPr>
        <w:t>POSSIBLE 2024:</w:t>
      </w:r>
      <w:r>
        <w:t xml:space="preserve"> Understanding and addressing shortfalls in European wild bee data — https://doi.org/10.1016/j.biocon.2024.110455</w:t>
      </w:r>
    </w:p>
    <w:p>
      <w:pPr/>
      <w:r>
        <w:rPr>
          <w:b/>
        </w:rPr>
        <w:t>Shared claim-specific concepts:</w:t>
      </w:r>
      <w:r>
        <w:t xml:space="preserve"> despite, national, long-term, still;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pStyle w:val="Heading2"/>
      </w:pPr>
      <w:r>
        <w:t>543.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2026:</w:t>
      </w:r>
      <w:r>
        <w:t xml:space="preserve"> Determination of Antibiotic Residues in Milk — https://doi.org/10.37547/tajabe/volume08issue05-06</w:t>
      </w:r>
    </w:p>
    <w:p>
      <w:pPr/>
      <w:r>
        <w:rPr>
          <w:b/>
        </w:rPr>
        <w:t>Shared claim-specific concepts:</w:t>
      </w:r>
      <w:r>
        <w:t xml:space="preserve"> residues, retention, calculated; EU scope not established. This is a provisional connection, not an outcome finding.</w:t>
      </w:r>
    </w:p>
    <w:p>
      <w:pPr>
        <w:pStyle w:val="SourceNote"/>
      </w:pPr>
      <w:r>
        <w:rPr>
          <w:b/>
        </w:rPr>
        <w:t>Available abstract (not full text):</w:t>
      </w:r>
      <w:r>
        <w:t xml:space="preserve"> Milk and dairy products are of great importance from the perspective of food safety, and the presence of antibiotic residues in their composition may pose a potential risk to human health. The widespread therapeutic use of antibiotics in livestock practice can lead to the occurrence of these residues in milk when withdrawal periods before milking are not properly observed. Therefore, the detection and quantitative assessment of antibiotic residues in milk is considered a relevant scientific problem. This study was designed as an experimental laboratory investigation in which 30 raw milk samples obtained from different sources were analyzed. High-performance liquid chromatography (HPLC) was applied as a confirmatory method for the detection and verification of antibiotic residues. Within the study, antibiotics belonging to the β-lactam, tetracycline, and sulfonamide groups were identified on the basis of retention time agreement and chromatographic peak characteristics, and their concentrations were calculated using calibration curves. The obtained results were compared with internationally accepted maximum residue limits (MRLs). According to the analytical results, antibiotic residues were detected in 60% of the milk samples (18 samples), while in 4 samples (13.3%) the antibiotic concentrations were close to or exceeded the MRL values. The HPLC method demonstrated high sensitiv</w:t>
      </w:r>
    </w:p>
    <w:p>
      <w:pPr/>
      <w:r>
        <w:rPr>
          <w:b/>
        </w:rPr>
        <w:t>POSSIBLE 2026:</w:t>
      </w:r>
      <w:r>
        <w:t xml:space="preserve"> Impacts on Soil Health of Soil Improvers Derived from Agri-Food Processing Residues: a Systematic Review with a Focus on European Field Studies — https://doi.org/10.1007/s42729-026-03037-7</w:t>
      </w:r>
    </w:p>
    <w:p>
      <w:pPr/>
      <w:r>
        <w:rPr>
          <w:b/>
        </w:rPr>
        <w:t>Shared claim-specific concepts:</w:t>
      </w:r>
      <w:r>
        <w:t xml:space="preserve"> residues, retention, approach; EU scope visible. This is a provisional connection, not an outcome finding.</w:t>
      </w:r>
    </w:p>
    <w:p>
      <w:pPr>
        <w:pStyle w:val="SourceNote"/>
      </w:pPr>
      <w:r>
        <w:rPr>
          <w:b/>
        </w:rPr>
        <w:t>Available abstract (not full text):</w:t>
      </w:r>
      <w:r>
        <w:t xml:space="preserve"> Abstract The circular bioeconomy, centred on the principles of “Reduce, Reuse, and Recycle”, is central to achieving the goals of the European Green Deal and the “Farm to Fork” strategy. The key approach, within this framework, is the valorisation of food processing side-streams through various processing technologies to produce fertilisers that, when applied to the soil, act as potential “soil improvers”. When applied to soil, these materials affect not only the physical, chemical, and biological properties of soil but also impact greenhouse gas emissions, nutrient leaching, and the levels of contaminants or pathogens. A systematic review of field studies conducted in European soils between 2014 and 2024 was performed with stringent inclusion and exclusion criteria, which allowed the identification of suitable articles in three independent steps. The main soil improvers derived from various agri-food side-streams were biochar, compost, and digestate. Their effects, along with the potential risks associated with their use in agricultural fields, were carefully evaluated and discussed. This review forms part of the DeliSoil project “Delivering safe, sustainable, tailored &amp; societally accepted soil improvers from circular food production for boosting soil health” funded under the European Union “A Soil Deal for Europe”. This systematic review showed that soil improvers enhance so</w:t>
      </w:r>
    </w:p>
    <w:p>
      <w:pPr/>
      <w:r>
        <w:rPr>
          <w:b/>
        </w:rPr>
        <w:t>POSSIBLE 2025:</w:t>
      </w:r>
      <w:r>
        <w:t xml:space="preserve"> The 2023 European Union report on pesticide residues in food — https://doi.org/10.2903/j.efsa.2025.9398</w:t>
      </w:r>
    </w:p>
    <w:p>
      <w:pPr/>
      <w:r>
        <w:rPr>
          <w:b/>
        </w:rPr>
        <w:t>Shared claim-specific concepts:</w:t>
      </w:r>
      <w:r>
        <w:t xml:space="preserve"> residues, increase, used; EU scope visible. This is a provisional connection, not an outcome finding.</w:t>
      </w:r>
    </w:p>
    <w:p>
      <w:pPr>
        <w:pStyle w:val="SourceNote"/>
      </w:pPr>
      <w:r>
        <w:rPr>
          <w:b/>
        </w:rPr>
        <w:t>Available abstract (not full text):</w:t>
      </w:r>
      <w:r>
        <w:t xml:space="preserve">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pPr/>
      <w:r>
        <w:rPr>
          <w:b/>
        </w:rPr>
        <w:t>POSSIBLE 2025:</w:t>
      </w:r>
      <w:r>
        <w:t xml:space="preserve"> Carbon footprint analysis of different tillage and crop residue management practices in wheat — https://doi.org/10.33545/2618060x.2025.v8.i1b.5207</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Wheat production in western Europe accounts for a substantial share of agricultural greenhouse gas emissions, yet the relative contributions of tillage intensity and residue handling remain poorly separated. This research quantified the carbon footprint of 16 tillage-by-residue management combinations in winter wheat at the University of Bonn's experimental station, Klein-Altendorf, Germany, over two growing seasons (October 2021-August 2023). Four tillage methods (conventional moldboard plough, reduced tillage, no-till, strip tillage) were crossed with four residue treatments (removal, partial retention, full retention, incorporation) in a split-plot design with four replications. Carbon footprint was lowest under no-till with full residue retention (2,391 kg CO₂-eq/ha/yr), representing a 44.2% reduction compared to conventional tillage with residue removal (4,287 kg CO₂-eq/ha/yr). Fuel consumption drove 31.4% of the conventional tillage footprint but only 8.7% under no-till. Soil N₂O emissions were 23.8% lower where residue was retained on the surface versus incorporated. Wheat grain yield didn't differ significantly across tillage treatments in the second season, though first-season no-till plots showed a 7.3% yield reduction. These results indicate that tillage reduction combined with surface residue retention offers the largest carbon savings in German wheat systems.</w:t>
      </w:r>
    </w:p>
    <w:p>
      <w:pPr/>
      <w:r>
        <w:rPr>
          <w:b/>
        </w:rPr>
        <w:t>POSSIBLE 2025:</w:t>
      </w:r>
      <w:r>
        <w:t xml:space="preserve"> Using Douglas Fir and European Larch Needles for the Assessment of Their Retention Capacity for Atmospheric Heavy Metals — https://doi.org/10.3390/f16060980</w:t>
      </w:r>
    </w:p>
    <w:p>
      <w:pPr/>
      <w:r>
        <w:rPr>
          <w:b/>
        </w:rPr>
        <w:t>Shared claim-specific concepts:</w:t>
      </w:r>
      <w:r>
        <w:t xml:space="preserve"> retention, over, used; EU scope visible. This is a provisional connection, not an outcome finding.</w:t>
      </w:r>
    </w:p>
    <w:p>
      <w:pPr>
        <w:pStyle w:val="SourceNote"/>
      </w:pPr>
      <w:r>
        <w:rPr>
          <w:b/>
        </w:rPr>
        <w:t>Available abstract (not full text):</w:t>
      </w:r>
      <w:r>
        <w:t xml:space="preserve"> Among numerous global problems, one of the most significant is air pollution. In this paper, unwashed (U) and water-washed (W) needles of two conifers—European larch and Douglas fir—were used to assess their capacity for the retention and accumulation of heavy metals. The needle samples were used to represent the atmospheric deposition of heavy metals located on the surface of the needles. The sampled European larch and Douglas fir plantations were situated at three locations in Serbia: a least polluted (Kučevo), a moderately polluted (Avala), and a very polluted (Lazarevac) site. The content of five heavy metals (Ni, Cu, Co, Cd, Pb) was investigated in the study. The concentration of cadmium (Cd) was higher in the European larch needles compared to Douglas fir, while the differences in the content of the other heavy metals between the species studied were insignificant. For both species, the following trend applied with respect to the heavy metal content in their needles: Ni ˃ Cu ˃ Co ˃ Pb ˃ Cd. Based on the results obtained, we deduced that the concentrations of all investigated heavy metals at all three locations for both species were within the allowed limits, except for nickel (Ni) content, which was over the predicted limit values for both species in the highly polluted area (Lazarevac). A PCA (principal component analysis) undertaken suggests that European larch has a gr</w:t>
      </w:r>
    </w:p>
    <w:p>
      <w:pPr/>
      <w:r>
        <w:rPr>
          <w:b/>
        </w:rPr>
        <w:t>POSSIBLE 2025:</w:t>
      </w:r>
      <w:r>
        <w:t xml:space="preserve"> Active Food Packaging Based On Cassava Residues/Seriguela Residue Extract/nanoZnO — https://doi.org/10.24857/rgsa.v19n5-066</w:t>
      </w:r>
    </w:p>
    <w:p>
      <w:pPr/>
      <w:r>
        <w:rPr>
          <w:b/>
        </w:rPr>
        <w:t>Shared claim-specific concepts:</w:t>
      </w:r>
      <w:r>
        <w:t xml:space="preserve"> residues, retention, approach; EU scope not established. This is a provisional connection, not an outcome finding.</w:t>
      </w:r>
    </w:p>
    <w:p>
      <w:pPr>
        <w:pStyle w:val="SourceNote"/>
      </w:pPr>
      <w:r>
        <w:rPr>
          <w:b/>
        </w:rPr>
        <w:t>Available abstract (not full text):</w:t>
      </w:r>
      <w:r>
        <w:t xml:space="preserve"> Objective: Produce and characterize films based on starch production using extraction from industrial cassava processing as a polymeric matrix, incorporated with nanoZnO and the extract of residues from seriguela processing, with a focus on obtaining active biomaterial for application in food packaging. Theoretical Framework: The production of sustainable materials based on renewable natural resources, such as agricultural crop by-products, produced in large quantities and with little or no added value, has become an increasingly urgent global need, especially for the packaging sector. Method: The cassava residue was supplied by two processing units: the peels by the company José C. da Silva - Farinha (Farinha Quatis ®) located in Lagoa de Itaenga /PE, and the bagasse by Prata Fina® located in the city of Lagoa Salgada /RN. Then, they (peels and bagasse) were subjected to drying at 50 °C, in an oven with air circulation (MA035/5 - MARCONI, Brazil), until a moisture content equal to or less than 10%, and then ground in a multipurpose mill. Subsequently, films were produced with the residue produced with the addition of seriguela extract and nanoZnO. Results and Discussion: CRF presented significant starch content (74.53 g.100g -1 ) and SRE a high phenolic content (1013.7 μgEAG.mL -1 ) with strong antioxidant capacity, but additive films showed low phenolic retention, reinforcing</w:t>
      </w:r>
    </w:p>
    <w:p>
      <w:pPr/>
      <w:r>
        <w:rPr>
          <w:b/>
        </w:rPr>
        <w:t>POSSIBLE 2024:</w:t>
      </w:r>
      <w:r>
        <w:t xml:space="preserve"> Soil bulk density assessment in Europe — https://doi.org/10.1016/j.agee.2024.108907</w:t>
      </w:r>
    </w:p>
    <w:p>
      <w:pPr/>
      <w:r>
        <w:rPr>
          <w:b/>
        </w:rPr>
        <w:t>Shared claim-specific concepts:</w:t>
      </w:r>
      <w:r>
        <w:t xml:space="preserve"> stocks, over, used, spatial;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Bifenthrin Residues in Table Grapevine: Method Optimization, Dissipation and Removal of Residues in Grapes and Grape Leaves — https://doi.org/10.3390/plants13121695</w:t>
      </w:r>
    </w:p>
    <w:p>
      <w:pPr/>
      <w:r>
        <w:rPr>
          <w:b/>
        </w:rPr>
        <w:t>Shared claim-specific concepts:</w:t>
      </w:r>
      <w:r>
        <w:t xml:space="preserve"> residues, calculated, over; EU scope visible. This is a provisional connection, not an outcome finding.</w:t>
      </w:r>
    </w:p>
    <w:p>
      <w:pPr>
        <w:pStyle w:val="SourceNote"/>
      </w:pPr>
      <w:r>
        <w:rPr>
          <w:b/>
        </w:rPr>
        <w:t>Available abstract (not full text):</w:t>
      </w:r>
      <w:r>
        <w:t xml:space="preserve"> The QuEChERS method was adjusted to determine bifenthrin residues in grapes and grape leaves. Extraction and cleanup procedures were optimized to decrease co-extracted materials and enhance the detection of bifenthrin. The method was validated per the European Union (EU) Guidelines criteria. Accuracy ranged from 98.8% to 93.5% for grapes and grape leaves, respectively. Precision values were 5.5 and 6.4 (RSDr) and 7.4 and 6.7 (RSDR) for grapes and grape leaves, respectively. LOQs (the lowest spiking level) were 2 and 20 µg/kg for grapes and grape leaves, respectively. Linearity as determination coefficient (R2) values were 0.9997 and 0.9964 for grapes and grape leaves, respectively, in a matrix over 1–100 µg/L range of analyte concentration. This was very close to the value in the pure solvent (0.9999), showing the efficiency of the cleanup in removing the co-extracted and co-injected materials; the matrix effect was close to zero in both sample matrices. Dissipation of bifenthrin was studied in a supervised trial conducted in a grapevine field during the summer of 2023 at the recommended dose and double the dose. Dissipation factor k values were 0.1549 and 0.1672 (recommended dose) and 0.235 and 0.208 (double dose) for grapes and grape leaves, respectively. Pre-harvest interval (PHI) was calculated for the Maximum Residue Limit (MRL) values of the EU database. Residues of bifen</w:t>
      </w:r>
    </w:p>
    <w:p>
      <w:pPr/>
      <w:r>
        <w:rPr>
          <w:b/>
        </w:rPr>
        <w:t>POSSIBLE 2024:</w:t>
      </w:r>
      <w:r>
        <w:t xml:space="preserve"> Towards the Magic Radioactive Bullet: Improving Targeted Radionuclide Therapy by Reducing the Renal Retention of Radioligands — https://doi.org/10.3390/ph17020256</w:t>
      </w:r>
    </w:p>
    <w:p>
      <w:pPr/>
      <w:r>
        <w:rPr>
          <w:b/>
        </w:rPr>
        <w:t>Shared claim-specific concepts:</w:t>
      </w:r>
      <w:r>
        <w:t xml:space="preserve"> retention, reduced, over, used; EU scope not established. This is a provisional connection, not an outcome finding.</w:t>
      </w:r>
    </w:p>
    <w:p>
      <w:pPr>
        <w:pStyle w:val="SourceNote"/>
      </w:pPr>
      <w:r>
        <w:rPr>
          <w:b/>
        </w:rPr>
        <w:t>Available abstract (not full text):</w:t>
      </w:r>
      <w:r>
        <w:t xml:space="preserve"> Targeted radionuclide therapy (TRT) is an emerging field and has the potential to become a major pillar in effective cancer treatment. Several pharmaceuticals are already in routine use for treating cancer, and there is still a high potential for new compounds for this application. But, a major issue for many radiolabeled low-to-moderate-molecular-weight molecules is their clearance via the kidneys and their subsequent reuptake. High renal accumulation of radioactive compounds may lead to nephrotoxicity, and therefore, the kidneys are often the dose-limiting organs in TRT with these radioligands. Over the years, different strategies have been developed aiming for reduced kidney retention and enhanced therapeutic efficacy of radioligands. In this review, we will give an overview of the efforts and achievements of the used strategies, with focus on the therapeutic potential of low-to-moderate-molecular-weight molecules. Among the strategies discussed here is coadministration of compounds that compete for binding to the endocytic receptors in the proximal tubuli. In addition, the influence of altering the molecular design of radiolabeled ligands on pharmacokinetics is discussed, which includes changes in their physicochemical properties and implementation of cleavable linkers or albumin-binding moieties. Furthermore, we discuss the influence of chelator and radionuclide choice on </w:t>
      </w:r>
    </w:p>
    <w:p>
      <w:pPr>
        <w:pStyle w:val="Heading2"/>
      </w:pPr>
      <w:r>
        <w:t>544.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r>
        <w:rPr>
          <w:b/>
        </w:rPr>
        <w:t>POSSIBLE 2025:</w:t>
      </w:r>
      <w:r>
        <w:t xml:space="preserve"> Implications of window opening assumptions in English overheating regulation on assessing residential heat resilience under uncertain climate — https://doi.org/10.26868/25222708.2025.1494</w:t>
      </w:r>
    </w:p>
    <w:p>
      <w:pPr/>
      <w:r>
        <w:rPr>
          <w:b/>
        </w:rPr>
        <w:t>Shared claim-specific concepts:</w:t>
      </w:r>
      <w:r>
        <w:t xml:space="preserve"> uncertain, role, climate, however, implications; EU scope not established. This is a provisional connection, not an outcome finding.</w:t>
      </w:r>
    </w:p>
    <w:p>
      <w:pPr>
        <w:pStyle w:val="SourceNote"/>
      </w:pPr>
      <w:r>
        <w:rPr>
          <w:b/>
        </w:rPr>
        <w:t>Available abstract (not full text):</w:t>
      </w:r>
      <w:r>
        <w:t xml:space="preserve"> Climate change causes more frequent and severe heat- waves in temperate regions, posing a grave risk of heat exposure to dwellings. To address this, the United Kingdom government recently implemented regula- tions to mitigate overheating in English and Welsh homes. Approved Document O (ADO), as its accom- panying technical guidance, recommends a modelling approach to demonstrating regulatory compliance for summertime thermal comfort, which is based on the Technical Memorandum 59 (TM59) methodology with modifications to the standardised window control be- haviours. Previous studies have highlighted adaptive ventilation as a crucial measure to enhance heat resi- lience of future homes; however, the impact of such modifications on overheating prediction has not been quantitatively discussed, particularly in consideration of climate uncertainty. This paper aims to investigate the implications of the tailored window control rule- sets in ADO on heat resilience evaluation for future homes under uncertain climatic conditions. Results suggest a statistically significant difference (p &lt; 0.001) in overheating assessment results between TM59 and ADO, with the greatest effect observed on the expected overheating risk in nocturnal bedrooms. Quantitat- ive evidence also reveals the critical role of nighttime ventilation in enhancing thermal comfort in future summers regarding both effectiven</w:t>
      </w:r>
    </w:p>
    <w:p>
      <w:pPr/>
      <w:r>
        <w:rPr>
          <w:b/>
        </w:rPr>
        <w:t>POSSIBLE 2025:</w:t>
      </w:r>
      <w:r>
        <w:t xml:space="preserve"> A Review of Food Security Crisis in Uncertain Times — https://doi.org/10.54536/ajfst.v4i1.3622</w:t>
      </w:r>
    </w:p>
    <w:p>
      <w:pPr/>
      <w:r>
        <w:rPr>
          <w:b/>
        </w:rPr>
        <w:t>Shared claim-specific concepts:</w:t>
      </w:r>
      <w:r>
        <w:t xml:space="preserve"> uncertain, role, potential, climate, other, implications; EU scope not established. This is a provisional connection, not an outcome finding.</w:t>
      </w:r>
    </w:p>
    <w:p>
      <w:pPr>
        <w:pStyle w:val="SourceNote"/>
      </w:pPr>
      <w:r>
        <w:rPr>
          <w:b/>
        </w:rPr>
        <w:t>Available abstract (not full text):</w:t>
      </w:r>
      <w:r>
        <w:t xml:space="preserve"> Hunger and poverty are not the only issues linked to the food insecurity challenge. Increased violence, terrorism, natural catastrophes, climate change, and the most recent worldwide pandemic known as the COVID-19 Pandemic have all drawn attention to the issue of food poverty. Before the world’s economy fully recovered from the COVID-19 pandemic, the globe was particularly affected by the Russian invasion of Ukraine and the grain crisis, which intensified the situation to never-before-seen proportions. This article describes the numerous complex issues underlying the food shortage and how it affects the world’s least developed nations and individuals. This article analyses the challenges of global food scarcity, especially during the COVID-19 pandemic. The method of study involved conducting a comprehensive literature search on electronic databases, including PubMed, Google Scholar, and Embase. The relevant results were then recorded in a qualitative descriptive form. It examines the impact of the pandemic on food systems, its implications for the worldwide supply chain, and food and addressing the shortage. The review also explores factors contributing to food scarcity, such as the controversial role of biofuels. The article discusses the extent of hunger and food insecurity, emphasizing the moral implications of unhealthy eating practices and the relationship between food sec</w:t>
      </w:r>
    </w:p>
    <w:p>
      <w:pPr/>
      <w:r>
        <w:rPr>
          <w:b/>
        </w:rPr>
        <w:t>POSSIBLE 2025:</w:t>
      </w:r>
      <w:r>
        <w:t xml:space="preserve"> Dependent Infrastructure Service Disruption Mapping (DISruptionMap): A method to assess cascading service disruptions in disaster scenarios — https://doi.org/10.1038/s41598-025-89469-0</w:t>
      </w:r>
    </w:p>
    <w:p>
      <w:pPr/>
      <w:r>
        <w:rPr>
          <w:b/>
        </w:rPr>
        <w:t>Shared claim-specific concepts:</w:t>
      </w:r>
      <w:r>
        <w:t xml:space="preserve"> assess, transport, other; EU scope visible. This is a provisional connection, not an outcome finding.</w:t>
      </w:r>
    </w:p>
    <w:p>
      <w:pPr>
        <w:pStyle w:val="SourceNote"/>
      </w:pPr>
      <w:r>
        <w:rPr>
          <w:b/>
        </w:rPr>
        <w:t>Available abstract (not full text):</w:t>
      </w:r>
      <w:r>
        <w:t xml:space="preserve"> Critical infrastructures provide essential services for our modern society. Large-scale natural hazards, such as floods or storms, can disrupt multiple critical infrastructures at once. In addition, a localized failure of one service can trigger a cascade of failures of other dependent services. This makes it challenging to anticipate and prepare adequately for direct and indirect consequences of such events. Existing methods that are spatially explicit and consider service dependencies currently lack practicality, as they require large amounts of data. To address this gap, we propose a novel method called DISruptionMap which analyzes complex disruptions to critical infrastructure services. The proposed method combines (i) spatial service models to assess direct service disruptions with (ii) a service dependency model to assess indirect (cascading) service disruptions. A fault tree-based approach is implemented, resulting in a significant decrease in the information required to set up the service dependency model. We demonstrate the effectiveness of our method in a case study examining the impact of an extreme flood on health, transport, and power services in Cologne, Germany.</w:t>
      </w:r>
    </w:p>
    <w:p>
      <w:pPr/>
      <w:r>
        <w:rPr>
          <w:b/>
        </w:rPr>
        <w:t>POSSIBLE 2025:</w:t>
      </w:r>
      <w:r>
        <w:t xml:space="preserve"> Sri Lankan Migrant Women’s Uncertain COVID-19 Conditions in the Middle East — https://doi.org/10.47836/pjssh.33.2.04</w:t>
      </w:r>
    </w:p>
    <w:p>
      <w:pPr/>
      <w:r>
        <w:rPr>
          <w:b/>
        </w:rPr>
        <w:t>Shared claim-specific concepts:</w:t>
      </w:r>
      <w:r>
        <w:t xml:space="preserve"> owing, uncertain, however; EU scope not established. This is a provisional connection, not an outcome finding.</w:t>
      </w:r>
    </w:p>
    <w:p>
      <w:pPr>
        <w:pStyle w:val="SourceNote"/>
      </w:pPr>
      <w:r>
        <w:rPr>
          <w:b/>
        </w:rPr>
        <w:t>Available abstract (not full text):</w:t>
      </w:r>
      <w:r>
        <w:t xml:space="preserve"> The discrimination and exploitation encountered by Sri Lankan migrant women in the Middle East labour market have aggravated, which engenders significant challenges for numerous families, especially during the COVID-19 pandemic. The current study aims to explore Sri Lankan women’s uncertain living conditions with families during the COVID-19 pandemic. A qualitative research method was employed to collect data through a semi-structured interview guide and produce a descriptive analysis using the thematic analysis technique. Purposive sampling was performed to recruit Sri Lankan migrant women who stayed with their respective families in Bahrain. A total of 13 online in-depth interviews were conducted. Resultantly, Sri Lankan migrant women experienced significant challenges during the pandemic due to frequent humiliation and termination by employers, which significantly increased the pressure of living. The crisis negatively impacted Sri Lankan migrant women’s lives owing to increased family responsibilities, which led to high challenges in achieving a balance between work and family. Working in the Middle East and resettling in Sri Lanka were not as favourable as expected at their stage of work, which required them to adopt coping mechanisms to achieve their economic goal. However, the amount of relevant materials and social support for the migrant women was minimal. The present </w:t>
      </w:r>
    </w:p>
    <w:p>
      <w:pPr>
        <w:pStyle w:val="Heading2"/>
      </w:pPr>
      <w:r>
        <w:t>545.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2026:</w:t>
      </w:r>
      <w:r>
        <w:t xml:space="preserve"> Methane leakage thresholds for net climate benefits of wastewater biogas recovery — https://doi.org/10.1038/s41893-026-01818-7</w:t>
      </w:r>
    </w:p>
    <w:p>
      <w:pPr/>
      <w:r>
        <w:rPr>
          <w:b/>
        </w:rPr>
        <w:t>Shared claim-specific concepts:</w:t>
      </w:r>
      <w:r>
        <w:t xml:space="preserve"> climate, leakage, rate; EU scope not established. This is a provisional connection, not an outcome finding.</w:t>
      </w:r>
    </w:p>
    <w:p>
      <w:pPr>
        <w:pStyle w:val="SourceNote"/>
      </w:pPr>
      <w:r>
        <w:rPr>
          <w:b/>
        </w:rPr>
        <w:t>Available abstract (not full text):</w:t>
      </w:r>
      <w:r>
        <w:t xml:space="preserve"> Biogas recovery is crucial for decarbonizing water resource recovery facilities (WRRFs), offering renewable energy production alongside waste treatment. However, methane (CH4) leakage during digestion and biogas handling can largely compromise their climate benefits, yet this risk remains uncharacterized. Here we present a US national-scale assessment of CH4 leakage thresholds beyond which WRRF biogas systems lose net climate benefits. By compiling measured leakage data from over 50 facilities and all available literature, we found the leakage rate ranged from 0.4% to 65%, and a large fraction of current systems exceeds the net-zero emission threshold, indicating substantial climate risk. The regional- and technology-specific scenario and sensitivity analyses show that net-zero thresholds range from 2% to 10% of biogas produced, depending on heat recovery, grid emissions intensity and biogas utilization pathways. Grid decarbonization further shifts these tolerances, making renewable natural gas systems more viable than combined heat and power in future low-carbon energy contexts. The analysis offers a quantitative roadmap showing how targeted leak detection and repair can transform most facilities from climate liabilities into assets, delivering both climate and economic gains and underscoring the urgent need for binding methane monitoring and mitigation policies to realize the</w:t>
      </w:r>
    </w:p>
    <w:p>
      <w:pPr/>
      <w:r>
        <w:rPr>
          <w:b/>
        </w:rPr>
        <w:t>POSSIBLE 2026:</w:t>
      </w:r>
      <w:r>
        <w:t xml:space="preserve"> Stringent climate policies and energy poverty: Evidence of spatial spillovers and challenges for a just transition — https://doi.org/10.1016/j.enpol.2026.115590</w:t>
      </w:r>
    </w:p>
    <w:p>
      <w:pPr/>
      <w:r>
        <w:rPr>
          <w:b/>
        </w:rPr>
        <w:t>Shared claim-specific concepts:</w:t>
      </w:r>
      <w:r>
        <w:t xml:space="preserve"> stringent, climate, implementing, reduce; EU scope not established. This is a provisional connection, not an outcome finding.</w:t>
      </w:r>
    </w:p>
    <w:p>
      <w:pPr>
        <w:pStyle w:val="SourceNote"/>
      </w:pPr>
      <w:r>
        <w:rPr>
          <w:b/>
        </w:rPr>
        <w:t>Available abstract (not full text):</w:t>
      </w:r>
      <w:r>
        <w:t xml:space="preserve"> Stringent climate policies (SCPs) are central to decarbonization, yet their distributive impacts on energy poverty (EP) and regional inequality remain contentious, especially under growing fragmentation and weaker policy coordination. This study investigates the impact of SCPs on EP in China, examining heterogeneity across policy instruments, mechanisms, and spatial contexts. Using more than 7000 subnational policies from 2007 to 2022, we construct a text-based SCP index and apply fixed-effects and spatial econometric models. The results show that SCPs are consistently associated with lower EP, with command-and-control instruments exhibiting particularly strong effects, partly through industrial upgrading. However, once spatial dependence is considered, the effects become more uneven: Spatial Durbin Models show that SCPs reduce EP within implementing provinces but increase EP pressure in neighbouring regions. Further evidence from polluting-firm entry suggests that stricter SCPs may discourage polluting activities locally while increasing their relative entry in nearby provinces, helping to explain the observed beggar-thy-neighbour pattern. Spatial effect decomposition shows that local gains are largely offset by cross-border spillovers, leading to a small and statistically insignificant total effect. We conclude that climate policy design should account for spatial externaliti</w:t>
      </w:r>
    </w:p>
    <w:p>
      <w:pPr/>
      <w:r>
        <w:rPr>
          <w:b/>
        </w:rPr>
        <w:t>POSSIBLE 2026:</w:t>
      </w:r>
      <w:r>
        <w:t xml:space="preserve"> The Carbon Border Adjustment Mechanism: a new european tax to address carbon leakage — https://doi.org/10.4013/rechtd.2025.173.03</w:t>
      </w:r>
    </w:p>
    <w:p>
      <w:pPr/>
      <w:r>
        <w:rPr>
          <w:b/>
        </w:rPr>
        <w:t>Shared claim-specific concepts:</w:t>
      </w:r>
      <w:r>
        <w:t xml:space="preserve"> climate, carbon, leakage, cbam, implementation; EU scope visible. This is a provisional connection, not an outcome finding.</w:t>
      </w:r>
    </w:p>
    <w:p>
      <w:pPr>
        <w:pStyle w:val="SourceNote"/>
      </w:pPr>
      <w:r>
        <w:rPr>
          <w:b/>
        </w:rPr>
        <w:t>Available abstract (not full text):</w:t>
      </w:r>
      <w:r>
        <w:t xml:space="preserve"> In the framework of strengthening policies to address the global climate crisis, the European Union, through Regulation 2023/956, has adopted the Carbon Border Adjustment Mechanism (CBAM), a fiscal measure imposed on imports of carbon-intensive products originating from non-EU countries. With this instrument, the EU seeks to prevent its regulatory efforts for environmental protection from being undermined by third countries lacking adequate environmental strategies. The climate emergency, however, is a global challenge that requires the active contribution of economic actors worldwide, whose conduct — also through the application of fiscal levies — can be steered towards greener or at least more sustainable production practices. Nevertheless, the phased implementation of the CBAM, which has not yet fully entered into force, together with the broader implications it may entail beyond the strictly environmental dimension, suggest that a medium- to long-term horizon will be necessary before the mechanism can yield tangible results, not only in terms of reducing pollution but also in fostering greater balance in international trade relations.</w:t>
      </w:r>
    </w:p>
    <w:p>
      <w:pPr/>
      <w:r>
        <w:rPr>
          <w:b/>
        </w:rPr>
        <w:t>POSSIBLE 2026:</w:t>
      </w:r>
      <w:r>
        <w:t xml:space="preserve"> Understanding Carbon Leakage — https://doi.org/10.65864/t2cdr13ckm</w:t>
      </w:r>
    </w:p>
    <w:p>
      <w:pPr/>
      <w:r>
        <w:rPr>
          <w:b/>
        </w:rPr>
        <w:t>Shared claim-specific concepts:</w:t>
      </w:r>
      <w:r>
        <w:t xml:space="preserve"> climate, carbon, leakage, implementing; EU scope visible. This is a provisional connection, not an outcome finding.</w:t>
      </w:r>
    </w:p>
    <w:p>
      <w:pPr>
        <w:pStyle w:val="SourceNote"/>
      </w:pPr>
      <w:r>
        <w:rPr>
          <w:b/>
        </w:rPr>
        <w:t>Available abstract (not full text):</w:t>
      </w:r>
      <w:r>
        <w:t xml:space="preserve"> Carbon leakage is a major concern in the design of unilateral climate policies aimed at reducing global emissions in a cost-effective manner. In order to assess the cost-effectiveness of anti-leakage measures, it is crucial to understand the fundamental mechanisms that contribute to leakage. We provide theoretical analysis of the two main channels of leakage: the fossil fuel market channel and the competitiveness channel. We show that the two channels reinforce each other. Furthermore, we find that whereas leakage via the fossil fuel market channel decreases with the fuel supply elasticity and increases with the fuel demand elasticity, the opposite is the case for the competitiveness channel. We show that the effectiveness of output-based allocation and border carbon adjustments to combat carbon leakage increases with the fuel supply elasticity and decreases with the fuel demand elasticity. We supplement the simplified theoretical analysis with numerical simulations using a more complex multi-sector, multi-region computable general equilibrium model of the global economy to quantify the implications of unilateral climate policy designs for the European Union. We find that leakage via the fossil fuel channel dominates leakage via the competitiveness channel unless fuel supply elasticities are quite high and fuel demand elasticities are quite low. Furthermore, we find that the lo</w:t>
      </w:r>
    </w:p>
    <w:p>
      <w:pPr/>
      <w:r>
        <w:rPr>
          <w:b/>
        </w:rPr>
        <w:t>POSSIBLE 2025:</w:t>
      </w:r>
      <w:r>
        <w:t xml:space="preserve"> The Mediating Role of Climate Targets in Corporate Emission Reductions — https://doi.org/10.1002/bse.70364</w:t>
      </w:r>
    </w:p>
    <w:p>
      <w:pPr/>
      <w:r>
        <w:rPr>
          <w:b/>
        </w:rPr>
        <w:t>Shared claim-specific concepts:</w:t>
      </w:r>
      <w:r>
        <w:t xml:space="preserve"> climate, target, carbon; EU scope not established. This is a provisional connection, not an outcome finding.</w:t>
      </w:r>
    </w:p>
    <w:p>
      <w:pPr>
        <w:pStyle w:val="SourceNote"/>
      </w:pPr>
      <w:r>
        <w:rPr>
          <w:b/>
        </w:rPr>
        <w:t>Available abstract (not full text):</w:t>
      </w:r>
      <w:r>
        <w:t xml:space="preserve"> ABSTRACT Corporations worldwide increasingly commit to Sustainable Development Goal 13 (SDG 13), yet the extent to which such commitments translate into measurable greenhouse gas (GHG) reductions remains uncertain. Drawing on Institutional and Legitimacy Theory, this paper examines the mediating role of climate targets in the relationship between SDG 13 adoption and corporate emission outcomes. We compile a balanced panel of 152 publicly listed firms across 32 countries and seven carbon‐intensive industries, resulting in 760 firm‐year observations for the period 2020–2024, using data from Refinitiv Datastream. Structural equation modeling (SEM) is employed to test whether long‐term and short‐term GHG emission reduction targets serve as pathways through which SDG 13 commitments affect subsequent GHG performance. Our results show that SDG 13 adoption strongly predicts the establishment of long‐term targets, which are significantly associated with lower emissions. By contrast, short‐term targets are less frequently adopted and display weaker effects. Temporal analysis indicates a rapid institutionalization of SDG 13 commitments and target adoption during the 2020–2024 period, consistent with coercive, normative, and mimetic pressures. These findings suggest that while visible commitments enhance legitimacy, substantive emission reductions require embedding long‐term targets into c</w:t>
      </w:r>
    </w:p>
    <w:p>
      <w:pPr/>
      <w:r>
        <w:rPr>
          <w:b/>
        </w:rPr>
        <w:t>POSSIBLE 2025:</w:t>
      </w:r>
      <w:r>
        <w:t xml:space="preserve"> Carbon leakage in production networks under asymmetric climate policies — https://doi.org/10.1016/j.jedc.2025.105241</w:t>
      </w:r>
    </w:p>
    <w:p>
      <w:pPr/>
      <w:r>
        <w:rPr>
          <w:b/>
        </w:rPr>
        <w:t>Shared claim-specific concepts:</w:t>
      </w:r>
      <w:r>
        <w:t xml:space="preserve"> climate, carbon, leakage; EU scope not established. This is a provisional connection, not an outcome finding.</w:t>
      </w:r>
    </w:p>
    <w:p>
      <w:pPr>
        <w:pStyle w:val="SourceNote"/>
      </w:pPr>
      <w:r>
        <w:rPr>
          <w:b/>
        </w:rPr>
        <w:t>Available abstract (not full text):</w:t>
      </w:r>
      <w:r>
        <w:t xml:space="preserve"> Climate policies are typically designed at the regional level. This generates differences in implicit carbon prices across countries that can alter the structure of trade patterns and undermine the effectiveness of environmental regulations through carbon leakage. The paper examines the macroeconomic consequences of asymmetric climate policies, focusing on how they affect the international structure of production. The purpose is twofold: assessing the impact of uncoordinated climate policies on the outsourcing of production and studying the effectiveness of a border carbon adjustment mechanism aimed at safeguarding countries’ competitiveness. To this end, we develop and simulate a theoretical agent-based model in which supply chains are endogenously determined by downstream firms’ sourcing strategies; such firms select a supplier of intermediate goods, whose production generates emissions and is subjected to environmental regulations. Focusing on bottom-up interactions among heterogeneous and boundedly rational agents, this approach provides novel insights into how environmental policies rewire firm linkages within global production networks, and how this reshaping affects overall carbon emissions.</w:t>
      </w:r>
    </w:p>
    <w:p>
      <w:pPr/>
      <w:r>
        <w:rPr>
          <w:b/>
        </w:rPr>
        <w:t>POSSIBLE 2025:</w:t>
      </w:r>
      <w:r>
        <w:t xml:space="preserve"> Pathways to climate neutrality: Europe's energy transition under the Green Deal — https://doi.org/10.1016/j.rser.2025.116272</w:t>
      </w:r>
    </w:p>
    <w:p>
      <w:pPr/>
      <w:r>
        <w:rPr>
          <w:b/>
        </w:rPr>
        <w:t>Shared claim-specific concepts:</w:t>
      </w:r>
      <w:r>
        <w:t xml:space="preserve"> stringent, climate, target, leakage, implementing, reduce; EU scope visible. This is a provisional connection, not an outcome finding.</w:t>
      </w:r>
    </w:p>
    <w:p>
      <w:pPr>
        <w:pStyle w:val="SourceNote"/>
      </w:pPr>
      <w:r>
        <w:rPr>
          <w:b/>
        </w:rPr>
        <w:t>Available abstract (not full text):</w:t>
      </w:r>
      <w:r>
        <w:t xml:space="preserve"> The EU committed to reducing 55 % of its greenhouse gas emissions by 2030 and achieving climate neutrality by 2050 through its Green Deal and Fit for 55 policy package. This study employs the TIMES-Europe model to assess multiple pathways for the required energy transition and their cost implications, while explicitly accounting for the interplay between existing EU energy policies. We do so by analysing, from both a pan-European and a national perspective, the impact of the proposed 2040 climate target, the energy efficiency-first principle, and various collaboration frameworks such as fairness-based burden-sharing. Our projections show that under the most ambitious policy scenarios, renewable electricity could contribute up to 44 % of Europe's Primary Energy Consumption mix by 2050. Domestic fossil fuel shares decline from 51 % to 12 %. However, import dependency increases to 49 %, with a shift from crude oil to refined petroleum products, raising concerns over emissions leakage. Residual emissions of ∼0.3 GtCO 2 persist under current policy trajectories, which highlights the need for more stringent measures to achieve net-zero emissions by 2050. Implementing the 2040 climate target and the EU Energy Efficiency Directive could reduce cumulative emissions by an additional 10.62 GtCO 2 but at a 100–116 % increase in policy costs. The application of equitable burden-sharing fram</w:t>
      </w:r>
    </w:p>
    <w:p>
      <w:pPr/>
      <w:r>
        <w:rPr>
          <w:b/>
        </w:rPr>
        <w:t>POSSIBLE 2025:</w:t>
      </w:r>
      <w:r>
        <w:t xml:space="preserve"> Unilateral climate policy design should account for the effectiveness of different anti-leakage policies — https://doi.org/10.1038/s43247-025-02258-5</w:t>
      </w:r>
    </w:p>
    <w:p>
      <w:pPr/>
      <w:r>
        <w:rPr>
          <w:b/>
        </w:rPr>
        <w:t>Shared claim-specific concepts:</w:t>
      </w:r>
      <w:r>
        <w:t xml:space="preserve"> climate, carbon, leakage, cbam, reduce; EU scope visible. This is a provisional connection, not an outcome finding.</w:t>
      </w:r>
    </w:p>
    <w:p>
      <w:pPr>
        <w:pStyle w:val="SourceNote"/>
      </w:pPr>
      <w:r>
        <w:rPr>
          <w:b/>
        </w:rPr>
        <w:t>Available abstract (not full text):</w:t>
      </w:r>
      <w:r>
        <w:t xml:space="preserve"> Abstract Identifying the effectiveness of anti-leakage policies across competitiveness, demand, and energy channels is crucial for unilateral climate policy design. Here we combine a global equilibrium model and channel decomposition approach to unravel the effectiveness of anti-leakage policies—free allocation system, carbon border adjustment mechanism (CBAM), and climate clubs—within the European Union Emissions Trading System. Free allocation (excluding power sector) and indirect emission cost aids modestly reduce carbon leakage across all channels. CBAM achieves negative leakage in competitiveness and demand channels, but increases leakage in the energy channel. Voluntary climate clubs without penalties, mainly mitigate leakage among member countries, but are less effective for non-members in the demand channel. The Buchanan club with imposing penalties on non-members, achieves the negative leakage, suggesting its potential to fully resolve leakage. However, these policies are less effective in the energy channel, potentially undermining efforts in other channels.</w:t>
      </w:r>
    </w:p>
    <w:p>
      <w:pPr/>
      <w:r>
        <w:rPr>
          <w:b/>
        </w:rPr>
        <w:t>POSSIBLE 2025:</w:t>
      </w:r>
      <w:r>
        <w:t xml:space="preserve"> The European Union’s CBAM: averting emissions leakage or promoting the diffusion of carbon pricing? — https://doi.org/10.1080/1523908x.2025.2591794</w:t>
      </w:r>
    </w:p>
    <w:p>
      <w:pPr/>
      <w:r>
        <w:rPr>
          <w:b/>
        </w:rPr>
        <w:t>Shared claim-specific concepts:</w:t>
      </w:r>
      <w:r>
        <w:t xml:space="preserve"> climate, carbon, leakage, cbam, implementation, several; EU scope visible. This is a provisional connection, not an outcome finding.</w:t>
      </w:r>
    </w:p>
    <w:p>
      <w:pPr>
        <w:pStyle w:val="SourceNote"/>
      </w:pPr>
      <w:r>
        <w:rPr>
          <w:b/>
        </w:rPr>
        <w:t>Available abstract (not full text):</w:t>
      </w:r>
      <w:r>
        <w:t xml:space="preserve"> Adopted in 2023, the Carbon Border Adjustment Mechanism (CBAM) is a significant component of the European Union’s ambitious decarbonization strategy under the European Green Deal. This article questions the output effectiveness of the CBAM in achieving its stated objective, prevention of carbon leakage, while demonstrating its impact effectiveness as an instrument for advancing the global diffusion of carbon pricing. Empirical evidence for carbon leakage remains sparse, and implementation challenges might limit the capacity of the CBAM to counteract leakage even where it occurs. Nonetheless, the CBAM has already demonstrated a powerful spillover effect by incentivizing the acceleration of carbon pricing roadmaps across EU trade partners, suggesting that trade-related climate measures can effectively encourage global climate action. As the EU navigates the complexities of operationalizing the CBAM, it must balance several tradeoffs to maintain this important spillover effect. If successful, the CBAM could catalyze a virtuous cycle of carbon pricing adoption, reinforcing its potentially pivotal role in the EU’s toolbox to manage the environment-trade nexus.</w:t>
      </w:r>
    </w:p>
    <w:p>
      <w:pPr/>
      <w:r>
        <w:rPr>
          <w:b/>
        </w:rPr>
        <w:t>POSSIBLE 2025:</w:t>
      </w:r>
      <w:r>
        <w:t xml:space="preserve"> Europe’s Carbon Border Adjustment Mechanism (CBAM): From Design to Implementation — https://doi.org/10.1017/9781839704635.006</w:t>
      </w:r>
    </w:p>
    <w:p>
      <w:pPr/>
      <w:r>
        <w:rPr>
          <w:b/>
        </w:rPr>
        <w:t>Shared claim-specific concepts:</w:t>
      </w:r>
      <w:r>
        <w:t xml:space="preserve"> stringent, climate, carbon, leakage, cbam, implementation; EU scope visible. This is a provisional connection, not an outcome finding.</w:t>
      </w:r>
    </w:p>
    <w:p>
      <w:pPr>
        <w:pStyle w:val="SourceNote"/>
      </w:pPr>
      <w:r>
        <w:rPr>
          <w:b/>
        </w:rPr>
        <w:t>Available abstract (not full text):</w:t>
      </w:r>
      <w:r>
        <w:t xml:space="preserve"> INTRODUCTION Adopted in May 2023, the European Union (EU) Carbon Border Adjustment Mechanism (CBAM) is representative of a paradigmatic shift in European climate policy, entailing use of unilateral measures to address the intersection of international trade and climate change. Following decades of theoretical discussion of border carbon adjustments (BCAs) as a policy to level the economic playing field in a world of uneven climate action, the CBAM imposes carbon costs on certain categories of imported goods equivalent to those faced by domestic producers under the EU Emissions Trading System (EU ETS). It is thus primarily aimed at preventing carbon leakage – where economic activity and the associated emissions shift to countries with less stringent climate policies – while trying to maintain the competitiveness of European industry. Despite its conceptual appeal and compelling rationale, the evolution of the CBAM from design to implementation has been characterised by political, legal, and economic challenges. Its trajectory to date underscores the EU commitment to ambitious climate action amidst geopolitical tensions and a fragmented, highly competitive global economy, influenced by factors such as the persistent asymmetry of domestic climate efforts under the Paris Agreement, the unsteady participation of the United States in international climate cooperation, and the recent </w:t>
      </w:r>
    </w:p>
    <w:p>
      <w:pPr/>
      <w:r>
        <w:rPr>
          <w:b/>
        </w:rPr>
        <w:t>POSSIBLE 2025:</w:t>
      </w:r>
      <w:r>
        <w:t xml:space="preserve"> Carbon Tariff and Trade: Uneasy Partners in Climate Change — https://doi.org/10.1080/00213624.2025.2493533</w:t>
      </w:r>
    </w:p>
    <w:p>
      <w:pPr/>
      <w:r>
        <w:rPr>
          <w:b/>
        </w:rPr>
        <w:t>Shared claim-specific concepts:</w:t>
      </w:r>
      <w:r>
        <w:t xml:space="preserve"> stringent, climate, carbon, leakage, cbam, implementation; EU scope visible. This is a provisional connection, not an outcome finding.</w:t>
      </w:r>
    </w:p>
    <w:p>
      <w:pPr>
        <w:pStyle w:val="SourceNote"/>
      </w:pPr>
      <w:r>
        <w:rPr>
          <w:b/>
        </w:rPr>
        <w:t>Available abstract (not full text):</w:t>
      </w:r>
      <w:r>
        <w:t xml:space="preserve"> In the realm of climate change policy, the pursuit of environmental sustainability and the principles of free trade often intersect, yet sometimes conflict. This article delves into this nuanced dynamic, particularly spotlighting the recent implementation of the Carbon Border Adjustment Mechanism (CBAM) by the European Union (EU). CBAM introduces a carbon tariff, taxing imports based on their carbon intensity, aiming to rectify competitive disparities between EU nations and those lacking stringent carbon regulations. However, this approach has met resistance from major emerging economies, citing concerns over unfair penalties on imports from developing nations and alleging carbon tax as a veiled form of trade protectionism. This article aims to analyze the implications of carbon tariffs on trade partners, focusing on socio-economic factors and technological discrepancies, notably access to clean technology, in developing and emerging economies. Key aspects to be explored include the efficacy of carbon tariffs in curbing carbon leakage and sustaining competitiveness and their rationale. Following the tenets of institutional economics, this study adopts a holistic perspective, recognizing that responses from trade partners are multifaceted, influenced not only by economic considerations but also by a myriad of social, political, technological, cultural, and historical factors.</w:t>
      </w:r>
    </w:p>
    <w:p>
      <w:pPr>
        <w:pStyle w:val="Heading2"/>
      </w:pPr>
      <w:r>
        <w:t>546.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2026:</w:t>
      </w:r>
      <w:r>
        <w:t xml:space="preserve"> MANAGEMENT OF ENERGY TECHNOLOGY SELECTION FOR STRENGTHENING POLAND’S ENERGY SECURITY — https://doi.org/10.29119/1641-3466.2026.244.19</w:t>
      </w:r>
    </w:p>
    <w:p>
      <w:pPr/>
      <w:r>
        <w:rPr>
          <w:b/>
        </w:rPr>
        <w:t>Shared claim-specific concepts:</w:t>
      </w:r>
      <w:r>
        <w:t xml:space="preserve"> nuclear, energy, overall, current, power; EU scope visible. This is a provisional connection, not an outcome finding.</w:t>
      </w:r>
    </w:p>
    <w:p>
      <w:pPr>
        <w:pStyle w:val="SourceNote"/>
      </w:pPr>
      <w:r>
        <w:rPr>
          <w:b/>
        </w:rPr>
        <w:t>Available abstract (not full text):</w:t>
      </w:r>
      <w:r>
        <w:t xml:space="preserve"> Purpose: The objective of the present paper is to evaluate the energy technologies available and planned for implementation in Poland. This evaluation is conducted in the context of ensuring energy security (in the terminology used in the power sector: security of supply), the resilience of the power system, and compliance with political requirements. Design/methodology/approach: The research methods employed encompass statistical data analysis, technological parameter assessment, cost analysis, emission indicators, installation lifetime, and energy transition scenarios. The presentation included an exposition of technological and political risk models, alongside comparative analyses of their various iterations. Findings: The most significant element in enhancing Poland's energy security is to preserve the current technological mix and to incorporate high-power nuclear energy into it. The analysis demonstrated that the predominance of a particular technological approach was associated with an escalation in energy risk. Research limitations/implications: The study is constrained by the long-term uncertainty of the regulatory environment, the absence of comprehensive data for new technologies, and the significant influence of political decisions. Practical implications: The findings of the study have the potential to inform national energy policy, operator strategies, infrastruct</w:t>
      </w:r>
    </w:p>
    <w:p>
      <w:pPr/>
      <w:r>
        <w:rPr>
          <w:b/>
        </w:rPr>
        <w:t>POSSIBLE 2025:</w:t>
      </w:r>
      <w:r>
        <w:t xml:space="preserve"> The role of nuclear energy in reducing carbon dioxide emissions — https://doi.org/10.5937/pim25235g</w:t>
      </w:r>
    </w:p>
    <w:p>
      <w:pPr/>
      <w:r>
        <w:rPr>
          <w:b/>
        </w:rPr>
        <w:t>Shared claim-specific concepts:</w:t>
      </w:r>
      <w:r>
        <w:t xml:space="preserve"> nuclear, energy, low-carbon, electricity, source, power; EU scope not established. This is a provisional connection, not an outcome finding.</w:t>
      </w:r>
    </w:p>
    <w:p>
      <w:pPr>
        <w:pStyle w:val="SourceNote"/>
      </w:pPr>
      <w:r>
        <w:rPr>
          <w:b/>
        </w:rPr>
        <w:t>Available abstract (not full text):</w:t>
      </w:r>
      <w:r>
        <w:t xml:space="preserve"> Nuclear energy plays an important role in reducing carbon dioxide (CO₂) emissions since it allows the production of large amounts of electricity without the direct combustion of fossil fuels. Unlike coal and gas-fired power plants, nuclear power plants do not emit CO₂ during the operation, making them a significant factor in the fight against climate change. Furthermore, unlike renewable sources that depend on weather conditions, nuclear energy provides a stable and reliable source of electricity generation. Although there are challenges, such as solutions for radioactive waste and high initial costs, advancements in technology, particularly the development of fourth-generation reactors and small modular reactors, could further enhance the sustainability of this energy source. In combination with renewable sources, nuclear energy can contribute to reducing global fossil fuel consumption and facilitate the transition to a low-carbon economy.</w:t>
      </w:r>
    </w:p>
    <w:p>
      <w:pPr/>
      <w:r>
        <w:rPr>
          <w:b/>
        </w:rPr>
        <w:t>POSSIBLE 2025:</w:t>
      </w:r>
      <w:r>
        <w:t xml:space="preserve"> Resolving China's Energy Trilemma: Nuclear Power Synergy in the Dual-Carbon Transition — https://doi.org/10.1051/matecconf/202541001016</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China currently accounts for the largest share of global CO₂ emissions, faces immense pressure to achieve its “dual-carbon” goals amid a coal-dominated energy structure and rising emissions. The energy trilemma theory highlights inherent conflicts among energy security, affordability, and sustainability, yet existing studies inadequately address regional heterogeneity and dynamic synergies. This study evaluates China’s energy transition pathways by analyzing the trade-offs and synergies of photovoltaic, wind, and nuclear power within the trilemma framework. Through a comparative analysis of technical efficiency, economic costs, and environmental impacts, we demonstrate that nuclear power outperforms renewables in stability (7,805 annual utilization hours vs. 2,127 for wind), cost-effectiveness (¥0.28/kWh levelized cost), and near-zero emissions. Despite challenges in waste management and public acceptance, nuclear energy’s high energy density and grid reliability position it as a critical solution for balancing the trilemma. The findings advocate for prioritizing advanced nuclear technologies and stringent regulatory frameworks to accelerate decarbonization while ensuring energy security.</w:t>
      </w:r>
    </w:p>
    <w:p>
      <w:pPr/>
      <w:r>
        <w:rPr>
          <w:b/>
        </w:rPr>
        <w:t>POSSIBLE 2025:</w:t>
      </w:r>
      <w:r>
        <w:t xml:space="preserve"> The Nuclear Future of the Republic of Bulgaria – Trends in the Development of the Regulatory Framework for the Construction and Operation of Nuclear Power Plants, Problems and Recommendations for Improvement — https://doi.org/10.21029/jael.2025.38.9</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In the article, the author conducts an analysis of the national nuclear characteristics of the Republic of Bulgaria, addressing the prospects of nuclear energy in the country, its strategic position in the national energy policy and the envisioned development for the construction of new nuclear power plants. It further considers public opinion on nuclear energy. The composition and institutional positioning of the national regulatory body are delineated, with particular attention paid to the safeguards ensuring its indepen- dence within the administrative framework of the state. The legislation in the Republic of Bulgaria that regulates the use of nuclear energy is notably extensive. In addition to the main nuclear law, public relations are also regulated by other laws, further elaborated through an array of subordinate normative acts. The article proceeds to outline, albeit briefly, the principal constitutional provisions, statutory laws, and regulatory by-laws pertinent to the licensing stages of nuclear power plants. Moreover, the analysis extends to the salient characteristics of the nuclear projects planned for implementation, issues arising in the context of contractual arrangements related to construction, as well as the national public procurement procedure for the construction of nuclear power plants. The discourse also encompasses the increasingly salient issue of sma</w:t>
      </w:r>
    </w:p>
    <w:p>
      <w:pPr/>
      <w:r>
        <w:rPr>
          <w:b/>
        </w:rPr>
        <w:t>POSSIBLE 2025:</w:t>
      </w:r>
      <w:r>
        <w:t xml:space="preserve"> The Economic and Regulatory Landscape of Nuclear Power: Implications for Malaysia — https://doi.org/10.54313/journalmp.v5i.150</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As Malaysia reconsiders integrating nuclear power into its energy mix, this paper advances the national discourse by analysing the critical economic and regulatory dimensions of its development. Drawing on a comprehensive literature review and field interviews, the study first delineates the prevailing legal, policy, and administrative environment for energy projects. Within this context, it identifies specific market and operational challenges and risks pertinent to nuclear power and proposes eight mitigation strategies. These strategies are strategically linked with the Four Symbols (四象) of Chinese cosmology, presenting a comprehensive, interdependent, and balanced policy framework. The paper further examines the establishment of a robust and efficient regulatory framework for nuclear power, guided by international best practices. Based on this analysis, the study offers recommendations for Malaysia, encompassing areas such as market and operational risks, regulatory frameworks, public engagement and communication, geopolitical realities and strategic partnerships, crucial for navigating nuclear power integration amidst a dynamic energy transition.</w:t>
      </w:r>
    </w:p>
    <w:p>
      <w:pPr/>
      <w:r>
        <w:rPr>
          <w:b/>
        </w:rPr>
        <w:t>POSSIBLE 2025:</w:t>
      </w:r>
      <w:r>
        <w:t xml:space="preserve"> Peaceful Uses of Nuclear Energy in Less Industrialized Countries: Challenges, Opportunities, and Acceptance — https://doi.org/10.3390/en18040858</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This paper introduces a holistic framework to assist less industrialized countries in adopting nuclear energy (NE) for peaceful purposes considering the challenges and opportunities this entails. It underscores the pressing need for sustainable and secure energy solutions, proposing NE as a viable option. The study aims to delve into the technical, social, economic, regulatory, and policy aspects of NE’s development and its broader applications beyond conventional power generation, such as industrial processes, medical applications, agricultural advancements, and mining activities, explicitly targeting less industrialized regions. Employing a systematic review of existing practices, the paper identifies and examines barriers to NE adoption alongside strategies to mitigate these issues. Findings suggest that NE can play a pivotal role in fostering economic growth and scientific progress, potentially sparking the emergence of new industries within these countries. However, significant obstacles—namely governance, public acceptance, safety, security, development of expertise, and securing financing—pose considerable challenges. The paper concludes that a strategic and well-coordinated deployment of NE is essential for driving socio-economic growth and environmental sustainability in less industrialized countries. It emphasizes the necessity for comprehensive planning and internati</w:t>
      </w:r>
    </w:p>
    <w:p>
      <w:pPr/>
      <w:r>
        <w:rPr>
          <w:b/>
        </w:rPr>
        <w:t>POSSIBLE 2025:</w:t>
      </w:r>
      <w:r>
        <w:t xml:space="preserve"> Indo-French Nuclear Cooperation for India’s Net-Zero Goals: An Descriptive Perspective — https://doi.org/10.71097/ijsat.v16.i3.6877</w:t>
      </w:r>
    </w:p>
    <w:p>
      <w:pPr/>
      <w:r>
        <w:rPr>
          <w:b/>
        </w:rPr>
        <w:t>Shared claim-specific concepts:</w:t>
      </w:r>
      <w:r>
        <w:t xml:space="preserve"> nuclear, energy, low-carbon, increase, power; EU scope not established. This is a provisional connection, not an outcome finding.</w:t>
      </w:r>
    </w:p>
    <w:p>
      <w:pPr>
        <w:pStyle w:val="SourceNote"/>
      </w:pPr>
      <w:r>
        <w:rPr>
          <w:b/>
        </w:rPr>
        <w:t>Available abstract (not full text):</w:t>
      </w:r>
      <w:r>
        <w:t xml:space="preserve"> India, the third-largest carbon emitter in the world, must simultaneously meet its targets for net-zero carbon emissions by 2070 and ensure energy security. India has increasingly looked to nuclear energy as a dependable, low-carbon alternative after realising the limitations of renewable energy in supplying base-load power requirements. The development and importance of Indo-French nuclear cooperation in augmenting India's nuclear power capability and bolstering its clean energy transition are examined in this article. From early research agreements to more recent strategic alliances like the Jaitapur Nuclear Power Plant and partnerships on Small Modular Reactors (SMRs) and Advanced Modular Reactors (AMRs), it charts the development of bilateral nuclear relations over time. The analysis emphasises how these collaborative initiatives lessen reliance on fossil fuels, diversify India's energy mix, and improve its energy security. The partnership's geopolitical significance in rebalancing regional power relations and bolstering India's strategic autonomy is also covered in the study. Notwithstanding popular opposition and infrastructure obstacles, Indo-French nuclear cooperation offers a viable method to increase India's capacity for clean energy, greatly advancing its climate and sustainable development objectives. According to the study's findings, nuclear power can be extremely</w:t>
      </w:r>
    </w:p>
    <w:p>
      <w:pPr/>
      <w:r>
        <w:rPr>
          <w:b/>
        </w:rPr>
        <w:t>POSSIBLE 2024:</w:t>
      </w:r>
      <w:r>
        <w:t xml:space="preserve"> Imperatives of Nuclear Energy in India's Clean Energy Transition — https://doi.org/10.11610/connections.23.3.03</w:t>
      </w:r>
    </w:p>
    <w:p>
      <w:pPr/>
      <w:r>
        <w:rPr>
          <w:b/>
        </w:rPr>
        <w:t>Shared claim-specific concepts:</w:t>
      </w:r>
      <w:r>
        <w:t xml:space="preserve"> nuclear, energy, low-carbon, electricity, source, increase; EU scope not established. This is a provisional connection, not an outcome finding.</w:t>
      </w:r>
    </w:p>
    <w:p>
      <w:pPr>
        <w:pStyle w:val="SourceNote"/>
      </w:pPr>
      <w:r>
        <w:rPr>
          <w:b/>
        </w:rPr>
        <w:t>Available abstract (not full text):</w:t>
      </w:r>
      <w:r>
        <w:t xml:space="preserve"> Climate change is a reality, and India has been proactive in addressing the issue both nationally and in cooperation with the global community, despite its demographic and developmental imperatives. While exploring technological solutions to curb domestic carbon emissions in various sectors in the short term, India is also attempting to rationalize its energy mix for long-term sustainability by opting for green and clean energy options. To navigate this transition, India has planned a judicious combination of energy sources to meet its self-set goal of net-zero emissions by 2070. In the process, it is promoting a long-term low-carbon development strategy and aims to generate at least 50 percent of its electricity from renewable sources by 2030. Solar and wind energy projects, in particular, are being promoted aggressively through government incentives, leading to a visible increase in renewable energy production. However, nuclear energy remains a cost-effective and stable baseload alternative power source that should be promoted simultaneously to help India achieve its clean energy transition smoothly in a carbon-constrained world. This article argues that nuclear energy is a viable option for meeting India’s climate change obligations while sustaining its high economic development trajectory.</w:t>
      </w:r>
    </w:p>
    <w:p>
      <w:pPr>
        <w:pStyle w:val="Heading2"/>
      </w:pPr>
      <w:r>
        <w:t>547.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2026:</w:t>
      </w:r>
      <w:r>
        <w:t xml:space="preserve"> Perceptions of rewilding in European abandoned agricultural lands — https://doi.org/10.1016/j.landurbplan.2026.105715</w:t>
      </w:r>
    </w:p>
    <w:p>
      <w:pPr/>
      <w:r>
        <w:rPr>
          <w:b/>
        </w:rPr>
        <w:t>Shared claim-specific concepts:</w:t>
      </w:r>
      <w:r>
        <w:t xml:space="preserve"> building, perceptions, related;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2026:</w:t>
      </w:r>
      <w:r>
        <w:t xml:space="preserve"> Organisational intention to invest in energy efficiency improvements and perceptions of energy efficiency in buildings — https://openalex.org/W7134551432</w:t>
      </w:r>
    </w:p>
    <w:p>
      <w:pPr/>
      <w:r>
        <w:rPr>
          <w:b/>
        </w:rPr>
        <w:t>Shared claim-specific concepts:</w:t>
      </w:r>
      <w:r>
        <w:t xml:space="preserve"> perceptions, well, related, benefits, finland; EU scope visible. This is a provisional connection, not an outcome finding.</w:t>
      </w:r>
    </w:p>
    <w:p>
      <w:pPr>
        <w:pStyle w:val="SourceNote"/>
      </w:pPr>
      <w:r>
        <w:rPr>
          <w:b/>
        </w:rPr>
        <w:t>Available abstract (not full text):</w:t>
      </w:r>
      <w:r>
        <w:t xml:space="preserve"> The energy efficiency gap in buildings, meaning the gap between the potential and executed energy efficiency, is a prevailing paradox. Prior research on the phenomenon has focused on consumer and individual energy efficiency curtailment, while organisational behaviour and decision-making regarding energy efficiency investments in buildings is still a research area needing more attention. This study explores the organisational perceptions of the benefits of energy efficiency investments as well as factors affecting organisational intention to execute energy efficiency investments in buildings. A processual multimethod approach with both quantitative and qualitative methods was employed. This included a techno-economic analysis and emissions reduction calculations to determine case-specific benefits, an interview study exploring perceptions of these benefits, and regression analyses examining the factors affecting investment intentions. The organisations studied included two case municipalities and 97 companies from Finland. The results showed that the financial resources or financial uncertainty of the investment did not have an impact on companies’ managers’ intentions to execute energy efficiency investments. The factors affecting the managers’ temporal orientation and willingness to pay for energy efficiency were more related to the attitudes and experiences of the manager an</w:t>
      </w:r>
    </w:p>
    <w:p>
      <w:pPr/>
      <w:r>
        <w:rPr>
          <w:b/>
        </w:rPr>
        <w:t>POSSIBLE 2026:</w:t>
      </w:r>
      <w:r>
        <w:t xml:space="preserve"> Varying Perceptions of TESOL Instruction from Experts, Peers, and Learners — https://doi.org/10.1002/tesq.70075</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Abstract This study investigates the comparative value of feedback provided by expert teachers, peer teachers, and language learners within TESOL practicum settings. Drawing on data from 738 feedback comments on two video‐recorded lessons, the research explores variations in the quantity, type, tone, and evaluative content of feedback among the three groups. Results indicate that expert teachers gave the most extensive and pedagogically grounded feedback, though with a more critical tone. Peer teachers closely mirrored expert feedback in focus but provided more affirming and supportive responses. Language learners, in contrast, contributed the fewest comments, yet their feedback was notably more emotionally attuned, highlighting affective factors such as teacher demeanor and engagement. Despite these differences, all three groups emphasized instructional quality as a central concern. Quantitative ratings of teacher performance were similar across groups, yet qualitative justifications revealed diverging criteria. Findings highlight the unique and complementary perspectives each feedback source offers, suggesting that diversified feedback enhances reflective practice in TESOL teacher education. The study underscores the value of including learner voices in practicum assessments and encourages teacher education programs to adopt more inclusive, multi‐source feedback approaches to</w:t>
      </w:r>
    </w:p>
    <w:p>
      <w:pPr/>
      <w:r>
        <w:rPr>
          <w:b/>
        </w:rPr>
        <w:t>POSSIBLE 2026:</w:t>
      </w:r>
      <w:r>
        <w:t xml:space="preserve"> User perceptions and preferences for GeoHealth tools: A qualitative focus group study of non-expert and expert users — https://doi.org/10.17615/fe1n-tc70</w:t>
      </w:r>
    </w:p>
    <w:p>
      <w:pPr/>
      <w:r>
        <w:rPr>
          <w:b/>
        </w:rPr>
        <w:t>Shared claim-specific concepts:</w:t>
      </w:r>
      <w:r>
        <w:t xml:space="preserve"> experts, perceptions, four, related, health; EU scope not established. This is a provisional connection, not an outcome finding.</w:t>
      </w:r>
    </w:p>
    <w:p>
      <w:pPr>
        <w:pStyle w:val="SourceNote"/>
      </w:pPr>
      <w:r>
        <w:rPr>
          <w:b/>
        </w:rPr>
        <w:t>Available abstract (not full text):</w:t>
      </w:r>
      <w:r>
        <w:t xml:space="preserve"> Background: GeoHealth tools differ from other health-IT platforms, requiring analytical transformation tools, location-based discovery, and responsive design frameworks. While knowledge exists surrounding related platforms, there is a literature gap specific to GeoHealth tool end-user needs. Methods: This qualitative focus group study identified design needs for GeoHealth tools. Seven focus groups included non-experts (three sessions, n = 15) and experts (healthcare professionals, four sessions, n = 16) from October 2024 to February 2025. Researchers conducted inductive thematic analysis, identifying emerging themes. Results: Thirty-one participants completed seven sessions: 20 [65%] female, 16 [52%] White, and 16 [52%] with graduate degrees. Both groups identified similar facilitators and barriers: simple interfaces, contrasting colors, cross-device functionality. Both valued filtering, customizing regions, downloading data, and chatbot integration. Non-experts reported frustrations with mobile use and content density, while experts emphasized integrating GeoHealth tools into clinical workflows for decision-making. Discussion and Conclusion: End-user preferences are critical as GeoHealth tools expand. Key recommendations include: customizable features (filters, personalized regions, data layering, and export options), accessible design with high-contrast color schemes and intu</w:t>
      </w:r>
    </w:p>
    <w:p>
      <w:pPr/>
      <w:r>
        <w:rPr>
          <w:b/>
        </w:rPr>
        <w:t>POSSIBLE 2025:</w:t>
      </w:r>
      <w:r>
        <w:t xml:space="preserve"> EU Foreign Policy Alignment among European Experts — https://doi.org/10.17605/osf.io/54dqp</w:t>
      </w:r>
    </w:p>
    <w:p>
      <w:pPr/>
      <w:r>
        <w:rPr>
          <w:b/>
        </w:rPr>
        <w:t>Shared claim-specific concepts:</w:t>
      </w:r>
      <w:r>
        <w:t xml:space="preserve"> building, experts, perceptions, explore; EU scope visible. This is a provisional connection, not an outcome finding.</w:t>
      </w:r>
    </w:p>
    <w:p>
      <w:pPr>
        <w:pStyle w:val="SourceNote"/>
      </w:pPr>
      <w:r>
        <w:rPr>
          <w:b/>
        </w:rPr>
        <w:t>Available abstract (not full text):</w:t>
      </w:r>
      <w:r>
        <w:t xml:space="preserve"> The world is witnessing an alarming surge in violent conflicts, with levels unseen since World War II. Simultaneously, the European Union (EU) has been hit by one exogenous shock after another, with complex effects on European integration, democracy building, internal politics and foreign policy. In the face of such global instability and growing internal challenges, the EU finds itself increasingly required to respond geopolitically. The Russia-Ukraine War, the instability created by shifting policies in the White House, China’s growing military power, and the fragmentation of the global liberal democratic order make the European Union’s attempt to devise a more unified and coherent common and security policy even more difficult. The EU is thus challenged to prepare for high impact, high probability events that could destabilize the ability of the organization to function and thrive. In this study, we explore whether experts’ perceptions of security threats to the EU are influenced by whether the EU responds cohesively or divided to security threats. To test this, we implement a pre-post survey design, where self-identified experts in core areas of EU studies first rate the likelihood and impact of selected threats to the EU – such as a NATO-Russia confrontation, a destabilizing power struggle in Russia, use of nuclear arms by Russia. Respondents are then randomly assigned to </w:t>
      </w:r>
    </w:p>
    <w:p>
      <w:pPr/>
      <w:r>
        <w:rPr>
          <w:b/>
        </w:rPr>
        <w:t>POSSIBLE 2025:</w:t>
      </w:r>
      <w:r>
        <w:t xml:space="preserve"> Building an Ethical Framework for European Pharmacists in e-Pharmacies — https://doi.org/10.2196/64750</w:t>
      </w:r>
    </w:p>
    <w:p>
      <w:pPr/>
      <w:r>
        <w:rPr>
          <w:b/>
        </w:rPr>
        <w:t>Shared claim-specific concepts:</w:t>
      </w:r>
      <w:r>
        <w:t xml:space="preserve"> building, well, health, benefits; EU scope visible. This is a provisional connection, not an outcome finding.</w:t>
      </w:r>
    </w:p>
    <w:p>
      <w:pPr>
        <w:pStyle w:val="SourceNote"/>
      </w:pPr>
      <w:r>
        <w:rPr>
          <w:b/>
        </w:rPr>
        <w:t>Available abstract (not full text):</w:t>
      </w:r>
      <w:r>
        <w:t xml:space="preserve"> Patients using e-pharmacies benefit substantially from their privacy and accessibility; however, they must also be aware of the health and safety risks. These risks can be mitigated through the implementation of robust legal and ethical frameworks. European pharmacists working in e-pharmacies are obligated to respect the legal frameworks governing the remote sale of medicines, as well as the rules of professional ethics, while considering the unique benefits and challenges of establishing online therapeutic relationships with patients. This Viewpoint paper aims to propose a comprehensive ethical framework for European pharmacists in e-pharmacies that promotes consistency and ensures patient rights while fostering professional integrity and responsibility. To this end, the codes of ethics of pharmacists in the European Union (EU) member states were explored to determine the extent to which they address e-pharmacies and to begin from their provisions the building of a shared ethical framework, supported by previously published findings. The ethical guidance provided by professional associations and other competent authorities of European pharmacists varies significantly across member states. In most EU member states, pharmacists' codes of ethics do not contain rules addressing e-pharmacies. Only 8 EU member states have adopted rules guiding pharmacists' conduct in e-pharmacies, p</w:t>
      </w:r>
    </w:p>
    <w:p>
      <w:pPr/>
      <w:r>
        <w:rPr>
          <w:b/>
        </w:rPr>
        <w:t>POSSIBLE 2025:</w:t>
      </w:r>
      <w:r>
        <w:t xml:space="preserve"> Perceptions of the Costs and Benefits of Farm Digitalisation in Europe — https://doi.org/10.1111/1746-692x.12471</w:t>
      </w:r>
    </w:p>
    <w:p>
      <w:pPr/>
      <w:r>
        <w:rPr>
          <w:b/>
        </w:rPr>
        <w:t>Shared claim-specific concepts:</w:t>
      </w:r>
      <w:r>
        <w:t xml:space="preserve"> perceptions, explore, benefits;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pStyle w:val="Heading2"/>
      </w:pPr>
      <w:r>
        <w:t>548.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2025:</w:t>
      </w:r>
      <w:r>
        <w:t xml:space="preserve"> The Emergence of European Criminal Law in Relation to the European Union Development — https://doi.org/10.54237/profnet.2025.azsvlbffde_10</w:t>
      </w:r>
    </w:p>
    <w:p>
      <w:pPr/>
      <w:r>
        <w:rPr>
          <w:b/>
        </w:rPr>
        <w:t>Shared claim-specific concepts:</w:t>
      </w:r>
      <w:r>
        <w:t xml:space="preserve"> order, applied, application; EU scope visible. This is a provisional connection, not an outcome finding.</w:t>
      </w:r>
    </w:p>
    <w:p>
      <w:pPr>
        <w:pStyle w:val="SourceNote"/>
      </w:pPr>
      <w:r>
        <w:rPr>
          <w:b/>
        </w:rPr>
        <w:t>Available abstract (not full text):</w:t>
      </w:r>
      <w:r>
        <w:t xml:space="preserve"> EU law has expanded beyond the economic issues related to the internal market’s establishment and functioning. With successive treaty reforms, it now covers rules that were once reserved for national states, such as criminal law. Additionally, mechanisms aimed at strengthening the uniform application of EU law at the level of the Member States, where political consensus is difficult to attain, have been applied. The EU’s involvement in criminal law has posed significant challenges and tensions over time. However, the creation of criminal laws is the most significant evidence of EU autonomy. Progressively, both at a political and a regulatory level, and with the consistent involvement of the European Court of Justice, a convergence has been achieved, adding new elements for the unification of criminal law in the EU. General principles like mutual trust, supported by an enhanced activism of the ECJ in the promotion and protection of the values that establish the constitutional core of the EU, is seen as the strongest engines of development in recent years. This has led to extensive amendments in the criminal regulations in the MS. After discussing the milestones of the evolution of European criminal law (history, regulation, institutions), the analysis focuses on the principles of mutual recognition, mutual trust, sincere cooperation, the effectiveness of EU law in protecting the</w:t>
      </w:r>
    </w:p>
    <w:p>
      <w:pPr/>
      <w:r>
        <w:rPr>
          <w:b/>
        </w:rPr>
        <w:t>POSSIBLE 2025:</w:t>
      </w:r>
      <w:r>
        <w:t xml:space="preserve"> Development brut – a new concept to understand and appreciate outsider development — https://doi.org/10.1080/09614524.2025.2530435</w:t>
      </w:r>
    </w:p>
    <w:p>
      <w:pPr/>
      <w:r>
        <w:rPr>
          <w:b/>
        </w:rPr>
        <w:t>Shared claim-specific concepts:</w:t>
      </w:r>
      <w:r>
        <w:t xml:space="preserve"> understand, about; EU scope not established. This is a provisional connection, not an outcome finding.</w:t>
      </w:r>
    </w:p>
    <w:p>
      <w:pPr>
        <w:pStyle w:val="SourceNote"/>
      </w:pPr>
      <w:r>
        <w:rPr>
          <w:b/>
        </w:rPr>
        <w:t>Available abstract (not full text):</w:t>
      </w:r>
      <w:r>
        <w:t xml:space="preserve"> Despite recent and renewed interest in the contribution of localization to development, significant questions remain. For example, if development practice happens outside of a formal development project, does it count as development? How do we collectively describe people working on the fringes (and beyond) of formal development and what do we call their practice? How do we value or measure their contributions within the development industry? As the development landscape continues to shift and transform, it is more important now than ever to address such questions and to consider how such can contribute to development theory. In this viewpoint, a new way to think about development is suggested through the introduction of the concept of development brut or outsider development. This concept describes development practice that seeks to achieve good change, delivered by someone who does not have formal training in Development Studies or an associated discipline, but has a deep and nuanced understanding of a particular issue, context or people, combined with a rich history of successfully working in that sector to improve the lives or situations of others. The aim is to provoke further debate about power and control within development, to further develop equity within the sector.</w:t>
      </w:r>
    </w:p>
    <w:p>
      <w:pPr/>
      <w:r>
        <w:rPr>
          <w:b/>
        </w:rPr>
        <w:t>POSSIBLE 2024:</w:t>
      </w:r>
      <w:r>
        <w:t xml:space="preserve"> Becoming European: Mid- and Short-Term Development of a European Identity Among Adolescents — https://doi.org/10.1080/15283488.2024.2394874</w:t>
      </w:r>
    </w:p>
    <w:p>
      <w:pPr/>
      <w:r>
        <w:rPr>
          <w:b/>
        </w:rPr>
        <w:t>Shared claim-specific concepts:</w:t>
      </w:r>
      <w:r>
        <w:t xml:space="preserve"> understand, assessed; EU scope visible. This is a provisional connection, not an outcome finding.</w:t>
      </w:r>
    </w:p>
    <w:p>
      <w:pPr>
        <w:pStyle w:val="SourceNote"/>
      </w:pPr>
      <w:r>
        <w:rPr>
          <w:b/>
        </w:rPr>
        <w:t>Available abstract (not full text):</w:t>
      </w:r>
      <w:r>
        <w:t xml:space="preserve"> European identity formation is a component of political identity and linked to the support of European institutions and values. To understand how it develops, we examined three processes of identity formation (commitment, in-depth exploration, and reconsideration of commitment) on a short- and mid-term time scale, and their interrelations. A total of 371 German adolescents (Mage = 14.24, SDage = 0.55, 60.37% females) participated in a longitudinal study and in a ten-day daily diary study. We conducted latent growth curve analysis (LGCM) and assessed rank-order stability and profile similarity for both time scales. Next, conditional LGCMs were run to examine associations of both time scales. We found a significant increase of all identity processes from the beginning to the middle of the school year and a significant decrease from the middle to the end of the school year. Across 10 days, growth curves varied according to the identity process. Stabilities were high for both time scales. Commitment at the beginning of the school year was negatively associated with fluctuations in commitment. Our results highlight the importance of examining different time scales and focusing on specific domains for understanding identity development in adolescence. They further indicate that short-term processes are associated with long-term development.</w:t>
      </w:r>
    </w:p>
    <w:p>
      <w:pPr/>
      <w:r>
        <w:rPr>
          <w:b/>
        </w:rPr>
        <w:t>POSSIBLE 2024:</w:t>
      </w:r>
      <w:r>
        <w:t xml:space="preserve"> MODELLING THE RELATIONSHIP BETWEEN RETAIL DEVELOPMENT AND ECONOMIC INDICATORS IN EUROPEAN COUNTRIES — https://doi.org/10.29038/2786-4618-2024-01-124-134</w:t>
      </w:r>
    </w:p>
    <w:p>
      <w:pPr/>
      <w:r>
        <w:rPr>
          <w:b/>
        </w:rPr>
        <w:t>Shared claim-specific concepts:</w:t>
      </w:r>
      <w:r>
        <w:t xml:space="preserve"> order, understand, about; EU scope visible. This is a provisional connection, not an outcome finding.</w:t>
      </w:r>
    </w:p>
    <w:p>
      <w:pPr>
        <w:pStyle w:val="SourceNote"/>
      </w:pPr>
      <w:r>
        <w:rPr>
          <w:b/>
        </w:rPr>
        <w:t>Available abstract (not full text):</w:t>
      </w:r>
      <w:r>
        <w:t xml:space="preserve"> Abstract. The modern global market requires extraordinary attention to the development of retail trade, which is not only the face of the economy of countries, but also plays a key role in promoting their economic prosperity. In this context, understanding the relationship between retail development indicators and indicators of the state of the economy is necessary given the importance of retail trade as one of the key elements of economic systems and is an important task for scientists and economists. Highlighting the relationship between retail trade and the state of the economy of European countries opens up opportunities for understanding and predicting economic and social trends on the path of Ukraine's accession to the EU, and promotes entrepreneurship. This study aims to model the relationship and establish statistically significant dependencies between the development of retail trade and the economic development of European countries, and to identify indicators that have an impact on the development of the industry. The study established a statistically significant impact of economic growth characteristics on the development of the retail trade industry in European countries in 2005-2022. In particular, it has been determined that the volume of trade turnover depends on such indicators as GDP per capita, consumer inflation and unemployment in the economy. The number of </w:t>
      </w:r>
    </w:p>
    <w:p>
      <w:pPr/>
      <w:r>
        <w:rPr>
          <w:b/>
        </w:rPr>
        <w:t>POSSIBLE 2024:</w:t>
      </w:r>
      <w:r>
        <w:t xml:space="preserve"> Exploring how Europeans understand solidarity in the EU — https://doi.org/10.4324/9781032690902-3</w:t>
      </w:r>
    </w:p>
    <w:p>
      <w:pPr/>
      <w:r>
        <w:rPr>
          <w:b/>
        </w:rPr>
        <w:t>Shared claim-specific concepts:</w:t>
      </w:r>
      <w:r>
        <w:t xml:space="preserve"> understand, about, approach;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The Green Economy in the Context of Sustainable Development. Study Case: European Union — https://doi.org/10.2478/picbe-2024-0243</w:t>
      </w:r>
    </w:p>
    <w:p>
      <w:pPr/>
      <w:r>
        <w:rPr>
          <w:b/>
        </w:rPr>
        <w:t>Shared claim-specific concepts:</w:t>
      </w:r>
      <w:r>
        <w:t xml:space="preserve"> order, understand, transition, main, obtained, transformation; EU scope visible. This is a provisional connection, not an outcome finding.</w:t>
      </w:r>
    </w:p>
    <w:p>
      <w:pPr>
        <w:pStyle w:val="SourceNote"/>
      </w:pPr>
      <w:r>
        <w:rPr>
          <w:b/>
        </w:rPr>
        <w:t>Available abstract (not full text):</w:t>
      </w:r>
      <w:r>
        <w:t xml:space="preserve"> Abstract The term „Green economy” in the context of sustainable development was used for the first time in 1989, there is no internationally agreed definition for it. In the last decades, in a relatively short period it has become an issue with major importance worldwide, the society realizing that its actions have direct effects on the environment, its live and where we carry out our work. In order to correctly understand the meaning of Green economy we need an insight on man as an individual but also on organizations that make economic and financial decisions and initiatives. This paper examines the EU countries progress toward green economy, identifies the relationship with financial and economic indicators and analyses the role of eco-innovation performance and innovative capacity toward green transition to meet the European Green Deal objectives. Complex theoretical, methodological and empirical research methodology was adopted by using specific methods of investigation: critical analysis of the literature, complex quantitative and qualitative analysis, identification, construction and the appropriate processing of existing databases. The numerical results were obtained by the SPSS software package. The paper’s outcome identifies barriers and success factors in the implementation of the EU’s main new growth strategy, highlights that the green transformation process of the </w:t>
      </w:r>
    </w:p>
    <w:p>
      <w:pPr/>
      <w:r>
        <w:rPr>
          <w:b/>
        </w:rPr>
        <w:t>POSSIBLE 2024:</w:t>
      </w:r>
      <w:r>
        <w:t xml:space="preserve"> Childhood internal migration in Europe: Developments across cohorts and countries — https://doi.org/10.1002/psp.2792</w:t>
      </w:r>
    </w:p>
    <w:p>
      <w:pPr/>
      <w:r>
        <w:rPr>
          <w:b/>
        </w:rPr>
        <w:t>Shared claim-specific concepts:</w:t>
      </w:r>
      <w:r>
        <w:t xml:space="preserve"> about, approach, analyzed; EU scope visible. This is a provisional connection, not an outcome finding.</w:t>
      </w:r>
    </w:p>
    <w:p>
      <w:pPr>
        <w:pStyle w:val="SourceNote"/>
      </w:pPr>
      <w:r>
        <w:rPr>
          <w:b/>
        </w:rPr>
        <w:t>Available abstract (not full text):</w:t>
      </w:r>
      <w:r>
        <w:t xml:space="preserve"> Abstract Internal migration is the driving force behind population re‐distribution within countries. Although internal migration has been extensively studied among adults, little is known about patterns in childhood migration, and even less so in a comparative manner. This study, therefore, adopts a child‐centred approach and contributes to the literature by exploring cross‐national changes in childhood migration across birth cohorts. Moreover, it examines how patterns of childhood migration relate to the postponement of childbearing. Drawing on retrospective residential histories from the SHARE survey, we analyzed childhood migration trajectories of 178,476 individuals born between 1935 and 1994 in 28 European countries. Cohort analyses confirm a country gradient in childhood migration, with the highest migration rates in Northern Europe and the lowest in Southeastern Europe. Nonetheless, across nearly all countries, childhood migration has consistently declined since the 1970s. Furthermore, when children relocate, it happens at increasingly younger ages. Finally, we find that these patterns are related to the increasing childbearing age across Europe. Our results thereby highlight the interplay between childhood migration and adult family life's changing dynamics, offering a novel perspective on the link between these two demographic components.</w:t>
      </w:r>
    </w:p>
    <w:p>
      <w:pPr/>
      <w:r>
        <w:rPr>
          <w:b/>
        </w:rPr>
        <w:t>POSSIBLE 2023:</w:t>
      </w:r>
      <w:r>
        <w:t xml:space="preserve"> Dynamics of EU Central and Eastern European donors’ development cooperation — https://doi.org/10.12688/stomiedintrelat.17714.1</w:t>
      </w:r>
    </w:p>
    <w:p>
      <w:pPr/>
      <w:r>
        <w:rPr>
          <w:b/>
        </w:rPr>
        <w:t>Shared claim-specific concepts:</w:t>
      </w:r>
      <w:r>
        <w:t xml:space="preserve"> order, understand, applied, main; EU scope visible. This is a provisional connection, not an outcome finding.</w:t>
      </w:r>
    </w:p>
    <w:p>
      <w:pPr>
        <w:pStyle w:val="SourceNote"/>
      </w:pPr>
      <w:r>
        <w:rPr>
          <w:b/>
        </w:rPr>
        <w:t>Available abstract (not full text):</w:t>
      </w:r>
      <w:r>
        <w:t xml:space="preserve"> The article deals with both qualitative and quantitative aspects of development assistance provided by the 11 Central and Eastern European (CEE) countries that are members of the European Union (EU). The aim is to answer the question of what are the major determinants of their involvement in development cooperation. It also aims to understand the controversy surrounding the development policies of these donors and to assess the impact of past determinants on the current situation. Our study employs a combination of data analysis (based on Organisation for Economic Cooperation and Development – OECD – statistics) and a literature review. In order to allow the examination of trends, constant prices have been applied throughout the study. Our research operates both on absolute (volumes of development aid given to and offered by the countries in mind) and relative data (bilateral to total ODA ratio and regional distribution of bilateral aid). The analysis reveals that the CEE EU donors’ spending on development assistance grew 463% over the 2004–2021 period. In 2021, they accounted for 2.4% of global aid, which was not a significant share globally, though noteworthy at the level of EU development aid spending. We found a clear dominance of the multilateral channel in the distribution of CEE EU aid fluctuating between 65–90%, mainly through EU institutions. In terms of bilateral acti</w:t>
      </w:r>
    </w:p>
    <w:p>
      <w:pPr>
        <w:pStyle w:val="Heading2"/>
      </w:pPr>
      <w:r>
        <w:t>549.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2026:</w:t>
      </w:r>
      <w:r>
        <w:t xml:space="preserve"> Strengthening European development policy: the case for Team Europe 2.0 — https://doi.org/10.23661/ipb11.2026</w:t>
      </w:r>
    </w:p>
    <w:p>
      <w:pPr/>
      <w:r>
        <w:rPr>
          <w:b/>
        </w:rPr>
        <w:t>Shared claim-specific concepts:</w:t>
      </w:r>
      <w:r>
        <w:t xml:space="preserve"> same, time, objectives, resources; EU scope visible. This is a provisional connection, not an outcome finding.</w:t>
      </w:r>
    </w:p>
    <w:p>
      <w:pPr>
        <w:pStyle w:val="SourceNote"/>
      </w:pPr>
      <w:r>
        <w:rPr>
          <w:b/>
        </w:rPr>
        <w:t>Available abstract (not full text):</w:t>
      </w:r>
      <w:r>
        <w:t xml:space="preserve"> The international order is undergoing profound change as rivalry among major powers realigns the global balance. This is also having an impact on European development policy. In many European Union (EU) member states, funding for official development assistance (ODA) is declining. At the same time, EU countries are reforming their development policies and increasingly channelling their remaining resources towards priorities that serve primarily their own interests. So far, these reforms have largely been defined bilaterally, whereas a political debate on the role, added value and joint objectives of EU development policy is largely absent. Yet, without strengthening European cooperation in development policy, Europe will not succeed in providing an adequate response to the current upheavals in global politics. In this policy brief, we argue that reform efforts in European development policy must strengthen co-operation and complementarity to respond effectively to the changed geopolitical landscape. Our analysis identifies four key policy areas where European actors are pursuing ongoing reforms and where development policy should make significant contributions: 1) promoting economic cooperation and private-sector engagement, 2) security policy, 3) managing and shaping migration and 4) human development including poverty reduction, particularly in least developed countries (LDCs</w:t>
      </w:r>
    </w:p>
    <w:p>
      <w:pPr/>
      <w:r>
        <w:rPr>
          <w:b/>
        </w:rPr>
        <w:t>POSSIBLE 2026:</w:t>
      </w:r>
      <w:r>
        <w:t xml:space="preserve"> European Energy Transition – Germany in the Heart of Europe — https://doi.org/10.34734/fzj-2026-02456</w:t>
      </w:r>
    </w:p>
    <w:p>
      <w:pPr/>
      <w:r>
        <w:rPr>
          <w:b/>
        </w:rPr>
        <w:t>Shared claim-specific concepts:</w:t>
      </w:r>
      <w:r>
        <w:t xml:space="preserve"> same, time, objectives, set, achieved, presented;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same, time, objectives, provides;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2025:</w:t>
      </w:r>
      <w:r>
        <w:t xml:space="preserve"> Community-based interventions for management of antimicrobial resistance in Europe: a systematic review — https://doi.org/10.1093/eurpub/ckaf257</w:t>
      </w:r>
    </w:p>
    <w:p>
      <w:pPr/>
      <w:r>
        <w:rPr>
          <w:b/>
        </w:rPr>
        <w:t>Shared claim-specific concepts:</w:t>
      </w:r>
      <w:r>
        <w:t xml:space="preserve"> time, community, presented, use, needed, population; EU scope visible. This is a provisional connection, not an outcome finding.</w:t>
      </w:r>
    </w:p>
    <w:p>
      <w:pPr>
        <w:pStyle w:val="SourceNote"/>
      </w:pPr>
      <w:r>
        <w:rPr>
          <w:b/>
        </w:rPr>
        <w:t>Available abstract (not full text):</w:t>
      </w:r>
      <w:r>
        <w:t xml:space="preserve"> Antimicrobial resistance (AMR) is a growing global health problem. Several public interventions have been designed to increase AMR knowledge and awareness. This review assesses the availability and effectiveness of community-based AMR interventions in Europe. Four databases-Medline (OVID), Pubmed, Scopus, Web of Science- and grey literature were searched for AMR interventions in community settings in Europe between 2000 and 2024. Studies reporting empirical findings in English were considered. A narrative synthesis was performed, and findings were presented in text and tables. Forty-nine studies were eligible for inclusion from 14 European countries. Interventions were primarily educational to raise awareness, targeting individuals, small groups, or the general public through mass campaigns, school-based programmes, online games, and pledges. Some interventions also monitored adherence, consumption, and doctor consultation. The majority of interventions reported increased knowledge and awareness of antibiotics and AMR; reduced antibiotic prescription, purchase, use, and non-compliance; reduced respiratory incidence and doctor consultations, and increased overall adherence. Fluctuations in knowledge over time were observed, but evidence was insufficient to analyse the long-term sustainability of outcomes of the interventions. Our findings show that community-based interventions </w:t>
      </w:r>
    </w:p>
    <w:p>
      <w:pPr/>
      <w:r>
        <w:rPr>
          <w:b/>
        </w:rPr>
        <w:t>POSSIBLE 2025:</w:t>
      </w:r>
      <w:r>
        <w:t xml:space="preserve"> The Early Years of Ireland in the European Economic Community — https://doi.org/10.4324/9781003184188</w:t>
      </w:r>
    </w:p>
    <w:p>
      <w:pPr/>
      <w:r>
        <w:rPr>
          <w:b/>
        </w:rPr>
        <w:t>Shared claim-specific concepts:</w:t>
      </w:r>
      <w:r>
        <w:t xml:space="preserve"> same, time, community; EU scope visible. This is a provisional connection, not an outcome finding.</w:t>
      </w:r>
    </w:p>
    <w:p>
      <w:pPr>
        <w:pStyle w:val="SourceNote"/>
      </w:pPr>
      <w:r>
        <w:rPr>
          <w:b/>
        </w:rPr>
        <w:t>Available abstract (not full text):</w:t>
      </w:r>
      <w:r>
        <w:t xml:space="preserve"> Ireland’s accession to the European Economic Community (EEC) in 1973 provided great opportunities, as well as significant challenges to its relatively small civil service. This book traces Ireland’s internal adaptation to managing membership. The long wait for accession to the EEC had instigated administrative and management patterns during negotiations which were difficult for Ireland to untangle and alter afterwards. There was friction between departments on how to approach relations with the EEC in some policy areas after membership. At times, this effectively slowed and even hampered Ireland’s adaptation to membership. At the same time, the EEC provided an important new frame of reference for Irish society. Discussions on social progress drew from that wider context and challenged Ireland in new ways. This volume explores this development through an analysis of empirical files from the National Archives of Ireland and the Historical Archives of the European Union, newspapers, and secondary sources. This book is intended for scholars and students of Irish history, European Studies, political science, diplomatic studies, and administrative history.</w:t>
      </w:r>
    </w:p>
    <w:p>
      <w:pPr/>
      <w:r>
        <w:rPr>
          <w:b/>
        </w:rPr>
        <w:t>POSSIBLE 2025:</w:t>
      </w:r>
      <w:r>
        <w:t xml:space="preserve"> Cultural Aspects and Sustainability in Gastronomic Places: Analysis in Tourist Cities in Brazil and Europe — https://doi.org/10.55892/jrg.v8i18.1933</w:t>
      </w:r>
    </w:p>
    <w:p>
      <w:pPr/>
      <w:r>
        <w:rPr>
          <w:b/>
        </w:rPr>
        <w:t>Shared claim-specific concepts:</w:t>
      </w:r>
      <w:r>
        <w:t xml:space="preserve"> same, time, use, techniques, practices, considering; EU scope visible. This is a provisional connection, not an outcome finding.</w:t>
      </w:r>
    </w:p>
    <w:p>
      <w:pPr>
        <w:pStyle w:val="SourceNote"/>
      </w:pPr>
      <w:r>
        <w:rPr>
          <w:b/>
        </w:rPr>
        <w:t>Available abstract (not full text):</w:t>
      </w:r>
      <w:r>
        <w:t xml:space="preserve"> Introduction: Gastronomic tourism has emerged as an important aspect of cultural tourism, offering authentic experiences that reflect the identity and traditions of a region. In tourist cities, both in Brazil and in Europe, gastronomy plays a crucial role in promoting cultural aspects and implementing sustainable practices. The intersection between culture, sustainability and gastronomy is a field of study that deserves attention, as these dynamics can influence both cultural preservation and sustainable economic development in these regions. Objective: This study aims to analyze the relationship between cultural aspects and sustainability practices in gastronomic venues located in tourist cities in Brazil and Europe. The research seeks to identify how local gastronomy can serve as a vehicle for promoting culture and at the same time fostering sustainable practices, contributing to responsible tourism and the preservation of local resources. Method: To achieve this objective, a scoping review was conducted, which included the analysis of scientific articles, reports from international organizations and case studies published in the last ten years. The scoping review allows mapping the available evidence on the relationship between culture, sustainability and gastronomy in tourism contexts, offering a comprehensive view of the practices and strategies adopted in different region</w:t>
      </w:r>
    </w:p>
    <w:p>
      <w:pPr/>
      <w:r>
        <w:rPr>
          <w:b/>
        </w:rPr>
        <w:t>POSSIBLE 2025:</w:t>
      </w:r>
      <w:r>
        <w:t xml:space="preserve"> The Standardization of Learning Objectives and Competences as a Tool for Improving Teaching Quality — https://doi.org/10.31926/recent.2025.78.372</w:t>
      </w:r>
    </w:p>
    <w:p>
      <w:pPr/>
      <w:r>
        <w:rPr>
          <w:b/>
        </w:rPr>
        <w:t>Shared claim-specific concepts:</w:t>
      </w:r>
      <w:r>
        <w:t xml:space="preserve"> same, time, objectives, practices; EU scope visible. This is a provisional connection, not an outcome finding.</w:t>
      </w:r>
    </w:p>
    <w:p>
      <w:pPr>
        <w:pStyle w:val="SourceNote"/>
      </w:pPr>
      <w:r>
        <w:rPr>
          <w:b/>
        </w:rPr>
        <w:t>Available abstract (not full text):</w:t>
      </w:r>
      <w:r>
        <w:t xml:space="preserve"> The standardization of learning objectives and competences is a key factor in enhancing teaching quality and learning effectiveness. The clear definition and categorization of learning outcomes promote alignment between objectives, teaching practices, and assessment, thus fostering coherence and transparency in education (Biggs &amp; Tang, 2011). This paper theoretically and bibliographically explores the contribution of standardization to education through international and European frameworks such as Bloom’s Taxonomy, the European Qualifications Framework (EQF), and the Key Competences for Lifelong Learning (European Commission, 2017, 2019). Findings suggest that these frameworks strengthen the comparability of learning outcomes, foster teacher collaboration, and support professional growth. At the same time, excessive or rigid implementation may constrain creativity and pedagogical freedom (Hargreaves, 2003). The study concludes that, when applied critically and flexibly, standardization can serve as a driver of pedagogical innovation and European convergence, contributing to a coherent, democratic, and quality-oriented education space.</w:t>
      </w:r>
    </w:p>
    <w:p>
      <w:pPr/>
      <w:r>
        <w:rPr>
          <w:b/>
        </w:rPr>
        <w:t>POSSIBLE 2025:</w:t>
      </w:r>
      <w:r>
        <w:t xml:space="preserve"> Review of European biodiversity law, 2024–2025 — https://openalex.org/W7137570826</w:t>
      </w:r>
    </w:p>
    <w:p>
      <w:pPr/>
      <w:r>
        <w:rPr>
          <w:b/>
        </w:rPr>
        <w:t>Shared claim-specific concepts:</w:t>
      </w:r>
      <w:r>
        <w:t xml:space="preserve"> same, time, objectives, achieved; EU scope visible. This is a provisional connection, not an outcome finding.</w:t>
      </w:r>
    </w:p>
    <w:p>
      <w:pPr>
        <w:pStyle w:val="SourceNote"/>
      </w:pPr>
      <w:r>
        <w:rPr>
          <w:b/>
        </w:rPr>
        <w:t>Available abstract (not full text):</w:t>
      </w:r>
      <w:r>
        <w:t xml:space="preserve"> Over the period 2024–2025, the European Union has adopted virtually no new legislation implementing the EU Biodiversity Strategy for 2030. The EU’s efforts over this period have focused more on evaluating and monitoring the instruments adopted since 2021. This mid-term review of the EU Biodiversity Strategy has made it possible to identify trends regarding whether the objectives of the text will ultimately be achieved. At the same time, the European Union has taken strong positions on the international stage in favor of biodiversity.</w:t>
      </w:r>
    </w:p>
    <w:p>
      <w:pPr/>
      <w:r>
        <w:rPr>
          <w:b/>
        </w:rPr>
        <w:t>POSSIBLE 2024:</w:t>
      </w:r>
      <w:r>
        <w:t xml:space="preserve"> Regulating the Press for Accuracy and Objectivity — https://doi.org/10.1093/oso/9780198858607.003.0005</w:t>
      </w:r>
    </w:p>
    <w:p>
      <w:pPr/>
      <w:r>
        <w:rPr>
          <w:b/>
        </w:rPr>
        <w:t>Shared claim-specific concepts:</w:t>
      </w:r>
      <w:r>
        <w:t xml:space="preserve"> same, time, presented; EU scope visible. This is a provisional connection, not an outcome finding.</w:t>
      </w:r>
    </w:p>
    <w:p>
      <w:pPr>
        <w:pStyle w:val="SourceNote"/>
      </w:pPr>
      <w:r>
        <w:rPr>
          <w:b/>
        </w:rPr>
        <w:t>Available abstract (not full text):</w:t>
      </w:r>
      <w:r>
        <w:t xml:space="preserve"> Abstract Accuracy is a cardinal norm of journalistic practice. However, developments around the phenomenon of ‘fake news’ in recent times have sparked off an intense debate about whether mainstream media can live up to the ideal of accuracy. News organizations, faced with shrinking budgets and a fierce competition for readers, are often presented with a stark choice between speed and accuracy. In an age of viral news, the temptation is there to publish first and verify later. In the face of overall low levels of trust in professional media, many newsrooms have invested in hubs which fact-check user-generated content. At the same time, their own news reports are scrutinized—and occasionally suppressed—by online platforms and by external fact-checking sites, situated on the cusp between ‘traditional journalism and digital network logics’. This chapter will, first, examine the way in which the ethics of journalism have been interpreted by the European Court of Human Rights. Next, it will focus on the journalistic standards of accuracy and objectivity/impartiality in a comparative context. Furthermore, it will discuss the recent phenomenon of ‘fake news’, and the concomitant rise in scepticism about the accuracy and objectivity of news media, and in particular the press. Finally, it will ask whether there has been a shift in the editorial standards adhered to by news media and in t</w:t>
      </w:r>
    </w:p>
    <w:p>
      <w:pPr>
        <w:pStyle w:val="Heading2"/>
      </w:pPr>
      <w:r>
        <w:t>550.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Unveiling the environmental impact of earthquakes in Europe — https://doi.org/10.1038/s41467-025-68120-6</w:t>
      </w:r>
    </w:p>
    <w:p>
      <w:pPr/>
      <w:r>
        <w:rPr>
          <w:b/>
        </w:rPr>
        <w:t>Shared claim-specific concepts:</w:t>
      </w:r>
      <w:r>
        <w:t xml:space="preserve"> findings,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r>
        <w:rPr>
          <w:b/>
        </w:rPr>
        <w:t>POSSIBLE 2025:</w:t>
      </w:r>
      <w:r>
        <w:t xml:space="preserve"> Conformal Inference of Individual Treatment Effects Using Conditional Density Estimates — https://doi.org/10.1609/aaai.v39i20.35397</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In an era where diverse and complex data are increasingly accessible, the precise prediction of individual treatment effects (ITE) becomes crucial across fields such as healthcare, economics, and social policy. Current state-of-the-art approaches, while providing valid prediction intervals through Conformal Quantile Regression (CQR) and related techniques, often yield overly conservative prediction intervals. In this work, we introduce a conformal inference approach to ITE using the conditional density of the outcome given the covariates. We leverage the reference distribution technique to efficiently estimate the conditional densities as the score functions under a two-stage conformal ITE framework. We show that our prediction intervals are not only marginally valid but are narrower than existing methods. Experimental results further validate the usefulness of our method.</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figures, forecasts, until, findings, not;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Estimating Conditional Average Treatment Effects via Sufficient Representation Learning — https://doi.org/10.24963/ijcai.2024/541</w:t>
      </w:r>
    </w:p>
    <w:p>
      <w:pPr/>
      <w:r>
        <w:rPr>
          <w:b/>
        </w:rPr>
        <w:t>Shared claim-specific concepts:</w:t>
      </w:r>
      <w:r>
        <w:t xml:space="preserve"> conditional, estimation, not; EU scope not established. This is a provisional connection, not an outcome finding.</w:t>
      </w:r>
    </w:p>
    <w:p>
      <w:pPr>
        <w:pStyle w:val="SourceNote"/>
      </w:pPr>
      <w:r>
        <w:rPr>
          <w:b/>
        </w:rPr>
        <w:t>Available abstract (not full text):</w:t>
      </w:r>
      <w:r>
        <w:t xml:space="preserve"> Estimating the conditional average treatment effects (CATE) is very important in causal inference and has a wide range of applications across many fields. In the estimation process of CATE, the unconfoundedness assumption is typically required to ensure the identifiability of the regression problems. When estimating CATE using high-dimensional data, there have been many variable selection methods and neural network approaches based on representation learning, while these methods do not provide a way to verify whether the subset of variables after dimensionality reduction or the learned representations still satisfy the unconfoundedness assumption during the estimation process, which can lead to ineffective estimates of the treatment effects. Additionally, these methods typically use data from only the treatment or control group when estimating the regression functions for each group. This paper proposes a novel neural network approach named CrossNet to learn a sufficient representation for the features, based on which we then estimate the CATE, where cross indicates that in estimating the regression functions, we used data from their own group as well as cross-utilized data from another group. Numerical simulations and empirical results demonstrate that our method outperforms the competitive approaches.</w:t>
      </w:r>
    </w:p>
    <w:p>
      <w:pPr/>
      <w:r>
        <w:rPr>
          <w:b/>
        </w:rPr>
        <w:t>POSSIBLE 2024:</w:t>
      </w:r>
      <w:r>
        <w:t xml:space="preserve"> Manager sentiment and conditional conservatism — https://doi.org/10.1111/jbfa.12780</w:t>
      </w:r>
    </w:p>
    <w:p>
      <w:pPr/>
      <w:r>
        <w:rPr>
          <w:b/>
        </w:rPr>
        <w:t>Shared claim-specific concepts:</w:t>
      </w:r>
      <w:r>
        <w:t xml:space="preserve"> conditional, not, affect; EU scope not established. This is a provisional connection, not an outcome finding.</w:t>
      </w:r>
    </w:p>
    <w:p>
      <w:pPr>
        <w:pStyle w:val="SourceNote"/>
      </w:pPr>
      <w:r>
        <w:rPr>
          <w:b/>
        </w:rPr>
        <w:t>Available abstract (not full text):</w:t>
      </w:r>
      <w:r>
        <w:t xml:space="preserve"> Abstract This study examines the effect of manager sentiment on conditional conservatism. Manager sentiment refers to widely held beliefs of financial managers about their firms’ future economic prospects that are not justified by available economic fundamentals. Manager sentiment is likely to affect conditional conservative reporting because the decision to recognize unrealized economic losses in a timely manner flows from financial managers’ beliefs about their firms’ future cash flow prospects. We predict and find that manager sentiment is negatively associated with conditional conservatism, indicating that firms report less conservatively during periods of high manager sentiment (over‐optimism) and more conservatively during periods of low manager sentiment (over‐pessimism). Moreover, the effects of manager sentiment on conditional conservatism remain strongly negative after controlling for manager overconfidence. We further find that asset write‐offs are lower during high sentiment periods but higher in subsequent periods. Importantly, the manager sentiment effect on conservatism is incremental, and the opposite in sign, to the effect of investor sentiment, which has not been demonstrated in prior literature.</w:t>
      </w:r>
    </w:p>
    <w:p>
      <w:pPr/>
      <w:r>
        <w:rPr>
          <w:b/>
        </w:rPr>
        <w:t>POSSIBLE 2024:</w:t>
      </w:r>
      <w:r>
        <w:t xml:space="preserve"> Dissecting the Decline in Average Hours Worked in Europe — https://doi.org/10.5089/9798400261183.001</w:t>
      </w:r>
    </w:p>
    <w:p>
      <w:pPr/>
      <w:r>
        <w:rPr>
          <w:b/>
        </w:rPr>
        <w:t>Shared claim-specific concepts:</w:t>
      </w:r>
      <w:r>
        <w:t xml:space="preserve"> employment, not, labor;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2023:</w:t>
      </w:r>
      <w:r>
        <w:t xml:space="preserve"> Sources of PM2.5‐Associated Health Risks in Europe and Corresponding Emission‐Induced Changes During 2005–2015 — https://doi.org/10.1029/2022gh000767</w:t>
      </w:r>
    </w:p>
    <w:p>
      <w:pPr/>
      <w:r>
        <w:rPr>
          <w:b/>
        </w:rPr>
        <w:t>Shared claim-specific concepts:</w:t>
      </w:r>
      <w:r>
        <w:t xml:space="preserve"> corresponding, regional, regions; EU scope visible. This is a provisional connection, not an outcome finding.</w:t>
      </w:r>
    </w:p>
    <w:p>
      <w:pPr>
        <w:pStyle w:val="SourceNote"/>
      </w:pPr>
      <w:r>
        <w:rPr>
          <w:b/>
        </w:rPr>
        <w:t>Available abstract (not full text):</w:t>
      </w:r>
      <w:r>
        <w:t xml:space="preserve">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r>
        <w:rPr>
          <w:b/>
        </w:rPr>
        <w:t>POSSIBLE 2023:</w:t>
      </w:r>
      <w:r>
        <w:t xml:space="preserve"> ART in Europe, 2019: results generated from European registries by ESHRE — https://doi.org/10.1093/humrep/dead197</w:t>
      </w:r>
    </w:p>
    <w:p>
      <w:pPr/>
      <w:r>
        <w:rPr>
          <w:b/>
        </w:rPr>
        <w:t>Shared claim-specific concepts:</w:t>
      </w:r>
      <w:r>
        <w:t xml:space="preserve"> corresponding, findings, not; EU scope visible. This is a provisional connection, not an outcome finding.</w:t>
      </w:r>
    </w:p>
    <w:p>
      <w:pPr>
        <w:pStyle w:val="SourceNote"/>
      </w:pPr>
      <w:r>
        <w:rPr>
          <w:b/>
        </w:rPr>
        <w:t>Available abstract (not full text):</w:t>
      </w:r>
      <w:r>
        <w:t xml:space="preserve"> STUDY QUESTION: What are the data and trends on ART and IUI cycle numbers and their outcomes, and on fertility preservation (FP) interventions, reported in 2019 as compared to previous years? SUMMARY ANSWER: The 23rd ESHRE report highlights the rising ART treatment cycles and children born, alongside a decline in twin deliveries owing to decreasing multiple embryo transfers; fresh IVF or ICSI cycles exhibited higher delivery rates, whereas frozen embryo transfers (FET) showed higher pregnancy rates (PRs), and reported IUI cycles decreased while maintaining stable outcomes. WHAT IS KNOWN ALREADY: ART aggregated data generated by national registries, clinics, or professional societies have been gathered and analyzed by the European IVF-Monitoring (EIM) Consortium since 1997 and reported in a total of 22 manuscripts published in Human Reproduction and Human Reproduction Open. STUDY DESIGN, SIZE, DURATION: Data on medically assisted reproduction (MAR) from European countries are collected by EIM for ESHRE each year. The data on treatment cycles performed between 1 January and 31 December 2019 were provided by either national registries or registries based on initiatives of medical associations and scientific organizations or committed persons in one of the 44 countries that are members of the EIM Consortium. PARTICIPANTS/MATERIALS, SETTING, METHODS: Overall, 1487 clinics offering A</w:t>
      </w:r>
    </w:p>
    <w:p>
      <w:pPr/>
      <w:r>
        <w:rPr>
          <w:b/>
        </w:rPr>
        <w:t>POSSIBLE 2023:</w:t>
      </w:r>
      <w:r>
        <w:t xml:space="preserve"> Climate change vs energy security? The conditional support for energy sources among Western Europeans — https://doi.org/10.1016/j.enpol.2023.113471</w:t>
      </w:r>
    </w:p>
    <w:p>
      <w:pPr/>
      <w:r>
        <w:rPr>
          <w:b/>
        </w:rPr>
        <w:t>Shared claim-specific concepts:</w:t>
      </w:r>
      <w:r>
        <w:t xml:space="preserve"> conditional, findings, affect; EU scope visible. This is a provisional connection, not an outcome finding.</w:t>
      </w:r>
    </w:p>
    <w:p>
      <w:pPr>
        <w:pStyle w:val="SourceNote"/>
      </w:pPr>
      <w:r>
        <w:rPr>
          <w:b/>
        </w:rPr>
        <w:t>Available abstract (not full text):</w:t>
      </w:r>
      <w:r>
        <w:t xml:space="preserve"> The decarbonisation of Western societies requires a fundamental reorganisation of energy supply and fierce debates around the future energy mix have begun in many countries. However, we still know little about how concerns about energy security affect the public's energy preferences in view of the critique that renewable energies might compromise energy security. This paper argues that there is a perceived trade-off between energy security and climate protection that affects energy supply preferences in Western Europe. Using the European Social Survey's ‘Public Attitudes to Climate Change’ module, the findings from multilevel regressions demonstrate that there is indeed a perceived trade-off in energy preferences among Western Europeans. People concerned about energy security prefer coal, gas, and nuclear power over renewable energies. People worried about climate change prefer solar and wind energy over nuclear and fossil forms of energy. The analysis further identifies four different groups representing the trade-off between energy security and climate protection among Western Europeans. The paper thus identifies why energy preferences might collide and why some countries observe a polarisation of views around energy supply that policymakers need to address to realise a successful and publicly acceptable transformation of energy supply.</w:t>
      </w:r>
    </w:p>
    <w:p>
      <w:pPr>
        <w:pStyle w:val="Heading2"/>
      </w:pPr>
      <w:r>
        <w:t>551.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2026:</w:t>
      </w:r>
      <w:r>
        <w:t xml:space="preserve"> The Geopolitical Shift and the Challenge to European Integration — https://doi.org/10.1007/978-3-032-18648-5_1</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In the introductory chapter of the book, the authors discuss the implications for the European Union (EU) of the transformation of the international system and the return of geopolitics. Since the mid-2010s, the international system has undergone a fundamental shift away from a liberal world order towards an alternative order characterised by great-power rivalry, which presents major challenges for the EU’s competitiveness, security, and green transition. The chapter highlights the transformation of the global order by examining the origins of geopolitics. It then proceeds to analyse the measures that the EU has adopted so far to address the challenges posed by a geopolitically driven international system. The chapter concludes with an overview of the subsequent chapters of the book which, from various perspectives, examine how the EU is navigating the geopolitical shift.</w:t>
      </w:r>
    </w:p>
    <w:p>
      <w:pPr/>
      <w:r>
        <w:rPr>
          <w:b/>
        </w:rPr>
        <w:t>POSSIBLE 2026:</w:t>
      </w:r>
      <w:r>
        <w:t xml:space="preserve"> The Future of European Integration : Challenges and Opportunities — https://openalex.org/W7221381007</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The European Union has reached a crossroads. Its future development — even its survival — faces fundamental challenges in a turbulent global environment. As unity and effective action are imperative, the EU’s genuine renewal cannot be postponed. This volume offers a new narrative for European integration that recognises the heterogeneity of the member states, particularly as the Union expands to include the Western Balkans, Ukraine, Georgia, and Moldova. Contributions from leading academic and policy experts discuss the reforms and policies needed to address these challenges and harness emerging opportunities. By considering economic, social, institutional, and environmental aspects of development, the book presents a vision for a fair and sustainable European Union. It focuses on economic prosperity, the green transition, global geopolitics, social protection, innovation, and institutional reforms. In an era of geoeconomic fragmentation, the EU’s unity and effective action are imperative. This open-access book will be relevant to students, researchers, and policymakers interested in comparative and international economics and European studies.</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r>
        <w:rPr>
          <w:b/>
        </w:rPr>
        <w:t>POSSIBLE 2025:</w:t>
      </w:r>
      <w:r>
        <w:t xml:space="preserve"> Wind Energy in Transition: Development, Socio-Economic Impacts, and Policy Challenges in Europe — https://doi.org/10.3390/en18112811</w:t>
      </w:r>
    </w:p>
    <w:p>
      <w:pPr/>
      <w:r>
        <w:rPr>
          <w:b/>
        </w:rPr>
        <w:t>Shared claim-specific concepts:</w:t>
      </w:r>
      <w:r>
        <w:t xml:space="preserve"> presents, challenges, energy, efficiency, context; EU scope visible. This is a provisional connection, not an outcome finding.</w:t>
      </w:r>
    </w:p>
    <w:p>
      <w:pPr>
        <w:pStyle w:val="SourceNote"/>
      </w:pPr>
      <w:r>
        <w:rPr>
          <w:b/>
        </w:rPr>
        <w:t>Available abstract (not full text):</w:t>
      </w:r>
      <w:r>
        <w:t xml:space="preserve"> Wind energy has emerged as a strategic pillar in the global energy transition, offering both environmental and economic benefits. This comprehensive review explores the development of wind energy with a focus on the regulatory, socio-economic, and technological challenges that shape its deployment in Europe, particularly in Poland. The study highlights disparities between countries in terms of both total and per capita installed capacity, emphasizing the importance of equitable access to renewable energy. Denmark and Germany outperform larger economies like China and India in per capita terms, indicating the significance of effective policy frameworks and public engagement. The article presents detailed case studies of successful wind farm projects across the EU alongside economic evaluations including cost structures, return on investment, and local development impacts. Additionally, the role of innovation—such as floating offshore wind farms and AI-based energy management—is discussed in the context of improving efficiency and overcoming infrastructure and environmental barriers. The analysis is supported by quantitative comparisons, graphical representations, and policy reviews, culminating in practical recommendations for future growth. Wind energy’s expansion depends on integrated strategies that combine policy reform, technological advancement, economic viability, and com</w:t>
      </w:r>
    </w:p>
    <w:p>
      <w:pPr/>
      <w:r>
        <w:rPr>
          <w:b/>
        </w:rPr>
        <w:t>POSSIBLE 2025:</w:t>
      </w:r>
      <w:r>
        <w:t xml:space="preserve"> Empirical research of foreign direct investments efficiency in the European Union on the edge of pandemic outbreak — https://doi.org/10.1371/journal.pone.0313161</w:t>
      </w:r>
    </w:p>
    <w:p>
      <w:pPr/>
      <w:r>
        <w:rPr>
          <w:b/>
        </w:rPr>
        <w:t>Shared claim-specific concepts:</w:t>
      </w:r>
      <w:r>
        <w:t xml:space="preserve"> challenges, efficiency, investments, union; EU scope visible. This is a provisional connection, not an outcome finding.</w:t>
      </w:r>
    </w:p>
    <w:p>
      <w:pPr>
        <w:pStyle w:val="SourceNote"/>
      </w:pPr>
      <w:r>
        <w:rPr>
          <w:b/>
        </w:rPr>
        <w:t>Available abstract (not full text):</w:t>
      </w:r>
      <w:r>
        <w:t xml:space="preserve"> The study focuses on the effects of the COVID-19 pandemic on the economy and foreign direct investments in the European Union countries. Using data envelopment analysis constant and variable returns to scale models, and the Malmquist productivity index, we measured the efficiency of economic resource utilization concerning foreign direct investments and gross domestic product. These efficiencies were assessed in 2019, before the full outbreak of COVID-19, and in 2020, when uncertainty and the consequences of the pandemic were most pronounced. Despite the challenges posed by the pandemic, the European Union displayed economic resilience in the first year, with no significant reduction in foreign direct investment efficiency. Lower-income European Union countries saw an increase in foreign direct investment efficiency, attributing this to positive changes in managerial efficiency. This suggests that decisions made by authorities positively impacted foreign direct investment flows in economically less developed European Union regions despite restrictive measures and market uncertainties.</w:t>
      </w:r>
    </w:p>
    <w:p>
      <w:pPr/>
      <w:r>
        <w:rPr>
          <w:b/>
        </w:rPr>
        <w:t>POSSIBLE 2025:</w:t>
      </w:r>
      <w:r>
        <w:t xml:space="preserve"> Challenges, motivations, and perspectives of practitioners on forest restoration across seven European countries — https://doi.org/10.1111/rec.70160</w:t>
      </w:r>
    </w:p>
    <w:p>
      <w:pPr/>
      <w:r>
        <w:rPr>
          <w:b/>
        </w:rPr>
        <w:t>Shared claim-specific concepts:</w:t>
      </w:r>
      <w:r>
        <w:t xml:space="preserve"> presents, challenges, climate; EU scope visible. This is a provisional connection, not an outcome finding.</w:t>
      </w:r>
    </w:p>
    <w:p>
      <w:pPr>
        <w:pStyle w:val="SourceNote"/>
      </w:pPr>
      <w:r>
        <w:rPr>
          <w:b/>
        </w:rPr>
        <w:t>Available abstract (not full text):</w:t>
      </w:r>
      <w:r>
        <w:t xml:space="preserve"> Forest restoration is crucial in addressing nature degradation, enhancing climate adaptation and mitigation, supporting ecosystem services, and reducing disaster risk. Understanding practitioners' perspectives is essential for identifying barriers to successful restoration and improving the effectiveness of future initiatives. This study employs a mixed‐methods approach, integrating qualitative data from seven practitioner workshops and quantitative data from an online survey conducted across seven European countries (Austria, Bulgaria, Germany, Hungary, Ireland, Poland, and Serbia). The survey included 110 respondents, while 203 practitioners participated in workshops. Their primary motivations for engaging in restoration included a desire for ecosystem stability and nature preservation, followed by knowledge acquisition, responsibility for environmental stewardship, and climate change mitigation. Despite these challenges, practitioners highlighted advances in monitoring technologies, the diversification of project objectives, and increased public engagement as positive developments. The study concludes that a collaborative approach—enhancing the involvement of practitioners in policymaking—is critical for future restoration success. Additionally, growing public interest in ecological restoration presents an opportunity for alternative funding sources, which could address fina</w:t>
      </w:r>
    </w:p>
    <w:p>
      <w:pPr>
        <w:pStyle w:val="Heading2"/>
      </w:pPr>
      <w:r>
        <w:t>552.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2026:</w:t>
      </w:r>
      <w:r>
        <w:t xml:space="preserve"> Daylight illuminance modelling for the United Kingdom and Europe — https://doi.org/10.17869/enu.288937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This thesis highlights the benefits to occupants and owners of buildings who utilise daylight effectively. Many cases of absence are related to depression or Seasonal Adjustment Disorder(SAD) which results from inadequate exposure to daylight in the work place. The use of artificial lights has been linked to minor as well as more serious ailments such as cancer and increases in cases of miscarriage. The use of daylight in buildings from economic and environmental perspectives is the main concern of the thesis. The work and analysis of this thesis have produced two new illuminance models. In addition detailed illuminance and irradiance data for Central Scotland were recorded which has previously not been available. A comprehensive study of luminous efficacy research was undertaken in Chapter 3 which evaluated a complete range of models. Furthermore the luminous efficacy of various UK and international sites were compared to examine climatic differences. The development of a new slope illuminance model which more accurately predicts external illuminance for all sky conditions was shown to perform consistently better than previous models. This was due to the new model's treatment of the sky background diffuse component utilising an anisotropic form as opposed to the traditional assumption of an isotropic sky background diffuse component. The availability of sky luminance distribut</w:t>
      </w:r>
    </w:p>
    <w:p>
      <w:pPr/>
      <w:r>
        <w:rPr>
          <w:b/>
        </w:rPr>
        <w:t>POSSIBLE 2026:</w:t>
      </w:r>
      <w:r>
        <w:t xml:space="preserve"> Europe in the Indo-Pacific - Implications for the United States — https://openalex.org/W7163460510</w:t>
      </w:r>
    </w:p>
    <w:p>
      <w:pPr/>
      <w:r>
        <w:rPr>
          <w:b/>
        </w:rPr>
        <w:t>Shared claim-specific concepts:</w:t>
      </w:r>
      <w:r>
        <w:t xml:space="preserve"> united, implications; EU scope visible. This is a provisional connection, not an outcome finding.</w:t>
      </w:r>
    </w:p>
    <w:p>
      <w:pPr>
        <w:pStyle w:val="SourceNote"/>
      </w:pPr>
      <w:r>
        <w:rPr>
          <w:b/>
        </w:rPr>
        <w:t>Available abstract (not full text):</w:t>
      </w:r>
      <w:r>
        <w:t xml:space="preserve"> Within the last five years the Indo-Pacific has become a region of increasing interest to European NATO members. In particular, the United Kingdom, France, and Italy have assigned strategic importance for their national security to the region, signing cooperative agreements with regional allies of the United States and deploying significant forces to the region. These agreements include commitments to jointly develop new technologies and combat systems for employment in both Europe and the Indo-Pacific, such as the Global Combat Air Programme (GCAP), and the Trilateral security partnership between Australia, the United Kingdom, and the United States (AUKUS). They also include commitments to the forward-deployment of military capabilities to the region, along with a regular presence of European Carrier Strike Groups. The United Kingdom, France, and Italy are the three next largest naval powers in NATO after the United States and contribute considerably to NATO’s security in Europe. The degree of resources each invests in the Indo-Pacific region could impact their ability to perform their traditional roles in European security, while also weighing on the strategic calculus in the Indo-Pacific. Each nation has their own reasons and strategies for engaging in the region, with varying degrees of commitment and intended scale of engagement. It is important for the United States to un</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2025:</w:t>
      </w:r>
      <w:r>
        <w:t xml:space="preserve"> Esophageal and Oropharyngeal Dysphagia: Clinical Recommendations From the United European Gastroenterology and European Society for Neurogastroenterology and Motility — https://doi.org/10.1002/ueg2.70062</w:t>
      </w:r>
    </w:p>
    <w:p>
      <w:pPr/>
      <w:r>
        <w:rPr>
          <w:b/>
        </w:rPr>
        <w:t>Shared claim-specific concepts:</w:t>
      </w:r>
      <w:r>
        <w:t xml:space="preserve"> all, united, process, achieved; EU scope visible. This is a provisional connection, not an outcome finding.</w:t>
      </w:r>
    </w:p>
    <w:p>
      <w:pPr>
        <w:pStyle w:val="SourceNote"/>
      </w:pPr>
      <w:r>
        <w:rPr>
          <w:b/>
        </w:rPr>
        <w:t>Available abstract (not full text):</w:t>
      </w:r>
      <w:r>
        <w:t xml:space="preserve"> Dysphagia is a prevalent symptom of the upper gastrointestinal tract causing health related consequences, impacting quality of life and is associated with global economic burden. Swallowing difficulties are classified into oropharyngeal dysphagia (OD) and esophageal dysphagia. Despite its clinical importance, dysphagia is associated with several uncertainties regarding its optimal diagnostic work-up and management, particularly, considering the progress with diagnostic modalities and technologies. A Delphi consensus was performed with experts from various disciplines who conducted a literature summary and voting process on 41 statements. Quality of evidence was evaluated using the grading of recommendations, assessment, development, and evaluation criteria. Consensus was reached for all the statements. The panel agreed with the definition and prevalence of esophageal and OD types. The role of endoscopy, high-resolution manometry, EndoFLIP, barium swallow and other imaging tests in evaluating esophageal dysphagia has reached overall strong agreement. Videofluoroscopic swallow study, alongside fiber-endoscopic evaluation of swallowing, as the methods of choice for the instrumental assessment of oropharyngeal dysfunction is a strong recommendation. Regarding treatment, a weak recommendation was achieved for the use of PPIs, calcium-channel blockers, nitrates, phosphodiesterase typ</w:t>
      </w:r>
    </w:p>
    <w:p>
      <w:pPr/>
      <w:r>
        <w:rPr>
          <w:b/>
        </w:rPr>
        <w:t>POSSIBLE 2025:</w:t>
      </w:r>
      <w:r>
        <w:t xml:space="preserve"> An Assessment of the United States and European Union sanctions on Russia — https://doi.org/10.26881/jpgs.2025.1.02</w:t>
      </w:r>
    </w:p>
    <w:p>
      <w:pPr/>
      <w:r>
        <w:rPr>
          <w:b/>
        </w:rPr>
        <w:t>Shared claim-specific concepts:</w:t>
      </w:r>
      <w:r>
        <w:t xml:space="preserve"> united, nations, not; EU scope visible. This is a provisional connection, not an outcome finding.</w:t>
      </w:r>
    </w:p>
    <w:p>
      <w:pPr>
        <w:pStyle w:val="SourceNote"/>
      </w:pPr>
      <w:r>
        <w:rPr>
          <w:b/>
        </w:rPr>
        <w:t>Available abstract (not full text):</w:t>
      </w:r>
      <w:r>
        <w:t xml:space="preserve"> Three research questions are of great concern to this study. How can sanctions be made effective with respect to the United States and the European Union sanctions on Russia? What are the factors responsible for the noncompliance of some countries with the United States and the European Union sanctions on Russia? To what extent have the United States and the European Union sanctions modified the behaviour of Russia in the ongoing war in Ukraine? This study argues that the United States and the European Union sanctions can be made effective through collective enforcement by the UN member states. Besides, some western and non-western nations have failed to enforce the US-EU sanctions on Russian economy because of the economic benefits derived from Russian gas and the criticisms among western nations that sanctions violates human rights especially of vulnerable citizens. Again, the study further argues that sanctions have weakened the Russian economy but have not deterred Russian aggression. Lastly, the United Nations in collaboration with regional and sub-regional organisations should revisit the use of sanctions as a tool for foreign policy, bearing in mind the wellbeing of vulnerable groups such as children, women and people living with disabilities in Russia who are victims of these circumstances.</w:t>
      </w:r>
    </w:p>
    <w:p>
      <w:pPr/>
      <w:r>
        <w:rPr>
          <w:b/>
        </w:rPr>
        <w:t>POSSIBLE 2024:</w:t>
      </w:r>
      <w:r>
        <w:t xml:space="preserve"> Cohort Differences in Physical Health and Disability in the United States and Europe — https://doi.org/10.1093/geronb/gbae113</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OBJECTIVES: Declines in mortality have historically been associated with improvements in physical health across generations. While life expectancy in most high-income countries continues to increase, there is evidence that younger generations, particularly in the United States, are less healthy than previous generations at the same age. We compared generational trends in physical health in the United States, England, and continental Europe to explore whether other regions have experienced a similar pattern of worsening health across cohorts. METHODS: Using data from nationally representative studies of adults aged ≥50 years from the United States (Health and Retirement Study, n = 26,939), England (English Longitudinal Study of Ageing, n = 14,992) and 11 continental European countries (Survey of Health, Ageing and Retirement in Europe, n =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successive cohorts in all regions. Trends in disability prevalence were more regionally varied. Still, in both the United States and Europe, we observed a structural break in disability trends, with declines observed in prew</w:t>
      </w:r>
    </w:p>
    <w:p>
      <w:pPr/>
      <w:r>
        <w:rPr>
          <w:b/>
        </w:rPr>
        <w:t>POSSIBLE 2024:</w:t>
      </w:r>
      <w:r>
        <w:t xml:space="preserve"> Generational differences in physical health and disability in the United States and Europe — https://doi.org/10.1101/2024.01.16.24301347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Objectives: Declines in mortality have typically been associated with improvements in physical health across generations. While life expectancy in most high-income countries continues to increase, there is evidence that younger generations, particularly in the United States (US), are less healthy than previous generations at the same age. We compared generational trends in physical health in the US, England, and continental Europe to explore whether other regions have experienced a similar pattern of worsening health across cohorts. Methods: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cohorts in all regions. Trends in disability prevalence were more regionally varied. Still, in both the US and Europe, we observed a structural break in disability trends, with declines observed in pre-war cohorts slowing, stalling, or reversing for cohorts born since 1945. Discussion: In all regions, we found evidence for worsening health across cohorts, particularly for those born since 1945. While more chronic disease in younger cohorts need not necessarily translate to worse quality of life or higher rates of function</w:t>
      </w:r>
    </w:p>
    <w:p>
      <w:pPr>
        <w:pStyle w:val="Heading2"/>
      </w:pPr>
      <w:r>
        <w:t>553.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2026:</w:t>
      </w:r>
      <w:r>
        <w:t xml:space="preserve"> Pollution, Density and Low Emission Zones: European Evidence — https://doi.org/10.53479/44145</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pollution, energy, consumption, population;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much, pollution, energy, attributed, cities, population;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Effect of tree canopy cover on air pollution-related mortality in European cities: an integrated approach — https://doi.org/10.1016/s2542-5196(25)00112-3</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Background In urban areas, fine particles (PM 2·5 ), nitrogen dioxide (NO 2 ), and tropospheric ozone (O 3 ) are the most harmful air pollutants for human health. Urban greening is seen as a strategy for co-benefitting air quality, climate, and citizens' wellbeing. We aimed to estimate the changes in tree cover, the mortality burden attributable to air pollution, and the mortality that could be potentially prevented by increasing tree coverage in European cities. Methods We did a quantitative health impact assessment to estimate the effect of mean tree cover on air pollutants levels and PM 2·5 -related, NO 2 -related, and O 3 -related mortality (all ages) in 744 European urban centres, with more than 50 000 inhabitants, across 36 countries. We did all analyses at the city-wide scale. Findings Between 2000 and 2019, the mean tree coverage increased by 0·76 percentage points, with 73·5% of the urban centres showing greener coverage, whereas mortality burdens declined by on average 3·39% (SD 0·28) in all urban centres. In 2019, about 25% of the total population lived in areas with a mean tree canopy coverage over 30%. Compared with the current tree cover, each five percentage point increase in tree canopy cover could facilitate an air quality improvement of 2·8% for annual PM 2·5 mean concentrations, 1·4% for annual NO 2 mean concentrations, and 1·2% for summertime mean of the dai</w:t>
      </w:r>
    </w:p>
    <w:p>
      <w:pPr/>
      <w:r>
        <w:rPr>
          <w:b/>
        </w:rPr>
        <w:t>POSSIBLE 2025:</w:t>
      </w:r>
      <w:r>
        <w:t xml:space="preserve"> Leveraging peri-urban forests to reduce temperature and air pollution-related urban mortality in European cities — https://doi.org/10.1038/s43247-025-03079-2</w:t>
      </w:r>
    </w:p>
    <w:p>
      <w:pPr/>
      <w:r>
        <w:rPr>
          <w:b/>
        </w:rPr>
        <w:t>Shared claim-specific concepts:</w:t>
      </w:r>
      <w:r>
        <w:t xml:space="preserve"> pollution, cities, population, different, strategies; EU scope visible. This is a provisional connection, not an outcome finding.</w:t>
      </w:r>
    </w:p>
    <w:p>
      <w:pPr>
        <w:pStyle w:val="SourceNote"/>
      </w:pPr>
      <w:r>
        <w:rPr>
          <w:b/>
        </w:rPr>
        <w:t>Available abstract (not full text):</w:t>
      </w:r>
      <w:r>
        <w:t xml:space="preserve"> Extreme temperatures and poor air quality contribute to premature mortality, increased hospital admissions and higher healthcare costs. As the majority of the world’s population lives in cities, understanding how urban vegetation mitigates temperature and pollution hazards is essential for designing strategies to enhance urban resilience and reduce mortality. However, estimating the health benefits of urban greening is challenging due to the non-linear physical, chemical, and biological processes involved. Here we use a coupled climate-chemistry model to assess the impact of different peri-urban tree planting scenarios on temperature- and pollution-related mortality and their associated costs over three Euro-Mediterranean cities. We find that peri-urban greening primarily allows to reduce mortality from non-optimal temperatures and, to a lesser extent, air pollution, with effectiveness depending on the selected trees species and local meteorological and chemical conditions. This study provides methodological insights to guide urban planners in leveraging nature-based solutions effectively while avoiding adverse health effects from poor tree selection. Across European cities, peri-urban green areas can reduce mortality from non-optimal temperatures and, to a lesser extent, air pollution, with effectiveness depending on tree species and meteorological conditions, according to a c</w:t>
      </w:r>
    </w:p>
    <w:p>
      <w:pPr/>
      <w:r>
        <w:rPr>
          <w:b/>
        </w:rPr>
        <w:t>POSSIBLE 2025:</w:t>
      </w:r>
      <w:r>
        <w:t xml:space="preserve"> High-resolution modelling of particulate matter chemical composition over Europe: brake wear pollution — https://doi.org/10.1016/j.envint.2025.109615</w:t>
      </w:r>
    </w:p>
    <w:p>
      <w:pPr/>
      <w:r>
        <w:rPr>
          <w:b/>
        </w:rPr>
        <w:t>Shared claim-specific concepts:</w:t>
      </w:r>
      <w:r>
        <w:t xml:space="preserve"> pollution, cities, increase, population, regulations; EU scope visible. This is a provisional connection, not an outcome finding.</w:t>
      </w:r>
    </w:p>
    <w:p>
      <w:pPr>
        <w:pStyle w:val="SourceNote"/>
      </w:pPr>
      <w:r>
        <w:rPr>
          <w:b/>
        </w:rPr>
        <w:t>Available abstract (not full text):</w:t>
      </w:r>
      <w:r>
        <w:t xml:space="preserve"> In today’s rapidly evolving society, the sources of atmospheric particulate matter (PM) emissions are shifting significantly. Stringent regulations on vehicle tailpipe emissions, in combination with a lack of control of non-exhaust vehicular emissions, have led to an increase in the relative contribution of non-exhaust PM in Europe. This study analyzes the spatial distribution, temporal trends, and impacts of brake wear PM pollution across Europe by modeling copper (Cu) concentrations at a high spatial resolution of ∼250 m which is a key tracer of brake-wear emissions. We integrated coarse-resolution brake-wear Cu from CAMx chemical transport model and high-resolution land use data into a random forest model to predict Cu concentrations at 250 m over whole of continental Europe. The random forest model was trained using an unprecedented dataset of over 50,000 daily Cu measurements from 152 sites. It corrected CAMx underestimation and downscaled Cu to a higher spatial resolution. In validation, the model showed robust spatial and temporal prediction with good Pearson’s correlation coefficients of 0.6 and 0.7, respectively. We generated 10 years (2010–2019) of daily Cu concentrations over Europe, revealing spatial patterns aligned with urbanization and road networks, with peaks in cities and lower values in rural areas. Temporal trends reveal that Cu concentrations generally peak</w:t>
      </w:r>
    </w:p>
    <w:p>
      <w:pPr/>
      <w:r>
        <w:rPr>
          <w:b/>
        </w:rPr>
        <w:t>POSSIBLE 2025:</w:t>
      </w:r>
      <w:r>
        <w:t xml:space="preserve"> Firm ownership and pollution — https://doi.org/10.1016/j.jeem.2025.103265</w:t>
      </w:r>
    </w:p>
    <w:p>
      <w:pPr/>
      <w:r>
        <w:rPr>
          <w:b/>
        </w:rPr>
        <w:t>Shared claim-specific concepts:</w:t>
      </w:r>
      <w:r>
        <w:t xml:space="preserve"> much, pollution, population; EU scope not established. This is a provisional connection, not an outcome finding.</w:t>
      </w:r>
    </w:p>
    <w:p>
      <w:pPr>
        <w:pStyle w:val="SourceNote"/>
      </w:pPr>
      <w:r>
        <w:rPr>
          <w:b/>
        </w:rPr>
        <w:t>Available abstract (not full text):</w:t>
      </w:r>
      <w:r>
        <w:t xml:space="preserve"> We provide a theoretical micro foundation for how much pollution (negative externalities) a firm will internalize based on the ownership distribution of its shareholders. Small shareholders, compared to large ones, want the firm to spend more on avoiding pollution since they suffer less profit loss for the same environmental benefit. In particular, if a shareholder holds a share of 1 / N , where N is the population in society, that shareholder’s preferences align with a social planner’s. Three theoretical predictions arise. First, small shareholders will systematically vote for a greener corporate profile. Second, firms with a smaller weighted-median shareholder will pollute less. Third, countries with concentrated corporate wealth holdings and/or more individualized firm ownership will pollute more. This implies that standard models of externalities in environmental economics and macroeconomics containing representative agents are either internally inconsistent or not fully specified.</w:t>
      </w:r>
    </w:p>
    <w:p>
      <w:pPr/>
      <w:r>
        <w:rPr>
          <w:b/>
        </w:rPr>
        <w:t>POSSIBLE 2024:</w:t>
      </w:r>
      <w:r>
        <w:t xml:space="preserve"> Reducing pollution and economic sustainability policies from the use of renewable energy in European Union nations — https://doi.org/10.61435/ijred.2024.53205</w:t>
      </w:r>
    </w:p>
    <w:p>
      <w:pPr/>
      <w:r>
        <w:rPr>
          <w:b/>
        </w:rPr>
        <w:t>Shared claim-specific concepts:</w:t>
      </w:r>
      <w:r>
        <w:t xml:space="preserve"> much, pollution, energy, consumption; EU scope visible. This is a provisional connection, not an outcome finding.</w:t>
      </w:r>
    </w:p>
    <w:p>
      <w:pPr>
        <w:pStyle w:val="SourceNote"/>
      </w:pPr>
      <w:r>
        <w:rPr>
          <w:b/>
        </w:rPr>
        <w:t>Available abstract (not full text):</w:t>
      </w:r>
      <w:r>
        <w:t xml:space="preserve"> A major challenge facing humans in the 21st century is how to strike a balance between the mitigation of environmental degradation and the achievement of sustainable economic growth. On this note, this investigation applies an autoregressive distributed lag (ARDL) methodology to a panel data of 28 European Union (EU-28) countries over the period 2000-2020. The study confirms the existence of positive and significant long-run nexus among environmental sustainability, renewable energy consumption and economic growth in the EU-28 countries. In addition, empirical results indicate that real gross fixed capital formation, carbon emissions and other environmental factors are principal determinants of long-run growth in the EU. Using Dumitrescu and Hurlin (2012) Granger non-causality in heterogeneous panel, results show long-run bidirectional causal relationships among renewable energy consumption, economic growth and other growth determinants. Based on these results, infer that the exploitation of renewable energy sources in the EU-28 countries is a reliable pathway toward environmental pollution mitigation. This indicates that achieving the sustainable development goals (SDGs) by the year 2030 through renewable energy consumption and carbon emission mitigation is very much achievable in the EU-28 countries, and should also be adopted by all countries as an effective global policy.</w:t>
      </w:r>
    </w:p>
    <w:p>
      <w:pPr>
        <w:pStyle w:val="Heading2"/>
      </w:pPr>
      <w:r>
        <w:t>554.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The European Union as a Political Hybrid — https://doi.org/10.1017/9781009682633.004</w:t>
      </w:r>
    </w:p>
    <w:p>
      <w:pPr/>
      <w:r>
        <w:rPr>
          <w:b/>
        </w:rPr>
        <w:t>Shared claim-specific concepts:</w:t>
      </w:r>
      <w:r>
        <w:t xml:space="preserve"> union, role, international; EU scope visible. This is a provisional connection, not an outcome finding.</w:t>
      </w:r>
    </w:p>
    <w:p>
      <w:pPr>
        <w:pStyle w:val="SourceNote"/>
      </w:pPr>
      <w:r>
        <w:rPr>
          <w:b/>
        </w:rPr>
        <w:t>Available abstract (not full text):</w:t>
      </w:r>
      <w:r>
        <w:t xml:space="preserve"> The EU is more than a traditional international organisation such as the UN, because it has its own budget, currency, and directly applicable law. Yet it is not a state, for it lacks a police force, army, and criminal justice system. Its member states conserve a right of veto for all major decisions. It is therefore illuminating to explore the EU’s unique political and institutional features in order to understand how it has played such a large role in organising European capitalism, and to determine its compatibility with the three forms of capitalist governance (liberty, solidarity and community). The European Union’s dominant role in regulating capitalism emerged quite late, after the failure of numerous alternatives in both European and international organisations. As Brexit has shown, it is perfectly possible for the Union to shrivel, potentially due to nationalistic pressures. The European institutional system, while being easier to combine with the liberty aspect of capitalism, is also conducive to solidarity and community. The role of European institutions was to facilitate the combination of various national forms of solidarity and community capitalism in Europe.</w:t>
      </w:r>
    </w:p>
    <w:p>
      <w:pPr/>
      <w:r>
        <w:rPr>
          <w:b/>
        </w:rPr>
        <w:t>POSSIBLE 2025:</w:t>
      </w:r>
      <w:r>
        <w:t xml:space="preserve"> LOBBYING IN THE EUROPEAN UNION — https://doi.org/10.25234/eclic/38141</w:t>
      </w:r>
    </w:p>
    <w:p>
      <w:pPr/>
      <w:r>
        <w:rPr>
          <w:b/>
        </w:rPr>
        <w:t>Shared claim-specific concepts:</w:t>
      </w:r>
      <w:r>
        <w:t xml:space="preserve"> union, role, international, strategies, become; EU scope visible. This is a provisional connection, not an outcome finding.</w:t>
      </w:r>
    </w:p>
    <w:p>
      <w:pPr>
        <w:pStyle w:val="SourceNote"/>
      </w:pPr>
      <w:r>
        <w:rPr>
          <w:b/>
        </w:rPr>
        <w:t>Available abstract (not full text):</w:t>
      </w:r>
      <w:r>
        <w:t xml:space="preserve">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pPr/>
      <w:r>
        <w:rPr>
          <w:b/>
        </w:rPr>
        <w:t>POSSIBLE 2025:</w:t>
      </w:r>
      <w:r>
        <w:t xml:space="preserve"> Non-formal education in the European Union countries — https://doi.org/10.33272/2522-9729-2025-3(222)-48-51</w:t>
      </w:r>
    </w:p>
    <w:p>
      <w:pPr/>
      <w:r>
        <w:rPr>
          <w:b/>
        </w:rPr>
        <w:t>Shared claim-specific concepts:</w:t>
      </w:r>
      <w:r>
        <w:t xml:space="preserve"> union, frequently, role, international, today; EU scope visible. This is a provisional connection, not an outcome finding.</w:t>
      </w:r>
    </w:p>
    <w:p>
      <w:pPr>
        <w:pStyle w:val="SourceNote"/>
      </w:pPr>
      <w:r>
        <w:rPr>
          <w:b/>
        </w:rPr>
        <w:t>Available abstract (not full text):</w:t>
      </w:r>
      <w:r>
        <w:t xml:space="preserve"> This study covers non-formal learning in higher education institutions by examining online platforms of non-formal education in the European Union (EU). Non-formal education in EU countries plays an important role in the development of personality, professional skills and social integration. It is a key element of the lifelong learning concept, which is actively supported by the EU. Ukrainian online platforms of non-formal education are more frequently used by students in Ukrainian higher education institutions. The survey analysis has shown a high rate of interest among students in getting acquainted with online platforms of non-formal education used in the EU. Examples of modern online platforms in EU countries are Codecademy, Coursera, Udacity, Udemy, OpenupEd. Platforms in EU countries offer courses from leading universities and teachers, providing students with the opportunity to gain knowledge at a high level. A principal role of non-formal education in professional training has been recognized in EU countries. Online courses through platforms are often focused on practical skills that are highly valued by employers. The platforms include courses related to the specifics of work and study in the EU, which helps students understand the requirements of employers and prepare for employment. Online platforms foster a culture of continuous learning, which is crucial for adapti</w:t>
      </w:r>
    </w:p>
    <w:p>
      <w:pPr/>
      <w:r>
        <w:rPr>
          <w:b/>
        </w:rPr>
        <w:t>POSSIBLE 2025:</w:t>
      </w:r>
      <w:r>
        <w:t xml:space="preserve"> Efficiency and Failure in the European Union — https://doi.org/10.1017/9781009646659.012</w:t>
      </w:r>
    </w:p>
    <w:p>
      <w:pPr/>
      <w:r>
        <w:rPr>
          <w:b/>
        </w:rPr>
        <w:t>Shared claim-specific concepts:</w:t>
      </w:r>
      <w:r>
        <w:t xml:space="preserve"> union, role, early, promoting; EU scope visible. This is a provisional connection, not an outcome finding.</w:t>
      </w:r>
    </w:p>
    <w:p>
      <w:pPr>
        <w:pStyle w:val="SourceNote"/>
      </w:pPr>
      <w:r>
        <w:rPr>
          <w:b/>
        </w:rPr>
        <w:t>Available abstract (not full text):</w:t>
      </w:r>
      <w:r>
        <w:t xml:space="preserve"> This chapter shifts the focus to the European Union, where effectiveness-driven arguments, including some based on failure, have been pivotal in promoting regional integration. The chapter discusses both early landmark decisions of the European Court of Justice and the role of political failure arguments in driving the Court’s expansive approach and the concept of systemic deficits in European Union law, as well as the Solange jurisprudence of the German Constitutional Court. It positions these doctrines within the functionalist interpretive framework of European Union Law. While not all of these examples strictly involve failure-based reasoning, they illustrate both the opportunities and risks of the functionalist approach to legal interpretation long dominant in EU law.</w:t>
      </w:r>
    </w:p>
    <w:p>
      <w:pPr/>
      <w:r>
        <w:rPr>
          <w:b/>
        </w:rPr>
        <w:t>POSSIBLE 2025:</w:t>
      </w:r>
      <w:r>
        <w:t xml:space="preserve"> The European Union in an illiberal world — https://openalex.org/W7134097304</w:t>
      </w:r>
    </w:p>
    <w:p>
      <w:pPr/>
      <w:r>
        <w:rPr>
          <w:b/>
        </w:rPr>
        <w:t>Shared claim-specific concepts:</w:t>
      </w:r>
      <w:r>
        <w:t xml:space="preserve"> union, international, climate;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r>
        <w:rPr>
          <w:b/>
        </w:rPr>
        <w:t>POSSIBLE 2025:</w:t>
      </w:r>
      <w:r>
        <w:t xml:space="preserve"> Politics, environment and justice in the European Union — https://doi.org/10.51952/9781447372851.ch008</w:t>
      </w:r>
    </w:p>
    <w:p>
      <w:pPr/>
      <w:r>
        <w:rPr>
          <w:b/>
        </w:rPr>
        <w:t>Shared claim-specific concepts:</w:t>
      </w:r>
      <w:r>
        <w:t xml:space="preserve"> union, frequently, green, deal; EU scope visible. This is a provisional connection, not an outcome finding.</w:t>
      </w:r>
    </w:p>
    <w:p>
      <w:pPr>
        <w:pStyle w:val="SourceNote"/>
      </w:pPr>
      <w:r>
        <w:rPr>
          <w:b/>
        </w:rPr>
        <w:t>Available abstract (not full text):</w:t>
      </w:r>
      <w:r>
        <w:t xml:space="preserve"> This chapter builds on environmental justice research and examines how political groups within the European Parliament discuss policies of the European Green Deal. The analysis demonstrates clear differences in the way these groups prioritise aspects related to the overall transition agenda. Centre-left groups, for example, frequently connect environmental issues to broader concerns such as social equity, human rights and intergenerational justice. In contrast, other political groups focus primarily on distributive concerns. This variation underscores the contested nature of eco-social policies, with their emphasis shaped and negotiated through political processes within the Parliament.</w:t>
      </w:r>
    </w:p>
    <w:p>
      <w:pPr/>
      <w:r>
        <w:rPr>
          <w:b/>
        </w:rPr>
        <w:t>POSSIBLE 2025:</w:t>
      </w:r>
      <w:r>
        <w:t xml:space="preserve"> CIRCULAR ECONOMY AND SUSTAINABILITY POLICIES IN THE EUROPEAN UNION: FROM THEORY TO PRACTICE — https://doi.org/10.17740/eas.econ.2025-v40-01</w:t>
      </w:r>
    </w:p>
    <w:p>
      <w:pPr/>
      <w:r>
        <w:rPr>
          <w:b/>
        </w:rPr>
        <w:t>Shared claim-specific concepts:</w:t>
      </w:r>
      <w:r>
        <w:t xml:space="preserve"> union, frequently, taken, last, century, today; EU scope visible. This is a provisional connection, not an outcome finding.</w:t>
      </w:r>
    </w:p>
    <w:p>
      <w:pPr>
        <w:pStyle w:val="SourceNote"/>
      </w:pPr>
      <w:r>
        <w:rPr>
          <w:b/>
        </w:rPr>
        <w:t>Available abstract (not full text):</w:t>
      </w:r>
      <w:r>
        <w:t xml:space="preserve"> The “take-make-dispose” approach followed by the linear economy model has caused damage across social, environmental, and economic domains, revealing the necessity of adopting a new production and consumption paradigm. In the past, steps taken with a sole focus on profit and growth, without considering the limited of natural resources, have led to irreversible negative consequences that we face today. In response, countries aiming to act with greater consideration for the resources of future generations have adopted new strategic approaches such as the circular economy model, sustainable production, sustainable consumption, sustainable development, and zero-waste living. These concepts have frequently been addressed as part of this transition. In line with these approaches, the concepts of circular economy and sustainability -two of the world’s emerging trends- have been discussed both nationally and internationally since the last quarter of the 20th century, and have gained increased theoretical and practical focus since the beginning of the 21st century. The transition from a linear to a circular economy represents a shift from a traditional to a new economic, social, and environmental paradigm. While this transition presents opportunities such as increased efficiency, waste reduction, the emergence of substitute resources, and new employment areas, it also brings challenges </w:t>
      </w:r>
    </w:p>
    <w:p>
      <w:pPr>
        <w:pStyle w:val="Heading2"/>
      </w:pPr>
      <w:r>
        <w:t>555.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2025:</w:t>
      </w:r>
      <w:r>
        <w:t xml:space="preserve"> Cancer burden in Europe: a systematic analysis of the GLOBOCAN database (2022) — https://doi.org/10.1186/s12885-025-13862-1</w:t>
      </w:r>
    </w:p>
    <w:p>
      <w:pPr/>
      <w:r>
        <w:rPr>
          <w:b/>
        </w:rPr>
        <w:t>Shared claim-specific concepts:</w:t>
      </w:r>
      <w:r>
        <w:t xml:space="preserve"> need, common, strategies;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2024:</w:t>
      </w:r>
      <w:r>
        <w:t xml:space="preserve"> Investigating the heterogeneity within Wild bird indices in Europe — https://doi.org/10.1016/j.biocon.2024.110452</w:t>
      </w:r>
    </w:p>
    <w:p>
      <w:pPr/>
      <w:r>
        <w:rPr>
          <w:b/>
        </w:rPr>
        <w:t>Shared claim-specific concepts:</w:t>
      </w:r>
      <w:r>
        <w:t xml:space="preserve"> within, common, between;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European Integration and Globalisation of Ukraine's Digital Economy: Strategic Directions and Prospects — https://doi.org/10.56294/sctconf2024.656</w:t>
      </w:r>
    </w:p>
    <w:p>
      <w:pPr/>
      <w:r>
        <w:rPr>
          <w:b/>
        </w:rPr>
        <w:t>Shared claim-specific concepts:</w:t>
      </w:r>
      <w:r>
        <w:t xml:space="preserve"> directions, need, solutions, strategies; EU scope visible. This is a provisional connection, not an outcome finding.</w:t>
      </w:r>
    </w:p>
    <w:p>
      <w:pPr>
        <w:pStyle w:val="SourceNote"/>
      </w:pPr>
      <w:r>
        <w:rPr>
          <w:b/>
        </w:rPr>
        <w:t>Available abstract (not full text):</w:t>
      </w:r>
      <w:r>
        <w:t xml:space="preserve"> This article examines the digital transformation of Ukraine's economy through European integration. It highlights prospects for digitalization, including economic growth, innovation, and strengthened ties with the EU, alongside challenges such as public sector inefficiencies, investment risks, and slow reforms. Digitalization is emphasized as a driver of innovative development and a foundation for economic cooperation with the EU. The study combines expert analysis from SCOPUS, Web of Science, and Ukrainian data (2019–2023) to evaluate conditions, risks, and opportunities. Key findings include the need for enhanced investor protections, alignment with EU standards, and personalized digital strategies to reduce risks and promote growth. Despite progress, gaps remain in public sector digitalization, governance, and technology adoption. Addressing these issues can unlock Ukraine's digital potential, boosting competitiveness and integration into the EU market. The research proposes a tailored framework for implementing digital transformation, emphasizing flexibility, efficiency, and personalized solutions. These advancements aim to strengthen Ukraine's global market position and ensure sustainable economic growth</w:t>
      </w:r>
    </w:p>
    <w:p>
      <w:pPr/>
      <w:r>
        <w:rPr>
          <w:b/>
        </w:rPr>
        <w:t>POSSIBLE 2024:</w:t>
      </w:r>
      <w:r>
        <w:t xml:space="preserve"> MIGRATION POLICY DIRECTIONS OF THE EUROPEAN UNION FOR FOREIGN SKILLED WORKERS: SUPRANATIONAL LEVEL — https://doi.org/10.35678/2539-5645.1(44).2024.50-57</w:t>
      </w:r>
    </w:p>
    <w:p>
      <w:pPr/>
      <w:r>
        <w:rPr>
          <w:b/>
        </w:rPr>
        <w:t>Shared claim-specific concepts:</w:t>
      </w:r>
      <w:r>
        <w:t xml:space="preserve"> directions, within, between; EU scope visible. This is a provisional connection, not an outcome finding.</w:t>
      </w:r>
    </w:p>
    <w:p>
      <w:pPr>
        <w:pStyle w:val="SourceNote"/>
      </w:pPr>
      <w:r>
        <w:rPr>
          <w:b/>
        </w:rPr>
        <w:t>Available abstract (not full text):</w:t>
      </w:r>
      <w:r>
        <w:t xml:space="preserve"> The innovative development of the economies of the European Union continuously increases the demand for skilled professionals, which cannot be met solely through internal labor resources (intra-European mobility). In this regard, labor migration, particularly the stimulation of the influx of foreign skilled workers, plays a vital role in addressing the imbalance of supply and demand in the European labor market. This article examines the migration policy instruments of the European Union, applied at the supranational level and aimed at mitigating the imbalance between the growing demand for skilled professionals and the limited supply in the regional labor market. It argues that the overall vector of the EU's migration policy, as an integration union, is oriented towards attracting and accumulating potential (foreign students, interns, doctoral candidates) and actual skilled professionals within its territory, in line with the current and future needs of the European labor market, thereby contributing to the achievement of the strategic goals of the social, economic, and innovative development of the EU.</w:t>
      </w:r>
    </w:p>
    <w:p>
      <w:pPr/>
      <w:r>
        <w:rPr>
          <w:b/>
        </w:rPr>
        <w:t>POSSIBLE 2024:</w:t>
      </w:r>
      <w:r>
        <w:t xml:space="preserve"> Migration Crisis in the European Union: Origins, Consequences... and Directions of Change in Asylum Law — https://doi.org/10.4467/24497800rap.24.013.20231</w:t>
      </w:r>
    </w:p>
    <w:p>
      <w:pPr/>
      <w:r>
        <w:rPr>
          <w:b/>
        </w:rPr>
        <w:t>Shared claim-specific concepts:</w:t>
      </w:r>
      <w:r>
        <w:t xml:space="preserve"> directions, within, pressing; EU scope visible. This is a provisional connection, not an outcome finding.</w:t>
      </w:r>
    </w:p>
    <w:p>
      <w:pPr>
        <w:pStyle w:val="SourceNote"/>
      </w:pPr>
      <w:r>
        <w:rPr>
          <w:b/>
        </w:rPr>
        <w:t>Available abstract (not full text):</w:t>
      </w:r>
      <w:r>
        <w:t xml:space="preserve"> The European Union (EU) has faced a significant migration crisis over the past decade, driven by conflicts, economic disparities, and environmental changes. This paper examines the origins of the migration crisis, its consequences for the EU, and the subsequent changes in asylum law. By analyzing policy responses and their effectiveness, the paper aims to provide insights into the future directions of asylum law in the EU. The migration crisis in the European Union has been one of the most pressing challenges of the 21st century. This crisis, which peaked in 2015, has seen millions of people seeking refuge in Europe due to wars, persecution, and poverty in their home countries. The influx has strained the EU’s asylum systems, exposed weaknesses in its migration policies, and sparked political and social tensions across member states. This paper aims to analyze the origins of this crisis, its multifaceted consequences and the evolving legal framework for asylum within the EU.</w:t>
      </w:r>
    </w:p>
    <w:p>
      <w:pPr/>
      <w:r>
        <w:rPr>
          <w:b/>
        </w:rPr>
        <w:t>POSSIBLE 2024:</w:t>
      </w:r>
      <w:r>
        <w:t xml:space="preserve"> Lessons from Open Science across European Universities: policies, practices, and future directions — https://doi.org/10.2218/eor.2024.9642</w:t>
      </w:r>
    </w:p>
    <w:p>
      <w:pPr/>
      <w:r>
        <w:rPr>
          <w:b/>
        </w:rPr>
        <w:t>Shared claim-specific concepts:</w:t>
      </w:r>
      <w:r>
        <w:t xml:space="preserve"> directions, within, common, solutions; EU scope visible. This is a provisional connection, not an outcome finding.</w:t>
      </w:r>
    </w:p>
    <w:p>
      <w:pPr>
        <w:pStyle w:val="SourceNote"/>
      </w:pPr>
      <w:r>
        <w:rPr>
          <w:b/>
        </w:rPr>
        <w:t>Available abstract (not full text):</w:t>
      </w:r>
      <w:r>
        <w:t xml:space="preserve"> Open Science, which encompasses all scholarly disciplines, is increasingly recognised as a core feature of academic practice: it has the potential to improve the accessibility and integrity of academic outputs, as well as the culture within which academics work to pursue these. However, this recognition is neither equal nor universal across institutions and countries: open science policies, support, practices, and recognition are more advanced in some regions than others, which poses both challenges and opportunities. A challenge is to demonstrate the many benefits to those institutions and regions that are not yet recognising and embracing the potential of open science. An opportunity is to learn from the different structures and approaches that are being taken so that we can identify common challenges, best-practice solutions, and future opportunities. This talk focused on open science policies and practices among members of LERU (the League of European Research Universities) and their host nations. While Europe is at the vanguard of open science, there are many differences in the approaches taken among European universities and countries. Considering these differences will help to identify ways in which we can best realise the potential of open science.</w:t>
      </w:r>
    </w:p>
    <w:p>
      <w:pPr/>
      <w:r>
        <w:rPr>
          <w:b/>
        </w:rPr>
        <w:t>POSSIBLE 2024:</w:t>
      </w:r>
      <w:r>
        <w:t xml:space="preserve"> High pathogenic avian influenza A(H5) viruses of clade 2.3.4.4b in Europe—Why trends of virus evolution are more difficult to predict — https://doi.org/10.1093/ve/veae027</w:t>
      </w:r>
    </w:p>
    <w:p>
      <w:pPr/>
      <w:r>
        <w:rPr>
          <w:b/>
        </w:rPr>
        <w:t>Shared claim-specific concepts:</w:t>
      </w:r>
      <w:r>
        <w:t xml:space="preserve"> varying, within, demonstrated; EU scope visible. This is a provisional connection, not an outcome finding.</w:t>
      </w:r>
    </w:p>
    <w:p>
      <w:pPr>
        <w:pStyle w:val="SourceNote"/>
      </w:pPr>
      <w:r>
        <w:rPr>
          <w:b/>
        </w:rPr>
        <w:t>Available abstract (not full text):</w:t>
      </w:r>
      <w:r>
        <w:t xml:space="preserve"> Since 2016, A(H5Nx) high pathogenic avian influenza (HPAI) virus of clade 2.3.4.4b has become one of the most serious global threats not only to wild and domestic birds, but also to public health. In recent years, important changes in the ecology, epidemiology, and evolution of this virus have been reported, with an unprecedented global diffusion and variety of affected birds and mammalian species. After the two consecutive and devastating epidemic waves in Europe in 2020-2021 and 2021-2022, with the second one recognized as one of the largest epidemics recorded so far, this clade has begun to circulate endemically in European wild bird populations. This study used the complete genomes of 1,956 European HPAI A(H5Nx) viruses to investigate the virus evolution during this varying epidemiological outline. We investigated the spatiotemporal patterns of A(H5Nx) virus diffusion to/from and within Europe during the 2020-2021 and 2021-2022 epidemic waves, providing evidence of ongoing changes in transmission dynamics and disease epidemiology. We demonstrated the high genetic diversity of the circulating viruses, which have undergone frequent reassortment events, providing for the first time a complete overview and a proposed nomenclature of the multiple genotypes circulating in Europe in 2020-2022. We described the emergence of a new genotype with gull adapted genes, which offered the </w:t>
      </w:r>
    </w:p>
    <w:p>
      <w:pPr>
        <w:pStyle w:val="Heading2"/>
      </w:pPr>
      <w:r>
        <w:t>556.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2025:</w:t>
      </w:r>
      <w:r>
        <w:t xml:space="preserve"> Signalling Questions in the Recovery and Resilience Dialogues: What MEPs Ask When They Are Not Asking for Accountability — https://doi.org/10.1111/jcms.70063</w:t>
      </w:r>
    </w:p>
    <w:p>
      <w:pPr/>
      <w:r>
        <w:rPr>
          <w:b/>
        </w:rPr>
        <w:t>Shared claim-specific concepts:</w:t>
      </w:r>
      <w:r>
        <w:t xml:space="preserve"> ask, extent, union; EU scope visible. This is a provisional connection, not an outcome finding.</w:t>
      </w:r>
    </w:p>
    <w:p>
      <w:pPr>
        <w:pStyle w:val="SourceNote"/>
      </w:pPr>
      <w:r>
        <w:rPr>
          <w:b/>
        </w:rPr>
        <w:t>Available abstract (not full text):</w:t>
      </w:r>
      <w:r>
        <w:t xml:space="preserve"> Abstract Parliamentary questions are often seen as instruments of executive accountability. Yet in the European Parliament's (EP's) Recovery and Resilience Dialogues, many questions appear to pursue alternative purposes. This article addresses this gap by asking: to what extent do Members of the European Parliament (MEPs) utilise parliamentary dialogues for purposes beyond accountability, and how do these alternative purposes manifest in their questions? To answer this, it introduces the concept of signalling questions – forward‐looking and expressive interventions that aim to influence policy debates, demonstrate responsiveness to different publics or assert the EP's institutional role. Based on a qualitative content analysis of 447 questions raised between 2021 and 2024, the article identifies three principal signalling purposes: policy‐seeking, vote‐seeking and power‐seeking. Policy‐seeking questions were the most prominent, particularly amongst centre‐left and pro‐integrationist MEPs. Vote‐seeking questions reflected both supranational and national concerns, especially in contexts of contested implementation. Power‐seeking questions were comparatively rare, suggesting a more cautious performance of the EP's institutional role. These questions complement, rather than replace, accountability‐seeking. The findings contribute to research on parliamentary behaviour, representati</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r>
        <w:rPr>
          <w:b/>
        </w:rPr>
        <w:t>POSSIBLE 2023:</w:t>
      </w:r>
      <w:r>
        <w:t xml:space="preserve"> Environmental Accounting in the European Accounting Review : A Reflection — https://doi.org/10.1080/09638180.2023.2254351</w:t>
      </w:r>
    </w:p>
    <w:p>
      <w:pPr/>
      <w:r>
        <w:rPr>
          <w:b/>
        </w:rPr>
        <w:t>Shared claim-specific concepts:</w:t>
      </w:r>
      <w:r>
        <w:t xml:space="preserve"> ways, extent, targets; EU scope visible. This is a provisional connection, not an outcome finding.</w:t>
      </w:r>
    </w:p>
    <w:p>
      <w:pPr>
        <w:pStyle w:val="SourceNote"/>
      </w:pPr>
      <w:r>
        <w:rPr>
          <w:b/>
        </w:rPr>
        <w:t>Available abstract (not full text):</w:t>
      </w:r>
      <w:r>
        <w:t xml:space="preserve"> We reflect upon how European Accounting Review has conceived of environmental accounting (and to some extent social/sustainability accounting work) over its 30-year history, with the aim of discussing ways in which environmental accounting research can further develop, both within and beyond this journal.After outlining the broader social and ecological context from which environmental accounting has emerged (and noting that this context is evolving in substantive ways), we provide an overview of the types of research published in EAR.We combine these elements to identify three themes that we argue are critical for the direction of future research: the financial materiality of ecological issues and the impact this has on risk; how environmental accounting practices are constructed; and how a new relationship between nature and society may affect accounting practices.We finally conclude by envisioning a future of environmental accounting research that dovetails with the sustainability ambitions that can be draw from an examination of the detailed targets that underpin the Sustainable Development Goals.</w:t>
      </w:r>
    </w:p>
    <w:p>
      <w:pPr>
        <w:pStyle w:val="Heading2"/>
      </w:pPr>
      <w:r>
        <w:t>557.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2026:</w:t>
      </w:r>
      <w:r>
        <w:t xml:space="preserve"> Craftwork in Small-Scale Societies of the Central European Bronze Age — https://doi.org/10.1017/9781009611251</w:t>
      </w:r>
    </w:p>
    <w:p>
      <w:pPr/>
      <w:r>
        <w:rPr>
          <w:b/>
        </w:rPr>
        <w:t>Shared claim-specific concepts:</w:t>
      </w:r>
      <w:r>
        <w:t xml:space="preserve"> practices, both, societies; EU scope visible. This is a provisional connection, not an outcome finding.</w:t>
      </w:r>
    </w:p>
    <w:p>
      <w:pPr>
        <w:pStyle w:val="SourceNote"/>
      </w:pPr>
      <w:r>
        <w:rPr>
          <w:b/>
        </w:rPr>
        <w:t>Available abstract (not full text):</w:t>
      </w:r>
      <w:r>
        <w:t xml:space="preserve"> The Element examines various facets of craftwork in small-scale societies that thrived in much of Central Europe during the Bronze Age (2300–800 BCE). These societies exhibited distinct structures and types of social bonds that formed the social and spatial backdrop for craft practices. Since most Bronze Age villages were inhabited by small groups, all forms of crafting were at least partially communal, fostering the exchange of experiences, skills, and knowledge both within and across different production areas. The public nature of crafting practices also encouraged discussions about applied tools, methods, skills, and the quality of the final products. The author explores overarching questions about communication and knowledge transfer within and beyond small groups, drawing on archaeological and ethnographic data. This includes considerations of standardization, personalization, imitation, seasonality, and cross-crafting. This title is also available as Open Access on Cambridge Core.</w:t>
      </w:r>
    </w:p>
    <w:p>
      <w:pPr/>
      <w:r>
        <w:rPr>
          <w:b/>
        </w:rPr>
        <w:t>POSSIBLE 2026:</w:t>
      </w:r>
      <w:r>
        <w:t xml:space="preserve"> European Society of Cardiology (ESC) Core Curriculum for the Cardiologist: 2026 update — https://doi.org/10.1093/eurheartj/ehag521</w:t>
      </w:r>
    </w:p>
    <w:p>
      <w:pPr/>
      <w:r>
        <w:rPr>
          <w:b/>
        </w:rPr>
        <w:t>Shared claim-specific concepts:</w:t>
      </w:r>
      <w:r>
        <w:t xml:space="preserve"> society, digital, process; EU scope visible. This is a provisional connection, not an outcome finding.</w:t>
      </w:r>
    </w:p>
    <w:p>
      <w:pPr>
        <w:pStyle w:val="SourceNote"/>
      </w:pPr>
      <w:r>
        <w:rPr>
          <w:b/>
        </w:rPr>
        <w:t>Available abstract (not full text):</w:t>
      </w:r>
      <w:r>
        <w:t xml:space="preserve"> This 2026 update of the European Society of Cardiology (ESC) Core Curriculum for the Cardiologist reflects contemporary and emerging requirements for the practice of cardiology and the resulting training needs. The document has three main parts:Section 1 outlining the main training requirements and their presentation in entrustable professional activities (EPAs).Section 2 explaining the requirements for training centres.Section 3 outlining the general skills, knowledge, and attitudes required in cardiology (chapter 1) - and eight chapters outlining EPAs in the different areas of cardiology (chapter 2 to 9). This update has been written over 9 months in a iterative process, involving over 90 representatives as per the initial curriculum, similar to that used for the previous iteration of the core curriculum in 2020. Though much of the 2020 core curriculum remains relevant and unchanged, there was a clear need to amend this previous curriculum to reflect the expanding roles of some areas of cardiology such as data science, digital health, and artificial intelligence. These items have now been specifically included along with general updates to various clinical EPAs due to changes in practice or evidence base.</w:t>
      </w:r>
    </w:p>
    <w:p>
      <w:pPr/>
      <w:r>
        <w:rPr>
          <w:b/>
        </w:rPr>
        <w:t>POSSIBLE 2026:</w:t>
      </w:r>
      <w:r>
        <w:t xml:space="preserve"> The role of climate and migration concerns in shaping personal economic insecurity in European societies — https://doi.org/10.1016/j.erss.2026.104533</w:t>
      </w:r>
    </w:p>
    <w:p>
      <w:pPr/>
      <w:r>
        <w:rPr>
          <w:b/>
        </w:rPr>
        <w:t>Shared claim-specific concepts:</w:t>
      </w:r>
      <w:r>
        <w:t xml:space="preserve"> both, societies; EU scope visible. This is a provisional connection, not an outcome finding.</w:t>
      </w:r>
    </w:p>
    <w:p>
      <w:pPr>
        <w:pStyle w:val="SourceNote"/>
      </w:pPr>
      <w:r>
        <w:rPr>
          <w:b/>
        </w:rPr>
        <w:t>Available abstract (not full text):</w:t>
      </w:r>
      <w:r>
        <w:t xml:space="preserve"> This study investigates how perceptions of societal threats, specifically climate change and migration, influence subjective economic insecurity across eleven European countries (Austria, Belgium, Czechia, Finland, France, Hungary, Iceland, Poland, Portugal, Slovenia, and the United Kingdom). The selection of countries was based on data availability within the European Social Survey (ESS) ERIC CRONOS-3 Wave 2 survey design. Nonetheless, the sample reflects significant institutional diversity across welfare regimes, labour market structures, and political discourse environments: Nordic social-democratic regimes; continental corporatist systems; post-socialist transitions; and liberal-leaning contexts. We formulate a composite measure of economic insecurity that encompasses concerns about maintaining living standards, managing financial shocks, and future economic prospects. Perceived climate and migration threats are operationalised as separate multi-item indices. Results reveal that both threat domains independently increase economic insecurity, controlling for income, age, education, and gender. Interaction models demonstrate systematic variation across socioeconomic strata, with lower-income and less-educated groups exhibiting heightened sensitivity to threat perceptions. Cross-national analysis shows substantial variation, suggesting that institutional contexts—particularly </w:t>
      </w:r>
    </w:p>
    <w:p>
      <w:pPr/>
      <w:r>
        <w:rPr>
          <w:b/>
        </w:rPr>
        <w:t>POSSIBLE 2025:</w:t>
      </w:r>
      <w:r>
        <w:t xml:space="preserve"> Management of epithelial precancerous conditions and early neoplasia of the stomach (MAPS III): European Society of Gastrointestinal Endoscopy (ESGE), European Helicobacter and Microbiota Study Group (EHMSG) and European Society of Pathology (ESP) Guideline update 2025 — https://doi.org/10.1055/a-2529-5025</w:t>
      </w:r>
    </w:p>
    <w:p>
      <w:pPr/>
      <w:r>
        <w:rPr>
          <w:b/>
        </w:rPr>
        <w:t>Shared claim-specific concepts:</w:t>
      </w:r>
      <w:r>
        <w:t xml:space="preserve"> society, both, use, necessary; EU scope visible. This is a provisional connection, not an outcome finding.</w:t>
      </w:r>
    </w:p>
    <w:p>
      <w:pPr>
        <w:pStyle w:val="SourceNote"/>
      </w:pPr>
      <w:r>
        <w:rPr>
          <w:b/>
        </w:rPr>
        <w:t>Available abstract (not full text):</w:t>
      </w:r>
      <w:r>
        <w:t xml:space="preserve"> Main Recommendations At a population level, the European Society of Gastrointestinal Endoscopy (ESGE), the European Helicobacter and Microbiota Study Group (EHMSG), and the European Society of Pathology (ESP) suggest endoscopic screening for gastric cancer (and precancerous conditions) in high-risk regions (age-standardized rate [ASR] &gt; 20 per 100 000 person-years) every 2 to 3 years or, if cost–effectiveness has been proven, in intermediate risk regions (ASR 10–20 per 100 000 person-years) every 5 years, but not in low-risk regions (ASR &lt; 10). ESGE/EHMSG/ESP recommend that irrespective of country of origin, individual gastric risk assessment and stratification of precancerous conditions is recommended for first-time gastroscopy. ESGE/EHMSG/ESP suggest that gastric cancer screening or surveillance in asymptomatic individuals over 80 should be discontinued or not started, and that patients’ comorbidities should be considered when treatment of superficial lesions is planned. ESGE/EHMSG/ESP recommend that a high quality endoscopy including the use of virtual chromoendoscopy (VCE), after proper training, is performed for screening, diagnosis, and staging of precancerous conditions (atrophy and intestinal metaplasia) and lesions (dysplasia or cancer), as well as after endoscopic therapy. VCE should be used to guide the sampling site for biopsies in the case of suspected neoplastic l</w:t>
      </w:r>
    </w:p>
    <w:p>
      <w:pPr/>
      <w:r>
        <w:rPr>
          <w:b/>
        </w:rPr>
        <w:t>POSSIBLE 2025:</w:t>
      </w:r>
      <w:r>
        <w:t xml:space="preserve"> Agroecology Living Labs to transform food systems: a critical review at the science-policy-society nexus in Europe — https://doi.org/10.1080/21683565.2025.2560915</w:t>
      </w:r>
    </w:p>
    <w:p>
      <w:pPr/>
      <w:r>
        <w:rPr>
          <w:b/>
        </w:rPr>
        <w:t>Shared claim-specific concepts:</w:t>
      </w:r>
      <w:r>
        <w:t xml:space="preserve"> both, transformation, foster, process; EU scope visible. This is a provisional connection, not an outcome finding.</w:t>
      </w:r>
    </w:p>
    <w:p>
      <w:pPr>
        <w:pStyle w:val="SourceNote"/>
      </w:pPr>
      <w:r>
        <w:rPr>
          <w:b/>
        </w:rPr>
        <w:t>Available abstract (not full text):</w:t>
      </w:r>
      <w:r>
        <w:t xml:space="preserve"> Agroecology Living Labs (ALL) are a promising approach to support food system transformation toward sustainability. Amid rapid uptake in Europe, we critically review the foundational literature supporting ALL: sustainable transition and innovation theories and the literature on agricultural knowledge and innovation systems to highlight transformative potential. To conduct this review, a diverse team of both social and natural scientists engaged in a co-creation process. We found that transformative ALL: 1) align methods with agroecology principles, 2) utilize place-based transformation approaches, and 3) foster a paradigm shift to participatory knowledge production. We identify seeds of transformation or cross-cutting characteristics across dominant theories and research approaches to fill political space and support transformative ALL. The first seed emphasizes moving beyond technical innovation toward socio-ecological system governance. The second seed promotes developing ALL at the territory/landscape scale as a mediator for open innovation across the science-policy-society nexus. The third seed highlights the transformative potential of inclusive and participatory knowledge production within structures that scale via networks. ALL, if methodically facilitated and supported across decision-making scales, have the potential to usher in a new transformative participatory parad</w:t>
      </w:r>
    </w:p>
    <w:p>
      <w:pPr/>
      <w:r>
        <w:rPr>
          <w:b/>
        </w:rPr>
        <w:t>POSSIBLE 2025:</w:t>
      </w:r>
      <w:r>
        <w:t xml:space="preserve"> European Vision of a Gigabit Society: Evidence from Poland — https://doi.org/10.3390/su17031271</w:t>
      </w:r>
    </w:p>
    <w:p>
      <w:pPr/>
      <w:r>
        <w:rPr>
          <w:b/>
        </w:rPr>
        <w:t>Shared claim-specific concepts:</w:t>
      </w:r>
      <w:r>
        <w:t xml:space="preserve"> society, industry, digital, transformation, use; EU scope visible. This is a provisional connection, not an outcome finding.</w:t>
      </w:r>
    </w:p>
    <w:p>
      <w:pPr>
        <w:pStyle w:val="SourceNote"/>
      </w:pPr>
      <w:r>
        <w:rPr>
          <w:b/>
        </w:rPr>
        <w:t>Available abstract (not full text):</w:t>
      </w:r>
      <w:r>
        <w:t xml:space="preserve"> Digital transformation is a key driver of economic and social growth, with the development of broadband infrastructure and fifth-generation (5G) technologies forming the foundation of the Gigabit Society under the framework of the “Digital Decade of Europe”. Digitization also plays a key role in achieving the Sustainable Development Goals (SDGs), especially SDG 9 (Industry, Innovation and Infrastructure) by contributing to the development of smart cities and improving resource management and citizens’ quality of life. This article critically analyzes Poland’s progress in achieving European digital objectives drawing on European Commission data, especially the Digital Economy and Society Index (DESI). Poland has expanded fiber optic technology (FTTP) and digital public services. However, barriers include limited 5G implementation, low digital skills, and minimal use of advanced technologies in business. The results indicate the need for further regulatory reforms, increased investment, and systemic support for digital education. This article contributes by linking digital policy and technology to sustainable economic and social development in national and European contexts.</w:t>
      </w:r>
    </w:p>
    <w:p>
      <w:pPr/>
      <w:r>
        <w:rPr>
          <w:b/>
        </w:rPr>
        <w:t>POSSIBLE 2025:</w:t>
      </w:r>
      <w:r>
        <w:t xml:space="preserve"> On Heuristic Models, Assumptions, and Parameters — https://doi.org/10.1145/3735562</w:t>
      </w:r>
    </w:p>
    <w:p>
      <w:pPr/>
      <w:r>
        <w:rPr>
          <w:b/>
        </w:rPr>
        <w:t>Shared claim-specific concepts:</w:t>
      </w:r>
      <w:r>
        <w:t xml:space="preserve"> assumptions, society, process; EU scope not established. This is a provisional connection, not an outcome finding.</w:t>
      </w:r>
    </w:p>
    <w:p>
      <w:pPr>
        <w:pStyle w:val="SourceNote"/>
      </w:pPr>
      <w:r>
        <w:rPr>
          <w:b/>
        </w:rPr>
        <w:t>Available abstract (not full text):</w:t>
      </w:r>
      <w:r>
        <w:t xml:space="preserve"> Insightful interdisciplinary collaboration is essential to the principled governance of technology. When such efforts address the interaction between computation and society, they often focus on modeling, the process by which computer scientists formally define problems in order to enable algorithmic solutions. But modeling is a multifaceted and inherently imperfect process. Especially in interdisciplinary work, it often receives uneven scrutiny because of the practical challenges of communicating complex technical details to non-experts. We argue that there is an underappreciated if loose family of obscure and opaque technical caveats, choices, and qualifiers that the social effects of computing can depend just as much on as far more heavily scrutinized modeling choices. These artifacts are often used by researchers to article over the incomplete theoretical foundations of computing or to burden shift responsibility for the impact of normative design decisions. Furthermore, their nuanced technical nature often complicates thorough sociotechnical scrutiny of the discretionary decisions made to manage them. We describe three specific classes of such objects: heuristic models, assumptions, and parameters. We raise six reasons these objects may be hazardous to comprehensive analysis of computing and argue they deserve deliberate consideration as researchers explain scientific work</w:t>
      </w:r>
    </w:p>
    <w:p>
      <w:pPr/>
      <w:r>
        <w:rPr>
          <w:b/>
        </w:rPr>
        <w:t>POSSIBLE 2025:</w:t>
      </w:r>
      <w:r>
        <w:t xml:space="preserve"> Building resilient and creative universities: exploring the new normal for eight universities across Europe — https://doi.org/10.1007/s44217-025-00580-w</w:t>
      </w:r>
    </w:p>
    <w:p>
      <w:pPr/>
      <w:r>
        <w:rPr>
          <w:b/>
        </w:rPr>
        <w:t>Shared claim-specific concepts:</w:t>
      </w:r>
      <w:r>
        <w:t xml:space="preserve"> universities, practices, digital, transformation, foster; EU scope visible. This is a provisional connection, not an outcome finding.</w:t>
      </w:r>
    </w:p>
    <w:p>
      <w:pPr>
        <w:pStyle w:val="SourceNote"/>
      </w:pPr>
      <w:r>
        <w:rPr>
          <w:b/>
        </w:rPr>
        <w:t>Available abstract (not full text):</w:t>
      </w:r>
      <w:r>
        <w:t xml:space="preserve"> Abstract The rapid digital turn tested universities' resilience like never before. New modes of survival and creative actions were required to cope with the COVID-19 crisis and the extreme upheaval of established ways of teaching. While prior research has explored organizational resilience and creativity separately, their interconnection remains underexamined. This study addresses this gap by analyzing 68 interviews with university staff members working at eight European universities (located in Germany, the UK, Austria, and Estonia), investigating the interlink between organizational resilience and creativity during the pandemic and the abrupt uptake of educational technology (EdTech). We identify three organizational practices which illustrate the resilience-creativity nexus: Accumulating, Engaging, and Reassembling. Accumulating refers to universities cultivating resources and support structures, which may fall outside of normal routines, including investing in technical training and didactic support for teachers. Whereas, Engaging includes practices universities undertake to foster institutional exchange to find creative solutions for carrying out emergency remote teaching. Lastly, Reassembling refers to processes in which universities reinvent existing routines and invent new ones, including rethinking time-honoured teaching practices in light of new technological discover</w:t>
      </w:r>
    </w:p>
    <w:p>
      <w:pPr>
        <w:pStyle w:val="Heading2"/>
      </w:pPr>
      <w:r>
        <w:t>558.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climate, including, heat;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WEATHERING THE STORM IN EUROPE: USE OF AI IN CLIMATE ADAPTATION AND CHALLENGES FOR CLIMATE JUSTICE — https://doi.org/10.21492/inuhfd.1732027</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The climate crisis is growing increasingly dire by the day, and its impacts are now significantly affecting vulnerable populations. In this context, climate adaptation and resilience measures are inclined to deploy more and more Artificial Intelligence (AI) driven tools as this technology enables analysis of immense amounts of data in a very short time span, which constitutes an auspicious instrument to understand the consequences of climate change including but not limited to extreme weather conditions, sea level rise, drought and their impact on communities. However, such tools are not free of bias and social risks. This study aims to understand the human rights risk posed by deploying AI tools in climate adaptation in Europe, particularly for vulnerable groups that are disadvantaged in becoming resilient towards climate change impacts. Accordingly, it examines whether international and European regulatory frameworks effectively address these risks. Given this background, the paper proposes certain normative and policy-based solutions to the identified gaps.</w:t>
      </w:r>
    </w:p>
    <w:p>
      <w:pPr/>
      <w:r>
        <w:rPr>
          <w:b/>
        </w:rPr>
        <w:t>POSSIBLE 2024:</w:t>
      </w:r>
      <w:r>
        <w:t xml:space="preserve"> Cooling efficacy of trees across cities is determined by background climate, urban morphology, and tree trait — https://doi.org/10.1038/s43247-024-01908-4</w:t>
      </w:r>
    </w:p>
    <w:p>
      <w:pPr/>
      <w:r>
        <w:rPr>
          <w:b/>
        </w:rPr>
        <w:t>Shared claim-specific concepts:</w:t>
      </w:r>
      <w:r>
        <w:t xml:space="preserve"> background, climate, heat, climates; EU scope not established. This is a provisional connection, not an outcome finding.</w:t>
      </w:r>
    </w:p>
    <w:p>
      <w:pPr>
        <w:pStyle w:val="SourceNote"/>
      </w:pPr>
      <w:r>
        <w:rPr>
          <w:b/>
        </w:rPr>
        <w:t>Available abstract (not full text):</w:t>
      </w:r>
      <w:r>
        <w:t xml:space="preserve"> Abstract Urban planners and other stakeholders often view trees as the ultimate panacea for mitigating urban heat stress; however, their cooling efficacy varies globally and is influenced by three primary factors: tree traits, urban morphology, and climate conditions. This study analyzes 182 studies on the cooling effects of urban trees across 17 climates in 110 global cities or regions. Tree implementation reduces peak monthly temperatures to below 26 °C in 83% of the cities. Trees can lower pedestrian-level temperatures by up to 12 °C through large radiation blockage and transpiration. In tropical, temperate, and continental climates, a mixed-use of deciduous and evergreen trees in open urban morphology provides approximately 0.5 °C more cooling than a single species approach. In arid climates, evergreen species predominate and demonstrate more effective cooling within compact urban morphology. Our study offers context-specific greening guidelines for urban planners to harness tree cooling in the face of global warming.</w:t>
      </w:r>
    </w:p>
    <w:p>
      <w:pPr/>
      <w:r>
        <w:rPr>
          <w:b/>
        </w:rPr>
        <w:t>POSSIBLE 2024:</w:t>
      </w:r>
      <w:r>
        <w:t xml:space="preserve"> Constructing transferable and interpretable machine learning models for black carbon concentrations — https://doi.org/10.1016/j.envint.2024.108449</w:t>
      </w:r>
    </w:p>
    <w:p>
      <w:pPr/>
      <w:r>
        <w:rPr>
          <w:b/>
        </w:rPr>
        <w:t>Shared claim-specific concepts:</w:t>
      </w:r>
      <w:r>
        <w:t xml:space="preserve"> varying, background, concentrations; EU scope visible. This is a provisional connection, not an outcome finding.</w:t>
      </w:r>
    </w:p>
    <w:p>
      <w:pPr>
        <w:pStyle w:val="SourceNote"/>
      </w:pPr>
      <w:r>
        <w:rPr>
          <w:b/>
        </w:rPr>
        <w:t>Available abstract (not full text):</w:t>
      </w:r>
      <w:r>
        <w:t xml:space="preserve"> Black carbon (BC) has received increasing attention from researchers due to its adverse health effects. However, in-situ BC measurements are often not included as a regulated variable in air quality monitoring networks. Machine learning (ML) models have been studied extensively to serve as virtual sensors to complement the reference instruments. This study evaluates and compares three white-box (WB) and four black-box (BB) ML models to estimate BC concentrations, with the focus to show their transferability and interpretability. We train the models with the long-term air pollutant and weather measurements in Barcelona urban background site, and test them in other European urban and traffic sites. Despite the difference in geographical locations and measurement sites, BC correlates the strongest with particle number concentration of accumulation mode (PNacc, r = 0.73–0.85) and nitrogen dioxide (NO2, r = 0.68–0.85) and the weakest with meteorological parameters. Due to its similarity of correlation behaviour, the ML models trained in Barcelona performs prominently at the traffic site in Helsinki (R2 = 0.80–0.86; mean absolute error MAE = 3.90–4.73 %) and at the urban background site in Dresden (R2 = 0.79–0.84; MAE = 4.23–4.82 %). WB models appear to explain less variability of BC than BB models, long short-term memory (LSTM) model of which outperforms the rest of the models. In t</w:t>
      </w:r>
    </w:p>
    <w:p>
      <w:pPr/>
      <w:r>
        <w:rPr>
          <w:b/>
        </w:rPr>
        <w:t>POSSIBLE 2024:</w:t>
      </w:r>
      <w:r>
        <w:t xml:space="preserve"> Climate Change, Air Pollution, African Dust Impacts on Public Health and Sustainability in Europe — https://doi.org/10.1093/eurpub/ckae144.1374</w:t>
      </w:r>
    </w:p>
    <w:p>
      <w:pPr/>
      <w:r>
        <w:rPr>
          <w:b/>
        </w:rPr>
        <w:t>Shared claim-specific concepts:</w:t>
      </w:r>
      <w:r>
        <w:t xml:space="preserve"> varying, climate, heat; EU scope visible. This is a provisional connection, not an outcome finding.</w:t>
      </w:r>
    </w:p>
    <w:p>
      <w:pPr>
        <w:pStyle w:val="SourceNote"/>
      </w:pPr>
      <w:r>
        <w:rPr>
          <w:b/>
        </w:rPr>
        <w:t>Available abstract (not full text):</w:t>
      </w:r>
      <w:r>
        <w:t xml:space="preserve"> Abstract Climate change poses a significant threat to environmental sustainability and public health, leading to extreme weather events, rising sea levels, and biodiversity loss. Research on air pollution from African dust adversely associated with climate change highlights its significant role in trapping heat in the atmosphere and causing heat-related illnesses, cardiovascular disorders, and respiratory ailments. Smog, dust, acid rain, and ozone depletion also negatively impact ecosystems. The methods of the study also include the dynamics of climate change-induced air pollution. The implications for public health and environmental sustainability through GWR modeling and MODIS-NDVI analysis of controlling air pollution are crucial for reducing the climate crisis, safeguarding public health, and maintaining ecosystem sustainability. Results from particulate matter (PM 2.5-10), which consists of tiny particles with varying diameters, can enter the respiratory system through inhalation. This can lead to a diameter of less than 10 μm (PM 2.5-10). According to the relevant legislation, the limit value refers to the daily average value and must not exceed 50 μg/m3. While ozone in the stratosphere serves a protective function against ultraviolet radiation, excessive levels at ground level can be harmful and have been recorded in atmospheric samples ranging from 146.6 μg/m3 up to 702</w:t>
      </w:r>
    </w:p>
    <w:p>
      <w:pPr>
        <w:pStyle w:val="Heading2"/>
      </w:pPr>
      <w:r>
        <w:t>559.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2026:</w:t>
      </w:r>
      <w:r>
        <w:t xml:space="preserve"> NENUPHAR D5.3. Lessons learnt and recommendations to the main regional clusters (first version) — https://doi.org/10.5281/zenodo.19000171</w:t>
      </w:r>
    </w:p>
    <w:p>
      <w:pPr/>
      <w:r>
        <w:rPr>
          <w:b/>
        </w:rPr>
        <w:t>Shared claim-specific concepts:</w:t>
      </w:r>
      <w:r>
        <w:t xml:space="preserve"> first, identify, main, region, resource, management; EU scope visible. This is a provisional connection, not an outcome finding.</w:t>
      </w:r>
    </w:p>
    <w:p>
      <w:pPr>
        <w:pStyle w:val="SourceNote"/>
      </w:pPr>
      <w:r>
        <w:rPr>
          <w:b/>
        </w:rPr>
        <w:t>Available abstract (not full text):</w:t>
      </w:r>
      <w:r>
        <w:t xml:space="preserve"> This deliverable, D5.3 "Lessons Learnt and Recommendations to the Main Regional Clusters (First Version)," builds on the NENUPHAR project's previous work, mostly D2.4 "Best Practices for the Implementation of Governance Models" (Boy &amp; Febrer, 2025), in developing sustainable solutions for nutrient management. Based on the practical experience of NENUPHAR partners gained during tasks 5.1 ("Roll-out of solutions in pilot sites") and 5.2 ("Monitoring and validation of solutions at field level"), this report analyses recommendations for optimizing nutrient management governance across three European river basins: Ebro, Lielupe, and Danube. Task 5.2 involves implementing and monitoring NENUPHAR solutions, gathering data using Key Performance Indicators (KPIs), and engaging with stakeholders. This practical experience directly informed the evaluation and analysis of recommendations from D2.4 Qualitative data from demonstration sites in Spain, Latvia, Lithuania, Slovakia, and Hungary was analysed using a methodology that included feasibility assessment elements to determine the priority and feasibility of each recommendation, identify potential obstacles and solutions, and propose prioritized implementation sequences. The Ebro river basin analysis highlights the need for integrated governance, data platforms, and stakeholder engagement to address nitrate pollution. The Lielupe river b</w:t>
      </w:r>
    </w:p>
    <w:p>
      <w:pPr/>
      <w:r>
        <w:rPr>
          <w:b/>
        </w:rPr>
        <w:t>POSSIBLE 2026:</w:t>
      </w:r>
      <w:r>
        <w:t xml:space="preserve"> First-order homogenization — https://doi.org/10.1017/prm.2026.10125</w:t>
      </w:r>
    </w:p>
    <w:p>
      <w:pPr/>
      <w:r>
        <w:rPr>
          <w:b/>
        </w:rPr>
        <w:t>Shared claim-specific concepts:</w:t>
      </w:r>
      <w:r>
        <w:t xml:space="preserve"> identify, main, terms; EU scope not established. This is a provisional connection, not an outcome finding.</w:t>
      </w:r>
    </w:p>
    <w:p>
      <w:pPr>
        <w:pStyle w:val="SourceNote"/>
      </w:pPr>
      <w:r>
        <w:rPr>
          <w:b/>
        </w:rPr>
        <w:t>Available abstract (not full text):</w:t>
      </w:r>
      <w:r>
        <w:t xml:space="preserve"> We provide a first-order homogenization result for quadratic functionals. In particular, we identify the scaling of the energy and the explicit form of the limiting functional in terms of the first-order correctors. The main novelty of the paper is the use of the dual correspondence between quadratic functionals and PDEs, combined with a refinement of the classical Riemann–Lebesgue lemma.</w:t>
      </w:r>
    </w:p>
    <w:p>
      <w:pPr/>
      <w:r>
        <w:rPr>
          <w:b/>
        </w:rPr>
        <w:t>POSSIBLE 2025:</w:t>
      </w:r>
      <w:r>
        <w:t xml:space="preserve"> Research Trend Analysis in the Field of Self-Driving Labs Using Network Analysis and Topic Modeling — https://doi.org/10.3390/systems13040253</w:t>
      </w:r>
    </w:p>
    <w:p>
      <w:pPr/>
      <w:r>
        <w:rPr>
          <w:b/>
        </w:rPr>
        <w:t>Shared claim-specific concepts:</w:t>
      </w:r>
      <w:r>
        <w:t xml:space="preserve"> first, identify, trends, second; EU scope not established. This is a provisional connection, not an outcome finding.</w:t>
      </w:r>
    </w:p>
    <w:p>
      <w:pPr>
        <w:pStyle w:val="SourceNote"/>
      </w:pPr>
      <w:r>
        <w:rPr>
          <w:b/>
        </w:rPr>
        <w:t>Available abstract (not full text):</w:t>
      </w:r>
      <w:r>
        <w:t xml:space="preserve"> A self-driving lab (SDL) system that automates experimental design, data collection, and analysis using robotics and artificial intelligence (AI) technologies. Its significance has grown substantially in recent years. This study analyzes the overall SDL research trends, examines changes in specific topics, visualizes the relational structure between authors to identify key contributors, and extracts major themes from extensive texts to highlight essential research content. To achieve these objectives, trend analysis, network analysis, and topic modeling were conducted on 352 research papers collected from the Web of Science between 2004 and 2023. To ensure the validity of the topic modeling results, a topic correlation matrix was also performed. The results revealed three key findings. First, SDL research has surged since 2019, driven by advancements in AI technologies, reflecting heightened activity in this field. Second, modern scientific research is advancing with a focus on data-driven approaches, artificial intelligence applications, and experimental optimization through the utilization of SDLs. Third, SDL research exhibits interdisciplinary convergence, encompassing material optimization, biological processes, and AI predictive algorithms. This study underscores the growing importance of SDLs as a research tool across diverse academic disciplines and provides practical in</w:t>
      </w:r>
    </w:p>
    <w:p>
      <w:pPr/>
      <w:r>
        <w:rPr>
          <w:b/>
        </w:rPr>
        <w:t>POSSIBLE 2025:</w:t>
      </w:r>
      <w:r>
        <w:t xml:space="preserve"> A Comparative Trends of Watershed Health and Its Driving Forces — https://doi.org/10.3390/w18010095</w:t>
      </w:r>
    </w:p>
    <w:p>
      <w:pPr/>
      <w:r>
        <w:rPr>
          <w:b/>
        </w:rPr>
        <w:t>Shared claim-specific concepts:</w:t>
      </w:r>
      <w:r>
        <w:t xml:space="preserve"> identify, challenges, trends, driving, forces, water; EU scope not established. This is a provisional connection, not an outcome finding.</w:t>
      </w:r>
    </w:p>
    <w:p>
      <w:pPr>
        <w:pStyle w:val="SourceNote"/>
      </w:pPr>
      <w:r>
        <w:rPr>
          <w:b/>
        </w:rPr>
        <w:t>Available abstract (not full text):</w:t>
      </w:r>
      <w:r>
        <w:t xml:space="preserve"> In recent decades, rapid socioeconomic development and population growth have led to the degradation of river and lake health worldwide, posing severe challenges to watershed ecological management. The growing intensity of land-use has significantly contributed to the accelerated deterioration of aquatic ecosystems. River and lake health assessment has evolved from single-parameter metrics (e.g., water quality) to multidimensional frameworks integrating hydrological, biological, and anthropogenic factors. This research conducted a bibliometric analysis of 1302 publications from 1996 to 2023 in the Web of Science database to identify research trends and hotspots. Results showed that publications exhibited a three-phase growth incubation (1996–2000), expansion (2001–2012), and acceleration (2013–2023), with the U.S., China, and Australia as leading contributors characterized by regionally clustered international collaborations. Research themes have shifted from single water quality parameters to integrated assessments. “Land-use”, “water quality”, and “biotic integrity” have emerged as core hotspots, forming a synergistic assessment framework that combines physicochemical, biological, and socioeconomic factors. The research scale underwent a spatial refinement process from the whole watershed to the buffer zone of rivers and lakes, and land-use effects on aquatic ecosystems vary </w:t>
      </w:r>
    </w:p>
    <w:p>
      <w:pPr/>
      <w:r>
        <w:rPr>
          <w:b/>
        </w:rPr>
        <w:t>POSSIBLE 2025:</w:t>
      </w:r>
      <w:r>
        <w:t xml:space="preserve"> Satisfaction of Portuguese Democracy: Using supervised models to identify their main determinants — https://openalex.org/W7113592057</w:t>
      </w:r>
    </w:p>
    <w:p>
      <w:pPr/>
      <w:r>
        <w:rPr>
          <w:b/>
        </w:rPr>
        <w:t>Shared claim-specific concepts:</w:t>
      </w:r>
      <w:r>
        <w:t xml:space="preserve"> first, identify, main; EU scope not established. This is a provisional connection, not an outcome finding.</w:t>
      </w:r>
    </w:p>
    <w:p>
      <w:pPr>
        <w:pStyle w:val="SourceNote"/>
      </w:pPr>
      <w:r>
        <w:rPr>
          <w:b/>
        </w:rPr>
        <w:t>Available abstract (not full text):</w:t>
      </w:r>
      <w:r>
        <w:t xml:space="preserve"> First and foremost, I would like to thank my supervisors, Professor Patrício Costa and Professor Jorge Valente, for the guidance, valuable feedback</w:t>
      </w:r>
    </w:p>
    <w:p>
      <w:pPr/>
      <w:r>
        <w:rPr>
          <w:b/>
        </w:rPr>
        <w:t>POSSIBLE 2025:</w:t>
      </w:r>
      <w:r>
        <w:t xml:space="preserve"> Meteosat-12 Lightning Imager: first year of observations and the main performance characteristics — https://doi.org/10.5194/ecss2025-152</w:t>
      </w:r>
    </w:p>
    <w:p>
      <w:pPr/>
      <w:r>
        <w:rPr>
          <w:b/>
        </w:rPr>
        <w:t>Shared claim-specific concepts:</w:t>
      </w:r>
      <w:r>
        <w:t xml:space="preserve"> first, main, systems, over; EU scope visible. This is a provisional connection, not an outcome finding.</w:t>
      </w:r>
    </w:p>
    <w:p>
      <w:pPr>
        <w:pStyle w:val="SourceNote"/>
      </w:pPr>
      <w:r>
        <w:rPr>
          <w:b/>
        </w:rPr>
        <w:t>Available abstract (not full text):</w:t>
      </w:r>
      <w:r>
        <w:t xml:space="preserve"> The Meteosat Third Generation (MTG) Lightning Imager (LI) onboard Meteosat-12 satellite is the first geostationary optical lightning detector imaging Europe, Africa, and a large fraction of the Atlantic Ocean. LI detects optical pulses caused by lightning. Optical pulses at cloud tops are produced by the photons emitted by lightning electric discharges within or below clouds that reach cloud tops after multiple scattering. The LI senses this cloud-top light within a 1.9 nm wide band centred on 777 nm, with a 4.5 km resolution at sub-satellite point, and 1 kHz sampling frequency.LI was declared operational on October 31, 2024. The operationally disseminated LI data consists of point data and accumulated data. The point data products are the lightning groups (LGR) and lightning flashes (LFL), containing the times, latitudes, longitudes and optical radiance information of observed lightning groups and flashes. These allow for near real time monitoring and tracking of storm cells, identifying lightning jumps and building up long-term lightning statistics. The three accumulated data products, Accumulated Flashes (AF), Accumulated Flash Area (AFA) and Accumulated Flash Radiance (AFR) provide users with information about the full spatial extent of the observed optical pulses, integrated over 30 seconds. This type of information highlights features like the most active convective cores</w:t>
      </w:r>
    </w:p>
    <w:p>
      <w:pPr>
        <w:pStyle w:val="Heading2"/>
      </w:pPr>
      <w:r>
        <w:t>560.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2026:</w:t>
      </w:r>
      <w:r>
        <w:t xml:space="preserve"> Current Development Megatrends and Perspective Directions of Green Tourism in Azerbaijan — https://doi.org/10.32983/2222-0712-2025-4-33-39</w:t>
      </w:r>
    </w:p>
    <w:p>
      <w:pPr/>
      <w:r>
        <w:rPr>
          <w:b/>
        </w:rPr>
        <w:t>Shared claim-specific concepts:</w:t>
      </w:r>
      <w:r>
        <w:t xml:space="preserve"> megatrends, long-term, potential, regions, current; EU scope not established. This is a provisional connection, not an outcome finding.</w:t>
      </w:r>
    </w:p>
    <w:p>
      <w:pPr>
        <w:pStyle w:val="SourceNote"/>
      </w:pPr>
      <w:r>
        <w:rPr>
          <w:b/>
        </w:rPr>
        <w:t>Available abstract (not full text):</w:t>
      </w:r>
      <w:r>
        <w:t xml:space="preserve"> Green tourism has emerged as a key pillar of sustainable development and an important instrument for economic diversification in many countries. This study examines the contemporary development of green tourism in Azerbaijan, identifies the global megatrends influencing its evolution, and assesses the country’s future strategic directions within the framework of sustainable regional development. The research employs a comparative and qualitative methodological approach. Global trends in green tourism development are compared with Azerbaijan’s national experience, with particular attention given to differences in growth rates between mass tourism and ecotourism, socio-economic outcomes across regions and countries, and institutional approaches to sustainable tourism development. Qualitative thematic analysis is applied to evaluate the socio-economic, cultural, and environmental impacts of green tourism, focusing on employment generation, income diversification, community-based tourism, cultural heritage preservation, and environmental awareness. The findings indicate that green tourism in Azerbaijan demonstrates positive development dynamics and strong alignment with global sustainability trends. The country’s rich natural landscapes, cultural heritage, and supportive policy initiatives create significant opportunities for expanding eco-friendly and nature-based tourism. Green t</w:t>
      </w:r>
    </w:p>
    <w:p>
      <w:pPr/>
      <w:r>
        <w:rPr>
          <w:b/>
        </w:rPr>
        <w:t>POSSIBLE 2026:</w:t>
      </w:r>
      <w:r>
        <w:t xml:space="preserve"> Driving sustainability, resilience, and digitalisation in automotive supply chains: A stochastic maturity model for future-oriented transformation — https://doi.org/10.1016/j.sftr.2026.102185</w:t>
      </w:r>
    </w:p>
    <w:p>
      <w:pPr/>
      <w:r>
        <w:rPr>
          <w:b/>
        </w:rPr>
        <w:t>Shared claim-specific concepts:</w:t>
      </w:r>
      <w:r>
        <w:t xml:space="preserve"> megatrends, driving, potential; EU scope not established. This is a provisional connection, not an outcome finding.</w:t>
      </w:r>
    </w:p>
    <w:p>
      <w:pPr>
        <w:pStyle w:val="SourceNote"/>
      </w:pPr>
      <w:r>
        <w:rPr>
          <w:b/>
        </w:rPr>
        <w:t>Available abstract (not full text):</w:t>
      </w:r>
      <w:r>
        <w:t xml:space="preserve"> Digitalisation, resilience, and sustainability are key drivers of contemporary supply chain transformation, requiring organisations to make strategic decisions under conditions of uncertainty. To support such decisions, this paper presents a stochastic maturity model that supports the assessment, prioritisation, and continuous improvement of SCM and logistics megatrends and trends under uncertainty. The proposed model combines a configurable maturity structure with Stochastic Multicriteria Acceptability Analysis (SMAA) and empirical probability distributions to enable uncertainty-aware prioritisation of transformation initiatives while remaining adaptable to organisation-specific contexts and continuously evolving business environments. To evaluate the proposed assessment methodology in practice, nine of its ten phases were implemented at a passenger car manufacturer using a panel of six experts. The automotive industry was selected because of the complexity of its global supply chains and advanced logistics practices, providing a demanding environment for evaluating the proposed model. The results demonstrate the feasibility of the proposed assessment procedure in a real industrial environment and illustrate its potential to support strategic decision-making, prioritise transformation initiatives, and facilitate sustainability-oriented supply chain transformation under conditi</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r>
        <w:rPr>
          <w:b/>
        </w:rPr>
        <w:t>POSSIBLE 2025:</w:t>
      </w:r>
      <w:r>
        <w:t xml:space="preserve"> Index assessment of the level of development of e-government in Ukraine in relation to world trends — https://doi.org/10.33108/galicianvisnyk_tntu2025.03.167</w:t>
      </w:r>
    </w:p>
    <w:p>
      <w:pPr/>
      <w:r>
        <w:rPr>
          <w:b/>
        </w:rPr>
        <w:t>Shared claim-specific concepts:</w:t>
      </w:r>
      <w:r>
        <w:t xml:space="preserve"> long-term, current, increasingly; EU scope visible. This is a provisional connection, not an outcome finding.</w:t>
      </w:r>
    </w:p>
    <w:p>
      <w:pPr>
        <w:pStyle w:val="SourceNote"/>
      </w:pPr>
      <w:r>
        <w:rPr>
          <w:b/>
        </w:rPr>
        <w:t>Available abstract (not full text):</w:t>
      </w:r>
      <w:r>
        <w:t xml:space="preserve"> Over the past few decades, the public administration sector around the world has been radically changing towards the formation of digital or electronic government. This has served as an important political priority for the effective provision of public services. Currently, the concept of digital government is no longer new, but with the rapid development of information and communication technologies, it is becoming increasingly complex, as the boundaries between physical and digital government are increasingly blurred, and the connections between different sectors are becoming more complex and interconnected. In fact, in the hybrid digital era, an integrated ecosystem of digital government is being formed, that is, a transition from traditional isolated models to more flexible and adaptive network systems that are better able to cope with the current complex needs of society [1]. Periodic large-scale UN reviews of e-government development in the world based on the EGDI Index serve as a solid basis for a detailed analysis of the main trends and national achievements from a global and regional perspective. The materials of these studies indicate that the pace of e-government development in Ukraine in recent years has outpaced both the global and average European ones. This allowed our country to take the highest positions in the ranking for the comprehensive indicator in 2024 – t</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driving, forces, current;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2024:</w:t>
      </w:r>
      <w:r>
        <w:t xml:space="preserve"> Global Megatrends Impacts on the Landscape, Analysis Based on Key Drivers of the Megatrends and Landscape Change: Case Study of Danubian Lowland, Slovakia — https://doi.org/10.2478/eko-2024-0019</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Abstract Global megatrends (GMTs) reshape landscapes worldwide, posing challenges for sustainability. This study delves into the complex interplay between GMTs and landscape changes in the Danube Lowland region of Slovakia, a microcosm of broader trends. Leveraging the concept of representative potential geoecosystems (REPGES), we assess historical landscape transformations and correlate them with key GMT drivers. Results reveal significant urban expansion linked to GMT2, primarily impacting the Bratislava area. Simultaneously, GMT5-driven economic growth manifests in agricultural land expansion and the total loss of one REPGES type. Notably, these changes coincide with a decrease in ecological stability across the region. Spatial analysis further unravels the interplay of GMTs, highlighting areas under intense urban and agricultural pressure. Our findings not only shed light on specific GMT impacts in the Danube Lowland but also offer valuable insights for landscape management across diverse regions facing similar megatrends. By understanding these complex interactions, we can develop informed strategies to navigate the challenges and opportunities presented by a globalized world, promoting sustainable landscapes for the future.</w:t>
      </w:r>
    </w:p>
    <w:p>
      <w:pPr>
        <w:pStyle w:val="Heading2"/>
      </w:pPr>
      <w:r>
        <w:t>561.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2026:</w:t>
      </w:r>
      <w:r>
        <w:t xml:space="preserve"> Sustainability and ESG Performance in Renewable Energy Companies: A Comparative Multiple Case Study of Türkiye and Europe — https://doi.org/10.37241/jatss.2026.159</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Introduction: This study provides a comparative analysis of sustainability performance between Turkish renewable energy companies Aydem, Smart Solar, Galata Wind and European counterparts for the 2020–2022 period. The research addresses the critical gap in understanding how sustainability practices differ between emerging and developed energy markets, and whether convergence trends exist despite structural disparities. Method: The analysis focuses on three key dimensions of corporate sustainability (financial, environmental, and social indicators). Data was compiled from companies' sustainability and activity reports and analyzed using descriptive statistics, comparative indicator analysis, min-max normalization, and the creation of an equally weighted composite ESG index. Results or Findings: The findings reveal significant differences between Turkish and European companies. While European companies demonstrate substantially higher financial capacity and installed power, Turkish companies exhibit rapid growth despite scale limitations. In environmental indicators, although European companies have higher absolute values, normalized data show more efficient carbon and water intensities compared to most Turkish companies. Social indicators reveal persistent gender imbalance across the entire sample, yet European companies demonstrate more systematic training practices and lower a</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2025:</w:t>
      </w:r>
      <w:r>
        <w:t xml:space="preserve"> TOWARDS THE EU NET-ZERO: ENERGY PERFORMANCE CONTRACTINGIN THE EUROPEAN UNION POLICY AND REGULATORY FRAMEWORK — https://doi.org/10.46763/scgw25112g203c</w:t>
      </w:r>
    </w:p>
    <w:p>
      <w:pPr/>
      <w:r>
        <w:rPr>
          <w:b/>
        </w:rPr>
        <w:t>Shared claim-specific concepts:</w:t>
      </w:r>
      <w:r>
        <w:t xml:space="preserve"> revision, energy, performance, directive; EU scope visible. This is a provisional connection, not an outcome finding.</w:t>
      </w:r>
    </w:p>
    <w:p>
      <w:pPr>
        <w:pStyle w:val="SourceNote"/>
      </w:pPr>
      <w:r>
        <w:rPr>
          <w:b/>
        </w:rPr>
        <w:t>Available abstract (not full text):</w:t>
      </w:r>
      <w:r>
        <w:t xml:space="preserve"> As part of the Fit for 55 legislative package, EU member states have committed to ambitious energy efficiency improvements, including a reduction in EU CO2 emissions of at least 55% by 2030, compared to 1990. The Fit for 55 package includes a holistic approach to all areas of economic life. One area that undoubtedly requires intervention is outdated and energy-intensive public infrastructure. Improving energy efficiency requires both adequate legislative and organizational preparation and the provision of financing for specific projects in this area. One means of improving energy efficiency is Energy Performance Contracting (EPC) - which involves the financing, implementation and provision of specific services in multi-year energy savings projects by specialized companies, so-called ESCO (Energy Saving Companies). The revision of the Energy Efficiency Directive of 2023 highlights the exemplary role of the public sector in the energy efficiency improvement process, particularly with regard to buildings and public procurement, as well as with regard to the promotion of Energy Performance Contracts. The paper discusses both the EU policy and legal framework for the implementation of EPC projects, to support and promote the development of this form of implementation and financing of public tasks.</w:t>
      </w:r>
    </w:p>
    <w:p>
      <w:pPr/>
      <w:r>
        <w:rPr>
          <w:b/>
        </w:rPr>
        <w:t>POSSIBLE 2025:</w:t>
      </w:r>
      <w:r>
        <w:t xml:space="preserve"> Zero‐Emission and Zero Demolition: Promoting Conservation Interests Through the Implementation of the Energy Performance of Buildings Directive — https://doi.org/10.17645/up.10631</w:t>
      </w:r>
    </w:p>
    <w:p>
      <w:pPr/>
      <w:r>
        <w:rPr>
          <w:b/>
        </w:rPr>
        <w:t>Shared claim-specific concepts:</w:t>
      </w:r>
      <w:r>
        <w:t xml:space="preserve"> energy, performance, building, directive, epbd, achieve; EU scope visible. This is a provisional connection, not an outcome finding.</w:t>
      </w:r>
    </w:p>
    <w:p>
      <w:pPr>
        <w:pStyle w:val="SourceNote"/>
      </w:pPr>
      <w:r>
        <w:rPr>
          <w:b/>
        </w:rPr>
        <w:t>Available abstract (not full text):</w:t>
      </w:r>
      <w:r>
        <w:t xml:space="preserve"> To achieve “zero‐emission” in buildings, “zero demolition”—keeping existing buildings in use—could be promoted to a greater extent. Continuous use can even prove to be beneficial for climate mitigation as well as for conservation of heritage values in the building stock. The Energy Performance of Buildings Directive (EPBD) has been revised and entered into force in the EU in May 2024. It gives member states the opportunity to adapt several central concepts, with the ultimate objective of achieving a decarbonised building stock by 2050. This study shows how conservation interests are conveyed and taken into account in the earliest stages of the EPBD implementation by two Swedish authorities with responsibility for heritage and built environment. The study aims to identify challenges and opportunities for aligning the implementation with conservation interests. Data have been collected through interviews with involved officials. An agnostic perspective is applied in the analysis, rejecting presumptions of conservation practices being intrinsically sustainable but highlighting the practices’ potential to contribute to sustainability. The new EPBD allows for national implementation in line with conservation interests, which include exemption from energy requirements for heritage buildings and promotion of circularity. Results from this study show that the two authorities focus on t</w:t>
      </w:r>
    </w:p>
    <w:p>
      <w:pPr>
        <w:pStyle w:val="Heading2"/>
      </w:pPr>
      <w:r>
        <w:t>562.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2026:</w:t>
      </w:r>
      <w:r>
        <w:t xml:space="preserve"> A citizen-based assessment of European smart cites using a DP2 index — https://doi.org/10.1038/s41598-026-55659-7</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Construction Cost Index: Political, Economic, and Financial Risk Indices Within the European Continent — https://doi.org/10.3390/su17030917</w:t>
      </w:r>
    </w:p>
    <w:p>
      <w:pPr/>
      <w:r>
        <w:rPr>
          <w:b/>
        </w:rPr>
        <w:t>Shared claim-specific concepts:</w:t>
      </w:r>
      <w:r>
        <w:t xml:space="preserve"> index, also, pandemic; EU scope visible. This is a provisional connection, not an outcome finding.</w:t>
      </w:r>
    </w:p>
    <w:p>
      <w:pPr>
        <w:pStyle w:val="SourceNote"/>
      </w:pPr>
      <w:r>
        <w:rPr>
          <w:b/>
        </w:rPr>
        <w:t>Available abstract (not full text):</w:t>
      </w:r>
      <w:r>
        <w:t xml:space="preserve"> The global construction industry has encountered record growth, especially following the COVID-19 pandemic period, during which the construction industry almost entirely ceased. However, the prices of building materials used by the construction sector have increased rapidly since the COVID-19 pandemic due to interruptions in the supply chain, causing increases in interest rates, inflation rates, and wage rates, as well as changes in tax rates. This has resulted in a contraction of construction activities in the euro area that warrants investigation. The purpose of this study was to empirically evaluate the impacts of political, economic, and financial risks on the cost of construction materials, which have caused a recession in the European economy. In this study, an empirical examination of the long-term equilibrium relationship between the construction cost index and various risk indices associated with politics, economics, and finance across Europe was conducted. This study also explored the construction-led growth hypothesis in the eurozone. Fully Modified Ordinary Least Squares (FMOLSs) and Dynamic Ordinary Least Squares (DOLSs) panel estimation techniques were employed here. The panel regression results were obtained using the FMOLS technique and provided statistically significant elasticity coefficients. The results revealed that the economic risk index was statistically</w:t>
      </w:r>
    </w:p>
    <w:p>
      <w:pPr/>
      <w:r>
        <w:rPr>
          <w:b/>
        </w:rPr>
        <w:t>POSSIBLE 2025:</w:t>
      </w:r>
      <w:r>
        <w:t xml:space="preserve"> Investigating the Effects of Crises and Bilateral Agreements on Moldova's Economic Integration into the European Union Using the Trade Intensity Index Method — https://doi.org/10.55065/intraders.1788830</w:t>
      </w:r>
    </w:p>
    <w:p>
      <w:pPr/>
      <w:r>
        <w:rPr>
          <w:b/>
        </w:rPr>
        <w:t>Shared claim-specific concepts:</w:t>
      </w:r>
      <w:r>
        <w:t xml:space="preserve"> index, also, pandemic; EU scope visible. This is a provisional connection, not an outcome finding.</w:t>
      </w:r>
    </w:p>
    <w:p>
      <w:pPr>
        <w:pStyle w:val="SourceNote"/>
      </w:pPr>
      <w:r>
        <w:rPr>
          <w:b/>
        </w:rPr>
        <w:t>Available abstract (not full text):</w:t>
      </w:r>
      <w:r>
        <w:t xml:space="preserve"> The main objective of this research is to evaluate the bilateral trade and economic relations between Moldova and the European Union (EU) from 2003 to 2023 using the trade intensity index analysis method. It also examines how external events such as the 2008 Global Financial Crisis and the COVID-19 pandemic, as well as bilateral agreements, have impacted Moldova's integration process into the European Union. According to the analysis results, the trade intensity score between the European Union and Moldova is above the world average, with the European Union having nearly twice the trade intensity score compared to Moldova. Positive agreements, such as the European Union Eastern Partnership Program initiated in 2009, have been found to have beneficial effects on Moldova's economic integration with the European Union. On the other hand, external events like the 2008 Global Financial Crisis and the COVID-19 pandemic have been determined to have negative impacts on Moldova's integration into the European Union and its bilateral trade and economic relations. The study indicates that while the EU Eastern Partnership Agreement has positively influenced Moldova's economic integration, the process remains vulnerable to financial crises and global disruptions, underscoring the need for resilient trade policies and strategies to revitalize economic cooperation amid declining trade volumes</w:t>
      </w:r>
    </w:p>
    <w:p>
      <w:pPr/>
      <w:r>
        <w:rPr>
          <w:b/>
        </w:rPr>
        <w:t>POSSIBLE 2025:</w:t>
      </w:r>
      <w:r>
        <w:t xml:space="preserve"> Effectiveness of European Green Deal: Malmquist Index Analysis on 25 EU Countries — https://doi.org/10.5171/2025.4531125</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The aim of the article is to assess the effectiveness of the European Green Deal (EGD) implementation in EU countries. The aim was to be achieved by using the Data Envelopment Analysis (DEA) model. The additional aim is to determine which countries are most effective in achieving the Green Deal goals by analyzing the Malmquist Index. There are only few studies assessing the relative effectiveness of the EGD implementation through a comparative approach. There is a lack of studies assessing the degree of implementation of the Green Deal. There is also no development of the methods by which member states can achieve the main goal of the Green Deal, i.e. a 55% reduction in greenhouse gases by 2030. The small number of studies on the effectiveness of the implementation of the EGD goals was considered as a research gap. The research used the DEA approach to assess the effectiveness of EGD implementation in the 25 EU countries in the period of 2013–2021, using the Eurostat indicators. An outcome-oriented DEA model was developed to examine relative efficiency, and Malmquist Index were calculated, which present the change in technical efficiency and technological changes over the two the same periods in the 25 countries studied. The geometric mean of the Malmquist Index indicates an average increase of around 9% over the period studied. The results reveal significant differences in the</w:t>
      </w:r>
    </w:p>
    <w:p>
      <w:pPr/>
      <w:r>
        <w:rPr>
          <w:b/>
        </w:rPr>
        <w:t>POSSIBLE 2024:</w:t>
      </w:r>
      <w:r>
        <w:t xml:space="preserve"> Soil Quality Index According to Diverse Land Use Systems Across the Europe — https://doi.org/10.1002/ldr.5438</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Soil quality index (SQI) can be an effective parameter to evaluate soil quality based on plant growth and ecosystem services at a large scale. According to the European Commission, around 60%–70% of the European soil is not healthy due to degradation and rapid conversion of land uses; however, detailed studies on soil quality according to different land uses in the entire Europe are very limited. We aimed to develop an SQI using the Land Use and Coverage Area Frame Survey (LUCAS) database for the existing croplands (230 samples), grasslands (53 samples), and woodlands (36 samples) to evaluate the overall soil quality across the continent. A total of five soil variables (sand, organic carbon, electrical conductivity, bacteria, and fungi) were selected for the minimum dataset based on principal component analysis from all 13 variables to avoid redundancy. The relationship between the developed SQI and climatic variables (precipitation and temperature) was also analyzed. We found that croplands had higher SQI (0.45 ± 0.09) than grasslands (0.44 ± 0.09) and woodlands (0.43 ± 0.1), with no significant differences among the land uses (p &gt; 0.05). The spatial analysis revealed higher SQI (&gt; 0.46) in the central part of the EU and lower (&lt; 0.46) in the northern and southwestern EU. The sub‐categorical assessment of land uses showed that broadleaved and mixed woodland had better</w:t>
      </w:r>
    </w:p>
    <w:p>
      <w:pPr>
        <w:pStyle w:val="Heading2"/>
      </w:pPr>
      <w:r>
        <w:t>563.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Defining Ethnic and Migrant Minorities in Survey Research across Europe: Insights from the Ethnic and Migrant Minorities Survey Registry — https://doi.org/10.1186/s40878-026-00564-1</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Abstract Surveys of ethnic and migrant minorities are key sources of data and information on these populations. How such surveys define, identify, and operationalize these target populations is consequential for the findings and inferences resulting from their analysis. This article systematically identifies and assesses the diverse approaches used in these surveys to define and operationalize the studied ethnic and migrant minorities. Through a comprehensive analysis of survey-level metadata from the Ethnic and Migrant Minorities Survey Registry, covering 1,840 national and subnational surveys conducted between 2000 and 2021 across 34 European countries, we examine the survey questions used to classify the target groups, as well as the broader categorizations that they reveal. The paper highlights common practices and emerging trends in defining and operationalizing ethnic and migrant minority populations. The findings also inform future decision-making by survey researchers on how to define and measure ethnic/origin-related concepts.</w:t>
      </w:r>
    </w:p>
    <w:p>
      <w:pPr/>
      <w:r>
        <w:rPr>
          <w:b/>
        </w:rPr>
        <w:t>POSSIBLE 2026:</w:t>
      </w:r>
      <w:r>
        <w:t xml:space="preserve"> The role of osteopathy in public healthcare in Europe — https://openalex.org/W7154884819</w:t>
      </w:r>
    </w:p>
    <w:p>
      <w:pPr/>
      <w:r>
        <w:rPr>
          <w:b/>
        </w:rPr>
        <w:t>Shared claim-specific concepts:</w:t>
      </w:r>
      <w:r>
        <w:t xml:space="preserve"> two, there, data, able;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two, surveys, indicate, collaboration, data, between;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Barriers to Deprescribing Benzodiazepines in Older Adults in a Survey of European Physicians — https://doi.org/10.1001/jamanetworkopen.2024.59883</w:t>
      </w:r>
    </w:p>
    <w:p>
      <w:pPr/>
      <w:r>
        <w:rPr>
          <w:b/>
        </w:rPr>
        <w:t>Shared claim-specific concepts:</w:t>
      </w:r>
      <w:r>
        <w:t xml:space="preserve"> indicate, between, training, other; EU scope visible. This is a provisional connection, not an outcome finding.</w:t>
      </w:r>
    </w:p>
    <w:p>
      <w:pPr>
        <w:pStyle w:val="SourceNote"/>
      </w:pPr>
      <w:r>
        <w:rPr>
          <w:b/>
        </w:rPr>
        <w:t>Available abstract (not full text):</w:t>
      </w:r>
      <w:r>
        <w:t xml:space="preserve"> Importance: The use of benzodiazepine receptor agonists (BZRA) poses serious health risks to older adults. Although several guidelines recommend deprescribing, implementation in clinical practice remains limited. Objective: To identify physicians' barriers to and enablers of deprescribing BZRA in adults aged 65 years and older taking a BZRA for sleep problems; to determine factors associated with hospital physicians' intention to deprescribe BZRA and their self-reported routine BZRA deprescribing. Design, Setting, and Participants: This survey study included hospital physicians and general practitioners (GPs) working across 6 European Countries (Belgium, Greece, Norway, Poland, Spain, and Switzerland) between December 2022 and March 2023. Main Outcomes and Measures: Barriers identification via a 35-item questionnaire based upon the Theoretical Domains Framework (TDF). Responses were categorized as major barriers, moderate barriers, and enablers based on their mean scores. Multivariable logistic regressions were used to identify background characteristics and TDF-based domains associated with hospital physicians' intention to deprescribe and self-reported routine deprescribing. Results: Questionnaires from 240 hospital physicians and 96 GPs were analyzed. Most participants were women: 144 (61.0%) hospital physicians and 52 (54.2%) GPs. In terms of experience, the most common rep</w:t>
      </w:r>
    </w:p>
    <w:p>
      <w:pPr/>
      <w:r>
        <w:rPr>
          <w:b/>
        </w:rPr>
        <w:t>POSSIBLE 2025:</w:t>
      </w:r>
      <w:r>
        <w:t xml:space="preserve"> Management Measures and Trends of Biological Invasions in Europe: A Survey‐Based Assessment of Local Managers — https://doi.org/10.1111/gcb.70028</w:t>
      </w:r>
    </w:p>
    <w:p>
      <w:pPr/>
      <w:r>
        <w:rPr>
          <w:b/>
        </w:rPr>
        <w:t>Shared claim-specific concepts:</w:t>
      </w:r>
      <w:r>
        <w:t xml:space="preserve"> indicate, there, sharing, data, between, other; EU scope visible. This is a provisional connection, not an outcome finding.</w:t>
      </w:r>
    </w:p>
    <w:p>
      <w:pPr>
        <w:pStyle w:val="SourceNote"/>
      </w:pPr>
      <w:r>
        <w:rPr>
          <w:b/>
        </w:rPr>
        <w:t>Available abstract (not full text):</w:t>
      </w:r>
      <w:r>
        <w:t xml:space="preserve"> Biological invasions are a major threat to biodiversity, ecosystem functioning and nature's contributions to people worldwide. However, the effectiveness of invasive alien species (IAS) management measures and the progress toward achieving biodiversity targets remain uncertain due to limited and nonuniform data availability. Management success is usually assessed at a local level and documented in technical reports, often written in languages other than English, which makes such data notoriously difficult to collect at large geographic scales. Here we present the first European assessment of how managers perceive trends in IAS and the effectiveness of management measures to mitigate biological invasions. We developed a structured questionnaire translated into 18 languages and disseminated it to local and regional managers of IAS in Europe. We received responses from 1928 participants from 41 European countries, including 24 European Union (EU) Member States. Our results reveal substantial efforts in IAS monitoring and control, with invasive plants being the primary focus. Yet, there is a general perception of an increase in the numbers, occupied areas, and impacts of IAS across environment and taxonomic groups, particularly plants, over time. This perceived increase is consistent across both EU and non-EU countries, with respondents from EU countries demonstrating more certaint</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benefits, increased, already;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2025:</w:t>
      </w:r>
      <w:r>
        <w:t xml:space="preserve"> Research Note: Estimating Kinship Size of Older Adults in Europe With Models and Surveys — https://doi.org/10.1215/00703370-11961236</w:t>
      </w:r>
    </w:p>
    <w:p>
      <w:pPr/>
      <w:r>
        <w:rPr>
          <w:b/>
        </w:rPr>
        <w:t>Shared claim-specific concepts:</w:t>
      </w:r>
      <w:r>
        <w:t xml:space="preserve"> two, surveys, data, between, each; EU scope visible. This is a provisional connection, not an outcome finding.</w:t>
      </w:r>
    </w:p>
    <w:p>
      <w:pPr>
        <w:pStyle w:val="SourceNote"/>
      </w:pPr>
      <w:r>
        <w:rPr>
          <w:b/>
        </w:rPr>
        <w:t>Available abstract (not full text):</w:t>
      </w:r>
      <w:r>
        <w:t xml:space="preserve"> Measures of kinship size are increasingly common in sociodemographic studies. The size and structure of older adults' kinship networks can be ascertained via direct observation in a social survey or modeled using demographic techniques. Each approach has advantages and disadvantages, but whether the two provide comparable estimates of kinship size is an open question. In this research note, we answer this question using social survey data and demographic models to estimate the size of older adults' kinship networks in 22 European countries. We find an impressively high association between the two approaches, with important variations by the kin type considered. We discuss the reasons for the divergence in the estimates and provide guidance for researchers interested in using either approach to quantify kinship size.</w:t>
      </w:r>
    </w:p>
    <w:p>
      <w:pPr/>
      <w:r>
        <w:rPr>
          <w:b/>
        </w:rPr>
        <w:t>POSSIBLE 2024:</w:t>
      </w:r>
      <w:r>
        <w:t xml:space="preserve"> Mechanical thrombectomy practices in Europe: Insights from a survey of European neuroradiologists from the ESMINT — https://doi.org/10.1177/23969873241286000</w:t>
      </w:r>
    </w:p>
    <w:p>
      <w:pPr/>
      <w:r>
        <w:rPr>
          <w:b/>
        </w:rPr>
        <w:t>Shared claim-specific concepts:</w:t>
      </w:r>
      <w:r>
        <w:t xml:space="preserve"> two, surveys, data, between, training, other; EU scope visible. This is a provisional connection, not an outcome finding.</w:t>
      </w:r>
    </w:p>
    <w:p>
      <w:pPr>
        <w:pStyle w:val="SourceNote"/>
      </w:pPr>
      <w:r>
        <w:rPr>
          <w:b/>
        </w:rPr>
        <w:t>Available abstract (not full text):</w:t>
      </w:r>
      <w:r>
        <w:t xml:space="preserve"> BACKGROUND AND PURPOSE: Mechanical thrombectomy (MT) has revolutionized the prognosis of acute ischemic stroke. Indications for MT are constantly expanding across countries, presenting healthcare professionals, and institutions with the challenge of offering MT to the entire population despite geographic constraints, while also training enough interventional neuroradiologists (INR) for this highly technical-level procedure. We aimed to provide an overview of current European MT practices and organizations in 2021. MATERIALS AND METHODS: Members of the European Society of Minimally Invasive Neurological Therapy (ESMINT) were invited to complete two different online surveys from March to November 2021 to collect data on MT practice. RESULTS: A total of 240 individual responses from INR (from 33 European countries) were received. These included information from 56 thrombectomy-capable stroke centers (TCSC) data (across 26 European countries). The mean number of INR per center was 3.8 ± 1.43, median 4 (IQR, 3-4.5). Half of the centers (28/56, 50.00%) performed less than 150 MT per year. Most INR used a balloon guide catheter in less than 50% of cases (160/240, 66.67%), and limited the number of recanalization attempts to six passes to restore flow (209/240, 87.08%). Additionally, 37.92% of the respondents (91/240, 37.92%) indicated that they already performed MT for distal occlusio</w:t>
      </w:r>
    </w:p>
    <w:p>
      <w:pPr/>
      <w:r>
        <w:rPr>
          <w:b/>
        </w:rPr>
        <w:t>POSSIBLE 2024:</w:t>
      </w:r>
      <w:r>
        <w:t xml:space="preserve"> Current practices in clinical gait analysis in Europe: A comprehensive survey-based study from the European society for movement analysis in adults and children (ESMAC) standard initiative — https://doi.org/10.1016/j.gaitpost.2024.04.014</w:t>
      </w:r>
    </w:p>
    <w:p>
      <w:pPr/>
      <w:r>
        <w:rPr>
          <w:b/>
        </w:rPr>
        <w:t>Shared claim-specific concepts:</w:t>
      </w:r>
      <w:r>
        <w:t xml:space="preserve"> there, collaboration, data, between, training; EU scope visible. This is a provisional connection, not an outcome finding.</w:t>
      </w:r>
    </w:p>
    <w:p>
      <w:pPr>
        <w:pStyle w:val="SourceNote"/>
      </w:pPr>
      <w:r>
        <w:rPr>
          <w:b/>
        </w:rPr>
        <w:t>Available abstract (not full text):</w:t>
      </w:r>
      <w:r>
        <w:t xml:space="preserve"> BACKGROUND: Clinical gait analysis (CGA) is a systematic approach to comprehensively evaluate gait patterns, quantify impairments, plan targeted interventions, and evaluate the impact of interventions. However, international standards for CGA are currently lacking, resulting in various national initiatives. Standards are important to ensure safe and effective healthcare practices and to enable evidence-based clinical decision-making, facilitating interoperability, and reimbursement under national healthcare policies. Collaborative clinical and research work between European countries would benefit from common standards. RESEARCH OBJECTIVE: This study aimed to review the current laboratory practices for CGA in Europe. METHODS: A comprehensive survey was conducted by the European Society for Movement Analysis in Adults and Children (ESMAC), in close collaboration with the European national societies. The survey involved 97 gait laboratories across 16 countries. The survey assessed several aspects related to CGA, including equipment used, data collection, processing, and reporting methods. RESULTS: There was a consensus between laboratories concerning the data collected during CGA. The Conventional Gait Model (CGM) was the most used biomechanical model for calculating kinematics and kinetics. Respondents also reported the use of video recording, 3D motion capture systems, force pl</w:t>
      </w:r>
    </w:p>
    <w:p>
      <w:pPr/>
      <w:r>
        <w:rPr>
          <w:b/>
        </w:rPr>
        <w:t>POSSIBLE 2024:</w:t>
      </w:r>
      <w:r>
        <w:t xml:space="preserve"> A Critical Survey on Fairness Benefits of Explainable AI — https://doi.org/10.1145/3630106.3658990</w:t>
      </w:r>
    </w:p>
    <w:p>
      <w:pPr/>
      <w:r>
        <w:rPr>
          <w:b/>
        </w:rPr>
        <w:t>Shared claim-specific concepts:</w:t>
      </w:r>
      <w:r>
        <w:t xml:space="preserve"> two, benefits, between; EU scope not established. This is a provisional connection, not an outcome finding.</w:t>
      </w:r>
    </w:p>
    <w:p>
      <w:pPr>
        <w:pStyle w:val="SourceNote"/>
      </w:pPr>
      <w:r>
        <w:rPr>
          <w:b/>
        </w:rPr>
        <w:t>Available abstract (not full text):</w:t>
      </w:r>
      <w:r>
        <w:t xml:space="preserve"> In this critical survey, we analyze typical claims on the relationship between explainable AI (XAI) and fairness to disentangle the multidimensional relationship between these two concepts. Based on a systematic literature review and a subsequent qualitative content analysis, we identify seven archetypal claims from 175 scientific articles on the alleged fairness benefits of XAI. We present crucial caveats with respect to these claims and provide an entry point for future discussions around the potentials and limitations of XAI for specific fairness desiderata. Importantly, we notice that claims are often (i) vague and simplistic, (ii) lacking normative grounding, or (iii) poorly aligned with the actual capabilities of XAI. We suggest to conceive XAI not as an ethical panacea but as one of many tools to approach the multidimensional, sociotechnical challenge of algorithmic fairness. Moreover, when making a claim about XAI and fairness, we emphasize the need to be more specific about what kind of XAI method is used, which fairness desideratum it refers to, how exactly it enables fairness, and who is the stakeholder that benefits from XAI.</w:t>
      </w:r>
    </w:p>
    <w:p>
      <w:pPr/>
      <w:r>
        <w:rPr>
          <w:b/>
        </w:rPr>
        <w:t>POSSIBLE 2024:</w:t>
      </w:r>
      <w:r>
        <w:t xml:space="preserve"> How Can Recommender Systems Benefit from Large Language Models: A Survey — https://doi.org/10.1145/3678004</w:t>
      </w:r>
    </w:p>
    <w:p>
      <w:pPr/>
      <w:r>
        <w:rPr>
          <w:b/>
        </w:rPr>
        <w:t>Shared claim-specific concepts:</w:t>
      </w:r>
      <w:r>
        <w:t xml:space="preserve"> two, users, training; EU scope not established. This is a provisional connection, not an outcome finding.</w:t>
      </w:r>
    </w:p>
    <w:p>
      <w:pPr>
        <w:pStyle w:val="SourceNote"/>
      </w:pPr>
      <w:r>
        <w:rPr>
          <w:b/>
        </w:rPr>
        <w:t>Available abstract (not full text):</w:t>
      </w:r>
      <w:r>
        <w:t xml:space="preserve"> With the rapid development of online services and web applications, recommender systems (RS) have become increasingly indispensable for mitigating information overload and matching users’ information needs by providing personalized suggestions over items. Although the RS research community has made remarkable progress over the past decades, conventional recommendation models (CRM) still have some limitations, e.g., lacking open-domain world knowledge, and difficulties in comprehending users’ underlying preferences and motivations. Meanwhile, large language models (LLM) have shown impressive general intelligence and human-like capabilities for various natural language processing (NLP) tasks, which mainly stem from their extensive open-world knowledge, logical and commonsense reasoning abilities, as well as their comprehension of human culture and society. Consequently, the emergence of LLM is inspiring the design of RS and pointing out a promising research direction, i.e., whether we can incorporate LLM and benefit from their common knowledge and capabilities to compensate for the limitations of CRM. In this article, we conduct a comprehensive survey on this research direction, and draw a bird’s-eye view from the perspective of the whole pipeline in real-world RS. Specifically, we summarize existing research works from two orthogonal aspects: where and how to adapt LLM to RS. Fo</w:t>
      </w:r>
    </w:p>
    <w:p>
      <w:pPr>
        <w:pStyle w:val="Heading2"/>
      </w:pPr>
      <w:r>
        <w:t>564.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2026:</w:t>
      </w:r>
      <w:r>
        <w:t xml:space="preserve"> A combinatorial multi-objective optimisation model to support the design of urban renewable energy communities — https://doi.org/10.1016/j.apenergy.2026.127635</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This study proposes a novel optimisation framework for the design of urban renewable energy communities, addressing the challenge of aggregating end users in planning processes hindered by conflicting objectives and the absence of a scenario-based methodology. We developed a computational tool that integrates multi-objective optimisation with multi-criteria decision-making techniques to identify optimal district configurations for urban renewable energy community projects. Specifically, the tool allows the grouping of potential members based on environmental, economic, and technical criteria, across different district scales and multiple scenarios. First, we elaborated a combinatorial optimisation problem based on the set partitioning problem, adapting the framework to numerous non-linear objectives. The algorithm was implemented in Python, combining a customised version of the Non-dominated Sorting Genetic Algorithm II with the k-means clustering algorithm. We incorporated the Technique for Order Preference by Similarity to Ideal Solution to rank the district configurations based on stakeholder preferences. We applied the algorithm to a real-world case study and carried out a comprehensive sensitivity analysis of the model. The proposed methodology enables the identification of optimal end user groupings and the quantification of key performance indicators. This research contr</w:t>
      </w:r>
    </w:p>
    <w:p>
      <w:pPr/>
      <w:r>
        <w:rPr>
          <w:b/>
        </w:rPr>
        <w:t>POSSIBLE 2026:</w:t>
      </w:r>
      <w:r>
        <w:t xml:space="preserve"> From concept to practice: a replication framework for equitable energy transitions in European islands — https://doi.org/10.1007/s40974-026-00426-7</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Abstract The replication of sustainable energy systems is key to accelerating equitable energy transitions in European island communities. This study develops a structured replication methodology for Multi-Energy Systems (MES), introducing the Replication Readiness Index (RRI), a TOPSIS-based tool quantifying both decarbonization potential and distributional justice outcomes. The methodology integrates technical optimization with social equity assessment through six operational steps, ensuring vulnerable populations benefit from rather than bear the costs of energy transitions. The framework is anchored in the structural distinctness of island energy systems, namely grid isolation, sectoral supply-chain fragility, and the demographic over-representation of vulnerable groups, rather than presenting a generic just-transition instrument transferable to any community without translation. In the examined case study, there were identified 87% GHG emissions reduction, 30% overall energy cost decrease, and 81% savings for a local bakery industry through integrated PV-wind-biomass systems. Critically, the approach creates new income streams while concurrently addressing energy poverty among small businesses. The RRI analysis (0.75) provides policymakers with evidence-based metrics for prioritizing investments that achieve both climate and social justice objectives. Practical application</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quantify, energy, climate, neutral, neutrality;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2025:</w:t>
      </w:r>
      <w:r>
        <w:t xml:space="preserve"> Standardizing the Quantification of the Energy Performance Gap in Buildings — https://doi.org/10.26868/25222708.2025.1342</w:t>
      </w:r>
    </w:p>
    <w:p>
      <w:pPr/>
      <w:r>
        <w:rPr>
          <w:b/>
        </w:rPr>
        <w:t>Shared claim-specific concepts:</w:t>
      </w:r>
      <w:r>
        <w:t xml:space="preserve"> objective, energy, various, climate; EU scope visible. This is a provisional connection, not an outcome finding.</w:t>
      </w:r>
    </w:p>
    <w:p>
      <w:pPr>
        <w:pStyle w:val="SourceNote"/>
      </w:pPr>
      <w:r>
        <w:rPr>
          <w:b/>
        </w:rPr>
        <w:t>Available abstract (not full text):</w:t>
      </w:r>
      <w:r>
        <w:t xml:space="preserve"> The Energy Performance Gap (EPG), defined as the discrepancy between simulated and measured energy performance of buildings, presents a significant challenge in the energy efficiency domain. Research on the magnitude of the EPG fails to provide an accurate assessment of its actual size, with claims suggesting that its challegning to make correlations between the extent of the gap and some typical characteristics such as climate, floor space and building type [1]. Moreover, literature indicates that the magnitude may vary for the same building when compared against different baselines, such as compliance models or energy benchmarks, even when using identical measured data.This study aims to address these inconsistencies by proposing a standardized method for quantifying the EPG at both building and system levels. To achieve this objective, a comprehensive literature review will be conducted focused on current challenges related to issues of idenftuing the magnitude by simly making comparisons between simulated and measured energy performance. Furthermore, various energy benchmarks in the UK will be explored which could serve as baselines for comparison against measured energy performance.A novel framework will be developed, encompassing a new definition and quantification method for the EPG at building and system levels. The framework will undergo validation through semi-structu</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climate, objectives;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Quantifying the impacts of policies on compensating for the hard-to-abate emissions of a smart energy city — https://doi.org/10.1016/j.segy.2025.100213</w:t>
      </w:r>
    </w:p>
    <w:p>
      <w:pPr/>
      <w:r>
        <w:rPr>
          <w:b/>
        </w:rPr>
        <w:t>Shared claim-specific concepts:</w:t>
      </w:r>
      <w:r>
        <w:t xml:space="preserve"> quantify, energy, climate, objectives, reach, neutrality; EU scope visible. This is a provisional connection, not an outcome finding.</w:t>
      </w:r>
    </w:p>
    <w:p>
      <w:pPr>
        <w:pStyle w:val="SourceNote"/>
      </w:pPr>
      <w:r>
        <w:rPr>
          <w:b/>
        </w:rPr>
        <w:t>Available abstract (not full text):</w:t>
      </w:r>
      <w:r>
        <w:t xml:space="preserve"> Frontrunner cities have adopted strict climate targets and evaluate a fifth of emissions to be hard-to-abate, requiring compensation for these emissions to reach carbon neutrality. Previous research on smart energy systems has largely neglected this need in local-level analyses. The present article addresses this gap by applying bottom-up energy system modeling in the case of the city of Tampere, Finland. The results quantify trade-offs between the need for transmission line expansion, electricity import, biomass consumption, and the ability to compensate for emissions with bioenergy carbon capture and storage (BECCS) when reaching carbon neutrality. This research finds that the use of an existing biomass-based combined heat and power (bio-CHP) plant with BECCS is limited by the demand for district heating (DH), challenged by individual heat pumps (HPs) and waste heat from the electrofuel production process. However, it is possible to simultaneously maintain some degree of bio-CHP and BECCS in combination with electrofuel production. Additionally, wind power deployment lowers total system cost across scenarios. In this way the city can not only serve abatement goals but also resilience and energy security objectives by virtue of the domestic, renewable-based qualities of biomass, wind and electrofuels. In this way, the city can contribute to policy coherence on the national and</w:t>
      </w:r>
    </w:p>
    <w:p>
      <w:pPr/>
      <w:r>
        <w:rPr>
          <w:b/>
        </w:rPr>
        <w:t>POSSIBLE 2025:</w:t>
      </w:r>
      <w:r>
        <w:t xml:space="preserve"> Quantifying the role of the forest-based bioeconomy in achieving green deal objectives in Latvia — https://doi.org/10.18174/681006</w:t>
      </w:r>
    </w:p>
    <w:p>
      <w:pPr/>
      <w:r>
        <w:rPr>
          <w:b/>
        </w:rPr>
        <w:t>Shared claim-specific concepts:</w:t>
      </w:r>
      <w:r>
        <w:t xml:space="preserve"> objective, quantify, energy, objectives; EU scope visible. This is a provisional connection, not an outcome finding.</w:t>
      </w:r>
    </w:p>
    <w:p>
      <w:pPr>
        <w:pStyle w:val="SourceNote"/>
      </w:pPr>
      <w:r>
        <w:rPr>
          <w:b/>
        </w:rPr>
        <w:t>Available abstract (not full text):</w:t>
      </w:r>
      <w:r>
        <w:t xml:space="preserve"> The global push towards sustainable development and environmental preservation has placed a spotlight on the bioeconomy, particularly the forest-based bioeconomy, as a crucial component in achieving these goals. Forests play an essential role in maintaining ecological balance and providing renewable resources, but also in supporting economic activities. In this context, understanding the contributions of the forest-based bioeconomy to broader sustainability objectives is increasingly important.The focus of this research is on Latvia, a country with a rich and diverse forest ecosystem that plays a critical role in its economy and environmental sustainability. Latvia's forest-based bioeconomy therefore presents a unique case for examining the forest-based bioeconomy.Despite the development of European and domestic action plans, there is a notable lack of quantitative assessment of these initiatives, especially for the forest-based bioeconomy. This leads to potentially suboptimal decision-making by governments, private businesses, and other stakeholders.The objective of this thesis is to quantify the significance of the forest-based bioeconomy and its contribution to achieving the goals outlined in the Green Deal in Latvia. To achieve this objective, the following four research questions have been formulated:1. To explore the ability of Latvia to reduce its dependence on imported </w:t>
      </w:r>
    </w:p>
    <w:p>
      <w:pPr/>
      <w:r>
        <w:rPr>
          <w:b/>
        </w:rPr>
        <w:t>POSSIBLE 2025:</w:t>
      </w:r>
      <w:r>
        <w:t xml:space="preserve"> Comparative Analysis of European TYNDP 2022 and Swiss EP2050+ Energy Transition Pathways by means of Sector Coupled Multi- Energy System Modelling — https://doi.org/10.3929/ethz-c-000797071</w:t>
      </w:r>
    </w:p>
    <w:p>
      <w:pPr/>
      <w:r>
        <w:rPr>
          <w:b/>
        </w:rPr>
        <w:t>Shared claim-specific concepts:</w:t>
      </w:r>
      <w:r>
        <w:t xml:space="preserve"> objective, energy, infrastructure, required, order; EU scope visible. This is a provisional connection, not an outcome finding.</w:t>
      </w:r>
    </w:p>
    <w:p>
      <w:pPr>
        <w:pStyle w:val="SourceNote"/>
      </w:pPr>
      <w:r>
        <w:rPr>
          <w:b/>
        </w:rPr>
        <w:t>Available abstract (not full text):</w:t>
      </w:r>
      <w:r>
        <w:t xml:space="preserve"> The objective of the study was to evaluate a set of scenarios representing different potential evolutions of the European energy system infrastructure by 2050. Each scenario was assessed in terms of the ability of the integrated European energy system to serve its energy demand in 2050 by means of carbon-free resources. Per scenario, the respective utilization of the different energy system components (for energy conversion, storage and transport) was quantified, allowing identification of their respective role in the energy transition. This was achieved by means of a “sector coupled” modeling of the European energy system (i.e., considering the energy flows between different energy carriers, namely electricity, methane and hydrogen), where the total system operation cost was minimized over one year (representing 2050), by means of an optimization software solving an “optimal dispatch” problem in hourly resolution (the FlexECO tool, developed and maintained by FEN). This approach, which corresponds to an ideally efficient operation of the energy markets across Europe, allows to identify, per modeled hourly step, the energy conversions and flows that are required in order to serve the total energy demand, in a continuous manner, over the entire year making the most efficient utilization of the available resources and infrastructure. Operational (dispatch) decisions considered in</w:t>
      </w:r>
    </w:p>
    <w:p>
      <w:pPr>
        <w:pStyle w:val="Heading2"/>
      </w:pPr>
      <w:r>
        <w:t>565.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r>
        <w:rPr>
          <w:b/>
        </w:rPr>
        <w:t>POSSIBLE 2025:</w:t>
      </w:r>
      <w:r>
        <w:t xml:space="preserve"> Implementation evaluation of the SA patient reported measures program, key findings for Commission for Excellence and Innovation in Health — https://openalex.org/W7216623872</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A report outlining the implementation evaluation of the SA patient reported measures program for Commission for Excellence and Innovation in Health.</w:t>
      </w:r>
    </w:p>
    <w:p>
      <w:pPr/>
      <w:r>
        <w:rPr>
          <w:b/>
        </w:rPr>
        <w:t>POSSIBLE 2024:</w:t>
      </w:r>
      <w:r>
        <w:t xml:space="preserve"> National Diabetes Audit: key findings from latest Diabetes in Pregnancy report — https://doi.org/10.1002/pdi.2504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The use of continuous glucose monitoring technology has improved pregnancy outcomes for women with type 1 diabetes, according to the National Pregnancy in Diabetes audit report for the period 2021–2022. However, there were no such gains for women with type 2 diabetes. Steve Chaplin reports.</w:t>
      </w:r>
    </w:p>
    <w:p>
      <w:pPr/>
      <w:r>
        <w:rPr>
          <w:b/>
        </w:rPr>
        <w:t>POSSIBLE 2024:</w:t>
      </w:r>
      <w:r>
        <w:t xml:space="preserve"> Hydrology and Droughts in the Nile: A Review of Key Findings and Implications — https://doi.org/10.3390/w16172521</w:t>
      </w:r>
    </w:p>
    <w:p>
      <w:pPr/>
      <w:r>
        <w:rPr>
          <w:b/>
        </w:rPr>
        <w:t>Shared claim-specific concepts:</w:t>
      </w:r>
      <w:r>
        <w:t xml:space="preserve"> key, findings, large-scale; EU scope not established. This is a provisional connection, not an outcome finding.</w:t>
      </w:r>
    </w:p>
    <w:p>
      <w:pPr>
        <w:pStyle w:val="SourceNote"/>
      </w:pPr>
      <w:r>
        <w:rPr>
          <w:b/>
        </w:rPr>
        <w:t>Available abstract (not full text):</w:t>
      </w:r>
      <w:r>
        <w:t xml:space="preserve"> The Nile Basin has long been the subject of extensive research, reflecting its importance, which spans from its historical role in the development of ancient civilizations to its current significance in supporting rapidly changing socioeconomic conditions of the basin countries. This review synthesizes studies focusing on the past and future climate, hydrologic, and drought outlooks of the basin, and explores the roles played by large-scale atmospheric phenomena and water infrastructure on the basin’s climate and hydrology. Overall, the studies underscore the complexity of the Nile hydrological system and the necessity for improved modeling and data integration. This review serves as a guide to areas warranting further research by highlighting the uncertainties and inconsistencies among the different studies. It underscores the interconnectedness of climatic and hydrological processes in the basin and encourages the use of diverse data sources to address the data scarcity issue and ensemble models to reduce modeling uncertainty in future research. By summarizing the data and modeling resources employed in these studies, this review also provides a valuable resource for future modeling efforts to understand and explore of the basin’s complex climatic and hydrological dynamics.</w:t>
      </w:r>
    </w:p>
    <w:p>
      <w:pPr/>
      <w:r>
        <w:rPr>
          <w:b/>
        </w:rPr>
        <w:t>POSSIBLE 2024:</w:t>
      </w:r>
      <w:r>
        <w:t xml:space="preserve"> Understanding Return: Key Findings, Gaps, and Future Research — https://doi.org/10.47053/jdc.281124</w:t>
      </w:r>
    </w:p>
    <w:p>
      <w:pPr/>
      <w:r>
        <w:rPr>
          <w:b/>
        </w:rPr>
        <w:t>Shared claim-specific concepts:</w:t>
      </w:r>
      <w:r>
        <w:t xml:space="preserve"> key, findings, facilitate; EU scope not established. This is a provisional connection, not an outcome finding.</w:t>
      </w:r>
    </w:p>
    <w:p>
      <w:pPr>
        <w:pStyle w:val="SourceNote"/>
      </w:pPr>
      <w:r>
        <w:rPr>
          <w:b/>
        </w:rPr>
        <w:t>Available abstract (not full text):</w:t>
      </w:r>
      <w:r>
        <w:t xml:space="preserve"> The return of refugees to their home countries is often regarded as a desirable outcome in displacement contexts, enabling individuals to rebuild their lives in familiar environments. Nevertheless, returning home remains challenging and infrequent in many contexts. This note reviews the academic literature to identify key factors influencing refugees’ decisions to return, highlights gaps in current research, and suggests directions for future study. The evidence underscores that safety and security are preconditions for return. Beyond security, factors such as economic stability, property rights, access to services, and psychological and social connections to home communities are critical. The research also identifies challenges after return, including tensions between returnees and those who stayed behind, as well as difficulties with reintegration. Future research should investigate return dynamics from high-income countries, enhance conceptual frameworks for understanding the return processes, and differentiate return experiences for internally displaced persons (IDPs) and refugees. Additional focus is needed on climate-induced displacement, reintegration challenges, and the impact of information gaps on decision-making. Generating better data, including panel datasets, is essential for enabling more rigorous analyses of return dynamics. Addressing these research gaps could </w:t>
      </w:r>
    </w:p>
    <w:p>
      <w:pPr/>
      <w:r>
        <w:rPr>
          <w:b/>
        </w:rPr>
        <w:t>POSSIBLE 2023:</w:t>
      </w:r>
      <w:r>
        <w:t xml:space="preserve"> Introduction to the ESPAUR Webinar and Report 2021–2022: Key Findings and Stakeholder Engagement — https://doi.org/10.3390/msf2022015018</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During the coronavirus (COVID-19) pandemic, we saw significant decreases in the incidence of bloodstream infections (BSIs), antibiotic-resistant infections, and the burden of resistant infections. The reasons for this are complex and multifactorial, but likely, at least in part, due to changes in healthcare delivery and healthcare seeking behavior. As healthcare systems return to pre-pandemic ways of working, now is a pivotal moment to ensure focus remains on what is often referred to as the ‘silent pandemic’: antimicrobial resistance (AMR). The ninth English Surveillance Programme for Antimicrobial Utilization and Resistance (ESPAUR) report provides an overview of the national data on antibiotic prescribing and resistance, antimicrobial stewardship implementation, and awareness activities. The active contribution from and collaboration with the ESPAUR oversight group and the engagement of stakeholder organizations, including the devolved administrations, are also reported. Findings from the ESPAUR report were presented at a webinar on 23 November 2022.</w:t>
      </w:r>
    </w:p>
    <w:p>
      <w:pPr/>
      <w:r>
        <w:rPr>
          <w:b/>
        </w:rPr>
        <w:t>POSSIBLE 2023:</w:t>
      </w:r>
      <w:r>
        <w:t xml:space="preserve"> Hydrogen, a less disruptive pathway for domestic heat? Exploratory findings from public perceptions research — https://doi.org/10.1016/j.clpl.2023.100047</w:t>
      </w:r>
    </w:p>
    <w:p>
      <w:pPr/>
      <w:r>
        <w:rPr>
          <w:b/>
        </w:rPr>
        <w:t>Shared claim-specific concepts:</w:t>
      </w:r>
      <w:r>
        <w:t xml:space="preserve"> key, findings, less, heating; EU scope not established. This is a provisional connection, not an outcome finding.</w:t>
      </w:r>
    </w:p>
    <w:p>
      <w:pPr>
        <w:pStyle w:val="SourceNote"/>
      </w:pPr>
      <w:r>
        <w:rPr>
          <w:b/>
        </w:rPr>
        <w:t>Available abstract (not full text):</w:t>
      </w:r>
      <w:r>
        <w:t xml:space="preserve"> The disruption associated with heat decarbonisation has been identified as a key opportunity for hydrogen technologies in temperate countries and regions, where established distribution infrastructure and familiarity with natural gas boilers predominate. A key element of such claims is the empirically untested belief that citizens will prefer to minimise disruption and perceive hydrogen to be less disruptive than the network upgrades and retrofit measures needed to support electric and other low carbon heating technologies. This article reports on exploratory deliberative research with residents of Cardiff, Wales which examined public perceptions of heating disruptions. Our findings suggest that concerns over public responses to disruption may be overstated, particularly as they relate to construction and road excavation for network upgrade. Disruptions arising from permanent changes to building fabric may be more problematic for heat pump retrofit, however these may be greatly overshadowed by anxieties over the cost implications of moving to hydrogen fuel. Furthermore, the biographical patterning of citizen preferences raises significant questions for hydrogen roll-out strategies relying on regionalised network conversion. We conclude by arguing that far from a non-disruptive alternative to electrification, hydrogen risks being seen as posing substantial disruptions to precari</w:t>
      </w:r>
    </w:p>
    <w:p>
      <w:pPr>
        <w:pStyle w:val="Heading2"/>
      </w:pPr>
      <w:r>
        <w:t>566.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Envirotyping framework for wheat in Europe — https://doi.org/10.1016/j.fcr.2026.110616</w:t>
      </w:r>
    </w:p>
    <w:p>
      <w:pPr/>
      <w:r>
        <w:rPr>
          <w:b/>
        </w:rPr>
        <w:t>Shared claim-specific concepts:</w:t>
      </w:r>
      <w:r>
        <w:t xml:space="preserve"> framework, three, target; EU scope visible. This is a provisional connection, not an outcome finding.</w:t>
      </w:r>
    </w:p>
    <w:p>
      <w:pPr>
        <w:pStyle w:val="SourceNote"/>
      </w:pPr>
      <w:r>
        <w:rPr>
          <w:b/>
        </w:rPr>
        <w:t>Available abstract (not full text):</w:t>
      </w:r>
      <w:r>
        <w:t xml:space="preserve"> Context Wheat production in Europe is increasingly constrained by climatic stressors, particularly heat and drought, which threaten yield stability and genetic gain. To improve environmental characterization in multi-environment trials and support the development of climate-resilient cultivars, we propose a robust envirotyping framework based on a crop model and multivariate analysis. Methods We combined 16 years of data from official Value for Cultivation and Use (VCU) trials across six European countries with simulations from the SiriusQuality process-based crop model. Environmental indices were computed to quantify temperature, water, and radiation stress during critical phenological stages. We evaluated two approaches for environmental characterization. Results and conclusions A principal component analysis of selected indices captured key climatic gradients but generated composite dimensions with limited interpretability for envirotyping applications. In contrast, a simplified method based on three physiologically grounded indices—heat stress, water deficit, and radiation balance—offered greater clarity and biological relevance. K-means clustering applied to these indices delineated discrete and interpretable envirotypes. The analysis revealed consistent low-stress conditions in Alpine regions, frequent combined heat and drought stress in eastern Austria and Hungary, and w</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Climate Policy Feasibility across Europe Relies on the Conditional Middle — https://doi.org/10.31219/osf.io/pnvw8_v3</w:t>
      </w:r>
    </w:p>
    <w:p>
      <w:pPr/>
      <w:r>
        <w:rPr>
          <w:b/>
        </w:rPr>
        <w:t>Shared claim-specific concepts:</w:t>
      </w:r>
      <w:r>
        <w:t xml:space="preserve"> feasibility, climate; EU scope visible. This is a provisional connection, not an outcome finding.</w:t>
      </w:r>
    </w:p>
    <w:p>
      <w:pPr>
        <w:pStyle w:val="SourceNote"/>
      </w:pPr>
      <w:r>
        <w:rPr>
          <w:b/>
        </w:rPr>
        <w:t>Available abstract (not full text):</w:t>
      </w:r>
      <w:r>
        <w:t xml:space="preserve"> Political feasibility of climate policies hinges on persuading the moderate middle of the electorate. A survey evaluates climate policy preferences across 13 EU countries (n=19,328, Summer 2024), identifying `Conditionals', a crucial faction of moderates whose support shifts across 15 climate measures. Conditionals constitute 33\% of Europeans that are active voters for the dominant centrist and centre-right parties. Simulations indicate that even if currently undecided Conditionals simply moved to support, the number of policies with majority backing would more than double (from 4 to 10). Such changes do seem plausible, as Conditionals' preferences hinge less on fixed ideology or demographics, and rather upon things that policymakers can adjust, policy designs and the perceived cost–benefit balances. Overall, our findings emphasize that climate policy success depends on strategic engagement with diverse, moveable constituencies, where tailoring designs with visible benefits offers a pragmatic route to expand the feasibility frontier</w:t>
      </w:r>
    </w:p>
    <w:p>
      <w:pPr/>
      <w:r>
        <w:rPr>
          <w:b/>
        </w:rPr>
        <w:t>POSSIBLE 2025:</w:t>
      </w:r>
      <w:r>
        <w:t xml:space="preserve"> An Acceptability and Feasibility Study of a Nurse‐Led Model of Contraception and Abortion Care in Rural General Practice — https://doi.org/10.1111/jan.16777</w:t>
      </w:r>
    </w:p>
    <w:p>
      <w:pPr/>
      <w:r>
        <w:rPr>
          <w:b/>
        </w:rPr>
        <w:t>Shared claim-specific concepts:</w:t>
      </w:r>
      <w:r>
        <w:t xml:space="preserve"> unique, feasibility, three, preferred; EU scope not established. This is a provisional connection, not an outcome finding.</w:t>
      </w:r>
    </w:p>
    <w:p>
      <w:pPr>
        <w:pStyle w:val="SourceNote"/>
      </w:pPr>
      <w:r>
        <w:rPr>
          <w:b/>
        </w:rPr>
        <w:t>Available abstract (not full text):</w:t>
      </w:r>
      <w:r>
        <w:t xml:space="preserve"> AIM: To assess the acceptability and perceived feasibility of integrating a co-designed nurse-led model of contraception and medication abortion care within rural and regional general practices. DESIGN: Qualitative exploratory design utilising Sidani and Braden's indicators of acceptability and feasibility. METHODS: We conducted semi-structured interviews with 12 practice nurses, 8 general practitioners and 3 practice managers who currently or previously worked in rural, regional or remote general practice. Participants were recruited purposively through social media, partner organisation newsletters and snowballing. During the interview, participants were presented with an overview of the co-designed model of care and asked specific questions to gain feedback on its acceptability and perceived feasibility. Data were analysed in NVivo using template analysis and iterative categorisation. Findings were mapped according to Sidani and Braden's indicators of acceptability and feasibility. RESULTS: Three overarching themes were identified: nurses are acceptable providers, factors influencing the feasibility of the model and factors supporting greater feasibility of the model. Participants found the nurse-led model acceptable, describing nurses as suitable and sometimes preferred providers of long-acting reversible contraception and abortion care in rural and regional settings. They </w:t>
      </w:r>
    </w:p>
    <w:p>
      <w:pPr/>
      <w:r>
        <w:rPr>
          <w:b/>
        </w:rPr>
        <w:t>POSSIBLE 2025:</w:t>
      </w:r>
      <w:r>
        <w:t xml:space="preserve"> Business model framework for end-of-life automotive traction battery recycling — https://doi.org/10.1016/j.procir.2025.02.242</w:t>
      </w:r>
    </w:p>
    <w:p>
      <w:pPr/>
      <w:r>
        <w:rPr>
          <w:b/>
        </w:rPr>
        <w:t>Shared claim-specific concepts:</w:t>
      </w:r>
      <w:r>
        <w:t xml:space="preserve"> unique, framework; EU scope visible. This is a provisional connection, not an outcome finding.</w:t>
      </w:r>
    </w:p>
    <w:p>
      <w:pPr>
        <w:pStyle w:val="SourceNote"/>
      </w:pPr>
      <w:r>
        <w:rPr>
          <w:b/>
        </w:rPr>
        <w:t>Available abstract (not full text):</w:t>
      </w:r>
      <w:r>
        <w:t xml:space="preserve"> The decarbonization of the automotive sector is gaining momentum through battery-based electric mobility. This results in a significant increase in the production of traction batteries that will need to be recycled in the coming years. In addition to the technical challenges of battery recycling, the emerging industry must establish commercial frameworks and business models to operate profitably in the long term. The research methodology employed in this paper is a systematic literature review in combination with a company analysis to identify the various business model categories that have emerged within the context of battery recycling. In particular, the article highlights emerging business models, including those related to the battery passport and recycled materials, which have emerged in response to regulatory initiatives such as the European Battery Directive. This paper contributes mainly through a novel framework for battery recycling business models. The framework enables policy makers to align their regulatory endeavors and industrial players to identify their unique position for successful commercial operations in the emerging industry of lithium-ion automotive traction battery recycling.</w:t>
      </w:r>
    </w:p>
    <w:p>
      <w:pPr/>
      <w:r>
        <w:rPr>
          <w:b/>
        </w:rPr>
        <w:t>POSSIBLE 2025:</w:t>
      </w:r>
      <w:r>
        <w:t xml:space="preserve"> Balancing Innovation and Regulation: Integrating Blockchain into the European Digital Identity Framework — https://doi.org/10.1109/cyber-rci68134.2025.11384865</w:t>
      </w:r>
    </w:p>
    <w:p>
      <w:pPr/>
      <w:r>
        <w:rPr>
          <w:b/>
        </w:rPr>
        <w:t>Shared claim-specific concepts:</w:t>
      </w:r>
      <w:r>
        <w:t xml:space="preserve"> unique, framework, infrastructure; EU scope visible. This is a provisional connection, not an outcome finding.</w:t>
      </w:r>
    </w:p>
    <w:p>
      <w:pPr>
        <w:pStyle w:val="SourceNote"/>
      </w:pPr>
      <w:r>
        <w:rPr>
          <w:b/>
        </w:rPr>
        <w:t>Available abstract (not full text):</w:t>
      </w:r>
      <w:r>
        <w:t xml:space="preserve"> This paper investigates the legal implications of integrating the European Blockchain Services Infrastructure (EBSI) into the European Digital Identity (EUDI) framework. The objective is to assess EBSI's potential to support the EU Digital Identity Wallet and cross-border authentication services through a decentralized, service-oriented blockchain architecture. This research is motivated by the fragmented legal and regulatory landscape across EU Member States, which hinders the seamless implementation of EBSI. In particular, challenges related to interoperability, standardization, and compliance with the General Data Protection Regulation (GDPR) present significant obstacles to the adoption of blockchain-based identity solutions. Despite the European Commission's ambitions to promote secure and trusted digital interactions, existing digital identity frameworks lack sufficient provisions for managing these legal complexities in a decentralized environment. Using descriptive legal research and qualitative content analysis, the study examines EU regulatory texts, EBSI white papers, and international standards such as those from W3C. It also compares self-sovereign identity (SSI) models with traditional digital identity systems to identify critical legal and operational distinctions. Findings reveal that, while EBSI and the emerging Europeum-EDIC initiative signal substantial progr</w:t>
      </w:r>
    </w:p>
    <w:p>
      <w:pPr/>
      <w:r>
        <w:rPr>
          <w:b/>
        </w:rPr>
        <w:t>POSSIBLE 2025:</w:t>
      </w:r>
      <w:r>
        <w:t xml:space="preserve"> Public-Private Partnerships in Traditional Industries: A Comparative Governance Framework for Regional Revitalization in Japan and Central Europe — https://doi.org/10.61093/pgrl.1(1).1-15.2025</w:t>
      </w:r>
    </w:p>
    <w:p>
      <w:pPr/>
      <w:r>
        <w:rPr>
          <w:b/>
        </w:rPr>
        <w:t>Shared claim-specific concepts:</w:t>
      </w:r>
      <w:r>
        <w:t xml:space="preserve"> unique, framework, three; EU scope visible. This is a provisional connection, not an outcome finding.</w:t>
      </w:r>
    </w:p>
    <w:p>
      <w:pPr>
        <w:pStyle w:val="SourceNote"/>
      </w:pPr>
      <w:r>
        <w:rPr>
          <w:b/>
        </w:rPr>
        <w:t>Available abstract (not full text):</w:t>
      </w:r>
      <w:r>
        <w:t xml:space="preserve"> This paper examines how public-private partnerships in traditional industries serve as innovative governance mechanisms for regional revitalization in aging societies. Through comparative analysis of Japanese public-private brewery models and Central European cultural heritage initiatives, a novel theoretical framework (the Traditional Industry Revitalization through Governance Innovation (TIRGI) Framework) is developed. This framework advances existing PPP and public governance theories by specifically addressing how traditional industries can be transformed into instruments of public policy and regulation. Drawing on social capital theory and public value creation perspectives, the analysis reveals three key governance innovations: hybrid institutional arrangements balancing public accountability with market efficiency, multi-stakeholder coordination mechanisms integrating cultural preservation with economic development, and trust-building processes generating both bonding and bridging social capital. The TIRGI Framework demonstrates unique advantages over existing models by integrating public governance principles with cultural heritage management, providing specific regulatory mechanisms for traditional industry PPPs, and offering measurable outcomes across economic, social, cultural, and environmental dimensions. The framework contributes to public administration scholarsh</w:t>
      </w:r>
    </w:p>
    <w:p>
      <w:pPr/>
      <w:r>
        <w:rPr>
          <w:b/>
        </w:rPr>
        <w:t>POSSIBLE 2025:</w:t>
      </w:r>
      <w:r>
        <w:t xml:space="preserve"> A new theoretical framework in the analysis of the European Union’s approach to contemporary terrorist threats — https://doi.org/10.15804/athena.2025.88.01</w:t>
      </w:r>
    </w:p>
    <w:p>
      <w:pPr/>
      <w:r>
        <w:rPr>
          <w:b/>
        </w:rPr>
        <w:t>Shared claim-specific concepts:</w:t>
      </w:r>
      <w:r>
        <w:t xml:space="preserve"> unique, framework, union; EU scope visible. This is a provisional connection, not an outcome finding.</w:t>
      </w:r>
    </w:p>
    <w:p>
      <w:pPr>
        <w:pStyle w:val="SourceNote"/>
      </w:pPr>
      <w:r>
        <w:rPr>
          <w:b/>
        </w:rPr>
        <w:t>Available abstract (not full text):</w:t>
      </w:r>
      <w:r>
        <w:t xml:space="preserve"> Contemporary terrorist threats are characterised by increasing complexity, dynamism, and transnational character, which requires an innovative approach to analysing European Union (EU) security policy. Based on the dominant role of nation-states and rigid institutional structures, traditional models are becoming insufficient in the face of the adaptive and multidimensional challenges posed by 21st-century terrorism. This article aims to present a new theoretical framework that can serve as a more comprehensive study of internal security cooperation in the EU. The article examines four theoretical concepts: network theory, complex adaptation theory, resilience theory, and risk governance theory. These theories offer unique analytical tools to better understand the cooperation mechanisms between member states and EU institutions in response to contemporary terrorist threats. The analysis results indicate that integrating these theoretical approaches leads to more flexible, adaptive, and effective counter-terrorism strategies at the level of the EU and its member states.</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framework, climate, infrastructure, mitigation;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r>
        <w:rPr>
          <w:b/>
        </w:rPr>
        <w:t>POSSIBLE 2024:</w:t>
      </w:r>
      <w:r>
        <w:t xml:space="preserve"> A unifying modelling of multiple land degradation pathways in Europe — https://doi.org/10.1038/s41467-024-48252-x</w:t>
      </w:r>
    </w:p>
    <w:p>
      <w:pPr/>
      <w:r>
        <w:rPr>
          <w:b/>
        </w:rPr>
        <w:t>Shared claim-specific concepts:</w:t>
      </w:r>
      <w:r>
        <w:t xml:space="preserve"> modelling, three, mitigation;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Effects of emissions caps on the costs and feasibility of low-carbon hydrogen in the European ammonia industry — https://doi.org/10.1038/s41467-024-48145-z</w:t>
      </w:r>
    </w:p>
    <w:p>
      <w:pPr/>
      <w:r>
        <w:rPr>
          <w:b/>
        </w:rPr>
        <w:t>Shared claim-specific concepts:</w:t>
      </w:r>
      <w:r>
        <w:t xml:space="preserve"> feasibility, target, emissions, reduction; EU scope visible. This is a provisional connection, not an outcome finding.</w:t>
      </w:r>
    </w:p>
    <w:p>
      <w:pPr>
        <w:pStyle w:val="SourceNote"/>
      </w:pPr>
      <w:r>
        <w:rPr>
          <w:b/>
        </w:rPr>
        <w:t>Available abstract (not full text):</w:t>
      </w:r>
      <w:r>
        <w:t xml:space="preserve"> Abstract The European ammonia industry emits 36 million tons of carbon dioxide annually, primarily from steam methane reforming (SMR) hydrogen production. These emissions can be mitigated by producing hydrogen via water electrolysis using dedicated renewables with grid backup. This study investigates the impact of decarbonization targets for hydrogen synthesis on the economic viability and technical feasibility of retrofitting existing European ammonia plants for on-site, semi-islanded electrolytic hydrogen production. Results show that electrolytic hydrogen cuts emissions, on average, by 85% (36%-100% based on grid price and carbon intensity), even without enforcing emission limits. However, an optimal lifespan average well-to-gate emission cap of 1 kg carbon dioxide equivalent (CO 2 e)/kg H 2 leads to a 95% reduction (92%-100%) while maintaining cost-competitiveness with SMR in renewable-rich regions (mean levelized cost of hydrogen (LCOH) of 4.1 euro/kg H 2 ). Conversely, a 100% emissions reduction target dramatically increases costs (mean LCOH: 6.3 euro/kg H 2 ) and land area for renewables installations, likely hindering the transition to electrolytic hydrogen in regions with poor renewables and limited land. Increasing plant flexibility effectively reduces costs, particularly in off-grid plants (mean reduction: 32%). This work guides policymakers in defining cost-effectiv</w:t>
      </w:r>
    </w:p>
    <w:p>
      <w:pPr>
        <w:pStyle w:val="Heading2"/>
      </w:pPr>
      <w:r>
        <w:t>567.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2026:</w:t>
      </w:r>
      <w:r>
        <w:t xml:space="preserve"> Bridging Stakeholder Narratives for Sustainable Peatland Conservation — https://doi.org/10.1007/s41748-026-01141-3</w:t>
      </w:r>
    </w:p>
    <w:p>
      <w:pPr/>
      <w:r>
        <w:rPr>
          <w:b/>
        </w:rPr>
        <w:t>Shared claim-specific concepts:</w:t>
      </w:r>
      <w:r>
        <w:t xml:space="preserve"> narratives, stakeholders, perceptions, implementation, identified, narrative; EU scope visible. This is a provisional connection, not an outcome finding.</w:t>
      </w:r>
    </w:p>
    <w:p>
      <w:pPr>
        <w:pStyle w:val="SourceNote"/>
      </w:pPr>
      <w:r>
        <w:rPr>
          <w:b/>
        </w:rPr>
        <w:t>Available abstract (not full text):</w:t>
      </w:r>
      <w:r>
        <w:t xml:space="preserve"> Peatlands are among the most important terrestrial ecosystems for carbon storage, biodiversity conservation, and hydrological regulation, yet they are highly vulnerable to climate change and human-induced degradation. Despite growing international commitments to peatland restoration, conservation outcomes remain strongly dependent on stakeholder perceptions and governance contexts. This study investigates how relevant stakeholders perceive peatland ecosystem benefits and conservation in Romania, a region where peatlands are limited in extent but of high ecological significance. Using a mixed-methods approach, we triangulated data from 150 questionnaire responses, 18 semi-structured interviews with key stakeholders (local community members, scientists, and local authorities), spatial analysis of degraded peatlands, and a review of 13 international, European, and national policy documents. The results reveal three dominant stakeholder narratives shaping peatland conservation: a scientific perspective emphasizing biodiversity conservation, carbon sequestration, and hydrological regulation; a utilitarian perspective focused on economic use and land productivity; and a community-based perspective highlighting cultural ecosystem services such as education, recreation, and local identity. Quantitative findings indicate strong public support for conservation, with 79.9% of respondents </w:t>
      </w:r>
    </w:p>
    <w:p>
      <w:pPr/>
      <w:r>
        <w:rPr>
          <w:b/>
        </w:rPr>
        <w:t>POSSIBLE 2026:</w:t>
      </w:r>
      <w:r>
        <w:t xml:space="preserve"> Interpreting emotions in policy narratives: a pluralist framework — https://doi.org/10.1080/25741292.2026.2735542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The influence of emotions on real-world policy processes, particularly in the Global South, remains underemphasized. This article aims to address this gap by arguing that emotional expression can function as a component of policy narratives that contributes to policy processes in such contexts. Using clean air policy in northern Thailand as a case study, the explicit role of emotions in policy narratives is examined. Participatory observation, in-depth interviews, and documentary reviews were conducted as research methods. The epistemologically pluralist narrative policy framework is offered by expanding the boundaries of narratives to encompass factual, contextual, normative, ideological and emotional stories. Through this lens, emotions help confirm feasible policy options, complementing technical feasibility studies. Aside from technical and administrative data, the impacts of the policy depended heavily on public satisfaction with the perceived changes. Accordingly, this study suggests that, instead of ignoring emotions, narrative policy analysis should incorporate them to better understand their actual roles in policy processes.</w:t>
      </w:r>
    </w:p>
    <w:p>
      <w:pPr/>
      <w:r>
        <w:rPr>
          <w:b/>
        </w:rPr>
        <w:t>POSSIBLE 2025:</w:t>
      </w:r>
      <w:r>
        <w:t xml:space="preserve"> On and beyond the Creative City: performative narratives, policy translation, and frontiers of ‘splashing’ acts — https://doi.org/10.1016/j.ccs.2025.100654</w:t>
      </w:r>
    </w:p>
    <w:p>
      <w:pPr/>
      <w:r>
        <w:rPr>
          <w:b/>
        </w:rPr>
        <w:t>Shared claim-specific concepts:</w:t>
      </w:r>
      <w:r>
        <w:t xml:space="preserve"> narratives, performative, narrative, two; EU scope not established. This is a provisional connection, not an outcome finding.</w:t>
      </w:r>
    </w:p>
    <w:p>
      <w:pPr>
        <w:pStyle w:val="SourceNote"/>
      </w:pPr>
      <w:r>
        <w:rPr>
          <w:b/>
        </w:rPr>
        <w:t>Available abstract (not full text):</w:t>
      </w:r>
      <w:r>
        <w:t xml:space="preserve"> The Creative City often appears in the existing literature as a policy narrative that travels widely across borders. Scholars have long debated whether this travel resulted in a homogenisation of urban cultural policies and whether the narrative still had viability for the future. The term ‘narrative’, however, has often been taken for granted. This article thus explores the implications of thinking about the Creative City as a narrative, particularly a ‘travelling narrative’. Conceptually, it builds on two major frameworks. The first is a processual approach to narration as a fundamental act of organising reality. It emphasises unification or the organisation of different layers or elements into a coherent narrative. The second is a performative approach to translation as acts of re-narration. It highlights multiplication or how a policy narrative can be translated into multi-directional, even competing, policy acts across contexts. Empirically, the article examines the narrative form and accomplishment of the Creative City as it was taken up in Vietnam through the designation of Hanoi as a member of the UNESCO Creative Cities Network (UCCN). The analysis shows both possibilities and limitations of ‘splashing’ acts that sought to engage with the narrative in ways that could move beyond the frequently criticised power structures that set the travelling narrative in motion.</w:t>
      </w:r>
    </w:p>
    <w:p>
      <w:pPr/>
      <w:r>
        <w:rPr>
          <w:b/>
        </w:rPr>
        <w:t>POSSIBLE 2025:</w:t>
      </w:r>
      <w:r>
        <w:t xml:space="preserve"> Performative Equity and Institutional Hypocrisy in Higher Education: A Critique of Leadership Narratives and Policy Contradictions — https://doi.org/10.4236/ojl.2025.143019</w:t>
      </w:r>
    </w:p>
    <w:p>
      <w:pPr/>
      <w:r>
        <w:rPr>
          <w:b/>
        </w:rPr>
        <w:t>Shared claim-specific concepts:</w:t>
      </w:r>
      <w:r>
        <w:t xml:space="preserve"> narratives, performative; EU scope visible. This is a provisional connection, not an outcome finding.</w:t>
      </w:r>
    </w:p>
    <w:p>
      <w:pPr>
        <w:pStyle w:val="SourceNote"/>
      </w:pPr>
      <w:r>
        <w:rPr>
          <w:b/>
        </w:rPr>
        <w:t>Available abstract (not full text):</w:t>
      </w:r>
      <w:r>
        <w:t xml:space="preserve"> This article critically examines the widening gap between rhetorical commitments to equity, inclusion, and innovation in higher education and the lived realities of institutional leadership and policy enforcement. Drawing on the author’s direct experience within a U.S. university setting—juxtaposed with global parallels—the paper explores how performative leadership practices mask deeper systems of exclusion, silencing, and ideological gatekeeping. Through the lens of critical policy analysis, the article reveals how institutional narratives often valorize diversity while simultaneously marginalizing dissenting voices, critical scholarship (Mountz et al., 2020), and global perspectives that challenge neoliberal or bureaucratic orthodoxy. The paper further explores the international dimensions of this hypocrisy, comparing policy contradictions in the United States with similar patterns of institutional posturing and suppression observed in higher education systems in Europe, Asia, and Africa. In doing so, it argues that the performance of equity—uncoupled from structural change—undermines the moral legitimacy of higher education institutions and erodes public trust. The article concludes with a call for policy reform grounded in authentic leadership, intellectual freedom, and justice-driven governance.</w:t>
      </w:r>
    </w:p>
    <w:p>
      <w:pPr/>
      <w:r>
        <w:rPr>
          <w:b/>
        </w:rPr>
        <w:t>POSSIBLE 2025:</w:t>
      </w:r>
      <w:r>
        <w:t xml:space="preserve"> Understanding China's Policy Narratives During Crisis: A Narrative Policy Framework Approach — https://doi.org/10.1111/1468-5973.70105</w:t>
      </w:r>
    </w:p>
    <w:p>
      <w:pPr/>
      <w:r>
        <w:rPr>
          <w:b/>
        </w:rPr>
        <w:t>Shared claim-specific concepts:</w:t>
      </w:r>
      <w:r>
        <w:t xml:space="preserve"> narratives, narrative, types, citizens; EU scope not established. This is a provisional connection, not an outcome finding.</w:t>
      </w:r>
    </w:p>
    <w:p>
      <w:pPr>
        <w:pStyle w:val="SourceNote"/>
      </w:pPr>
      <w:r>
        <w:rPr>
          <w:b/>
        </w:rPr>
        <w:t>Available abstract (not full text):</w:t>
      </w:r>
      <w:r>
        <w:t xml:space="preserve"> ABSTRACT Narratives play a crucial role in crisis communication. Using qualitative content analysis within the Narrative Policy Framework, this study examines the policy narratives in 372 open letters issued by Chinese local governments during the COVID‐19 pandemic. The findings reveal that Chinese local governments constructed a narrative in which the entire society was in crisis, while the government was comprehensively responding, a portrayal that varied according to the different stages of the crisis. As for the characters, public servants were constructed as both heroes and victims, the COVID‐19 was cast as the villain, and citizens were portrayed as both victims and heroes. In terms of the moral, the open letters urged public servants to fulfil their professional duties, citizens to comply with existing policies, and broader social forces to actively participate. Finally, regarding the plot, the open letters constructed three distinct plot types centred on the interactions between public servants, the COVID‐19, and citizens, which collectively manifested as an overarching “People's Campaign” plot. This study offers insights into crisis communication by public organisations in non‐Western contexts and contributes to the understanding of policy narratives during the crisis.</w:t>
      </w:r>
    </w:p>
    <w:p>
      <w:pPr/>
      <w:r>
        <w:rPr>
          <w:b/>
        </w:rPr>
        <w:t>POSSIBLE 2025:</w:t>
      </w:r>
      <w:r>
        <w:t xml:space="preserve"> Narratives and Framing in Policy Making — https://doi.org/10.1111/ropr.70053</w:t>
      </w:r>
    </w:p>
    <w:p>
      <w:pPr/>
      <w:r>
        <w:rPr>
          <w:b/>
        </w:rPr>
        <w:t>Shared claim-specific concepts:</w:t>
      </w:r>
      <w:r>
        <w:t xml:space="preserve"> narratives, lead, energy, narrative, distinguished, types; EU scope not established. This is a provisional connection, not an outcome finding.</w:t>
      </w:r>
    </w:p>
    <w:p>
      <w:pPr>
        <w:pStyle w:val="SourceNote"/>
      </w:pPr>
      <w:r>
        <w:rPr>
          <w:b/>
        </w:rPr>
        <w:t>Available abstract (not full text):</w:t>
      </w:r>
      <w:r>
        <w:t xml:space="preserve"> Narratives and framing have become central analytical tools in research on policy processes and shape the understanding of attention shifts, coalition dynamics, and policy change. Building on this dynamic, recent work has attempted to combine the analysis of narratives with institutional approaches (Schlaufer et al. 2022; Domorenok and Graziano 2023). In doing so, it has been recognized that narratives not only explain policy conflict, but also structure the rules and norms that govern collective action. This issue of Review of Policy Research (RPR) brings together recent contributions that advance both the theoretical foundations and practical applications of narrative and framing research. Together, the articles in this issue demonstrate that narratives and frames are not only key drivers of attention, conflict, and change in traditional policy arenas such as environmental or security policy, but also shape science communication, reputation management, and evidence use in policymaking. They highlight how narrative and framing approaches increasingly intersect with established policy process theories, as well as with methodological innovations ranging from network analysis to sentiment analysis, providing a unifying analytical lens for understanding complex policy dynamics. One of the most active debates within this broader landscape concerns how the Narrative Policy Framework</w:t>
      </w:r>
    </w:p>
    <w:p>
      <w:pPr/>
      <w:r>
        <w:rPr>
          <w:b/>
        </w:rPr>
        <w:t>POSSIBLE 2025:</w:t>
      </w:r>
      <w:r>
        <w:t xml:space="preserve"> Toward intelligence or ignorance? Performativity and uncertainty in government tech narratives — https://doi.org/10.1016/j.giq.2025.102032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Emerging technologies are often accompanied by optimistic “tech narratives” that emphasize their potential benefits to society. These narratives appear in various sources, including public policy documents, media coverage, and academic literature. However, identifying their origins and underlying rationale can be challenging. This paper addresses the research question (RQ): How can government tech narratives be traced and unveiled? To answer this question, we draw on the theoretical frameworks of “performativity” and “uncertainty assessment” to develop a two-step approach for investigating tech narratives. We apply this methodology to trace a narrative promoting the benefits of artificial intelligence (AI) in the Swedish public sector back to its source, an emerging government AI policy program. Our analysis reveals a hybridization of economic and political interests, as well as a recognized ignorance reflected in the lack of scrutiny of highly uncertain calculations. By presenting this two-step methodology for tracing and critically examining tech narratives, this paper makes a methodological contribution. In applying this approach, we also provide empirical insights into how tech narratives facilitate the materialization of technological infrastructures. • Emerging technologies are frequently accompanied by optimistic narratives in policy, media, and academic literature. • Th</w:t>
      </w:r>
    </w:p>
    <w:p>
      <w:pPr/>
      <w:r>
        <w:rPr>
          <w:b/>
        </w:rPr>
        <w:t>POSSIBLE 2025:</w:t>
      </w:r>
      <w:r>
        <w:t xml:space="preserve"> Patterns of Emotionalisation in Policy Narratives — https://openalex.org/W7111620421</w:t>
      </w:r>
    </w:p>
    <w:p>
      <w:pPr/>
      <w:r>
        <w:rPr>
          <w:b/>
        </w:rPr>
        <w:t>Shared claim-specific concepts:</w:t>
      </w:r>
      <w:r>
        <w:t xml:space="preserve"> narratives, narrative, opposing; EU scope visible. This is a provisional connection, not an outcome finding.</w:t>
      </w:r>
    </w:p>
    <w:p>
      <w:pPr>
        <w:pStyle w:val="SourceNote"/>
      </w:pPr>
      <w:r>
        <w:rPr>
          <w:b/>
        </w:rPr>
        <w:t>Available abstract (not full text):</w:t>
      </w:r>
      <w:r>
        <w:t xml:space="preserve"> We empirically explore the drive towards emotionalisation in policy narratives in a highly technical, yet polarised, policy debate: the Farm to Fork strategy (F2F) of the EU.We do so by leveraging the Narrative Policy Framework (NPF) and applying it to the official statements of the Hungarian Government (opposing F2F).We first develop expectations drawing on the literature.For example, we expect correlations between NPF categories and emotions.The villain should be associated with anger and fear, the victim with compassion-empathy, the hero with pride.The plot can have different emotional associations.The doomsday should be discursively represented to elicit fear.Next, we built a corpus of 53 narratives decomposed into 794 sentences.This corpus is coded first at the level of NPF categories, then for the presence-absence of emotions and, when present, the exact type of emotion.Human coding is benchmarked against a large language model developed in the MORES project.We find that Hungary articulates its F2F position with emotional narratives bereft of empirical substance.When it is politically feasible, Hungary goes for rhetorical entrapment, asking the Commission to account for the lack of evidence-based tests and impact studies.The association NPF category-emotion works well, especially at the level of characters like the hero, the victim, and the villain.Our findings contribute</w:t>
      </w:r>
    </w:p>
    <w:p>
      <w:pPr/>
      <w:r>
        <w:rPr>
          <w:b/>
        </w:rPr>
        <w:t>POSSIBLE 2025:</w:t>
      </w:r>
      <w:r>
        <w:t xml:space="preserve"> The Plastic Excise Policy Debate in Indonesia: A Narrative Policy Analysis ApproachThe Plastic Excise Policy Debate in Indonesia: A Narrative Policy Analysis Approach — https://doi.org/10.51505/ijebmr.2025.9523</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The plastic excise policy in Indonesia has been a subject of debate since its proposal was submitted in 2016. This policy aims to reduce single-use plastic consumption and address the growing plastic waste problem. However, there are significant differences in opinion regarding its effectiveness and impact. This study uses Narrative Policy Analysis (NPA) to explore the policy’s narratives and counter-narratives articulated by policy actors, industry stakeholders, and the public. Using a post-positivist framework, this study analyzes the construction and framing of policy through discourse. Data were collected via media content analysis and document study, focusing on news articles and government publications from trusted sources between 2016 and 2025. The analysis identifies the dominant narrative supporting the policy, particularly from the Ministry of Finance, and the counter-narratives from the Ministry of Industry and various industry associations. Findings suggest that although the policy has strong support from civil society and environmental organizations, it faces opposition due to concerns about its impact on production costs and industry competitiveness. To resolve the tensions between these narratives, the study recommends a more inclusive policy development process and the integration of the plastic excise policy with a broader waste management strategy.</w:t>
      </w:r>
    </w:p>
    <w:p>
      <w:pPr/>
      <w:r>
        <w:rPr>
          <w:b/>
        </w:rPr>
        <w:t>POSSIBLE 2025:</w:t>
      </w:r>
      <w:r>
        <w:t xml:space="preserve"> The policy narrative of the outsourcing system in Indonesia — https://doi.org/10.22146/jkap.97330</w:t>
      </w:r>
    </w:p>
    <w:p>
      <w:pPr/>
      <w:r>
        <w:rPr>
          <w:b/>
        </w:rPr>
        <w:t>Shared claim-specific concepts:</w:t>
      </w:r>
      <w:r>
        <w:t xml:space="preserve"> stakeholders, implementation, narrative; EU scope not established. This is a provisional connection, not an outcome finding.</w:t>
      </w:r>
    </w:p>
    <w:p>
      <w:pPr>
        <w:pStyle w:val="SourceNote"/>
      </w:pPr>
      <w:r>
        <w:rPr>
          <w:b/>
        </w:rPr>
        <w:t>Available abstract (not full text):</w:t>
      </w:r>
      <w:r>
        <w:t xml:space="preserve"> Law No. 6/2023, which ratifies Government Regulation in Lieu of Law No. 2/2022 on Job Creation, defines outsourcing as the delegation of part of work implementation to other companies through a written outsourcing agreement. This study aims to analyze the narrative structure of Indonesia’s outsourcing policy using the Narrative Policy Framework (NPF), focusing on key elements such as characters (heroes, villains, and victims), setting, plot, and moral of the story. A total of 132 news articles were randomly selected using the keyword “outsourcing” from online sources between November 2, 2020, and December 31, 2023. The data were analyzed using the Discourse Network Analysis (DNA) application. The resulting narrative portrays both workers and outsourcing companies as victims, while the government, outsourcing companies, and service user companies appear both as villains and heroes. The setting includes various regions in Indonesia and covers aspects of job creation and enhancement, workers’ income and welfare, internal company policies, and human resource management. The narrative plot highlights employment policies, associated challenges, and governance of labor regulations. The moral of the story emphasizes the need for effective labor regulations, strict enforcement of employment policies and laws, ongoing policy evaluation, and robust worker protection mechanisms. To foster </w:t>
      </w:r>
    </w:p>
    <w:p>
      <w:pPr/>
      <w:r>
        <w:rPr>
          <w:b/>
        </w:rPr>
        <w:t>POSSIBLE 2025:</w:t>
      </w:r>
      <w:r>
        <w:t xml:space="preserve"> Narrative policy framework analysis and stakeholder analysis on ownership policy in the banking sector for economic resilience — https://doi.org/10.61511/ersud.v2i1.2025.1340</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Background: Foreign ownership policy in Indonesian Banking has been regulated by the Government through Law Number 10 of 1998 concerning Banking. Through this law, the opportunity for foreign investors to own banking shares or establish banks in Indonesia is increasingly open. The strong foreign ownership of a bank has the potential to hinder the supervision process of the bank concerned and the practice of good governance, as well as disrupt financial system stability as a whole and threaten the economic resilience of the Indonesian state. Methods: The researcher conducted an analysis by Narrative Policy Framework (NPF) analysis and stakeholder analysis on the Minutes of Meeting on the Process of Amending Law Number 7 of 1992 to Law Number 10 of 1998 concerning Banking. This research is descriptive analytical on data obtained from the results of observations, interviews, documentation, and analysis of research subjects. Findings: The results of the study indicate that the opening of opportunities for foreign ownership in changing laws is a short-term solution provided by the government. Risk analysis has shown that the scale of the risk level of foreign ownership policy up to 99 percent is at the level of medium and high risk. Stakeholder analysis shows that the Government and Parliament are parties that have a large interest and strength in foreign ownership policies in the I</w:t>
      </w:r>
    </w:p>
    <w:p>
      <w:pPr>
        <w:pStyle w:val="Heading2"/>
      </w:pPr>
      <w:r>
        <w:t>568.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2026:</w:t>
      </w:r>
      <w:r>
        <w:t xml:space="preserve"> Modern challenges, risks and threats to the European Union — https://doi.org/10.5937/bezbednost2601147i</w:t>
      </w:r>
    </w:p>
    <w:p>
      <w:pPr/>
      <w:r>
        <w:rPr>
          <w:b/>
        </w:rPr>
        <w:t>Shared claim-specific concepts:</w:t>
      </w:r>
      <w:r>
        <w:t xml:space="preserve"> challenges, strongly, depend; EU scope visible. This is a provisional connection, not an outcome finding.</w:t>
      </w:r>
    </w:p>
    <w:p>
      <w:pPr>
        <w:pStyle w:val="SourceNote"/>
      </w:pPr>
      <w:r>
        <w:rPr>
          <w:b/>
        </w:rPr>
        <w:t>Available abstract (not full text):</w:t>
      </w:r>
      <w:r>
        <w:t xml:space="preserve"> The European Union is a unique economic, political and values-based community that has developed into a global actor with increasingly pronounced security ambitions over the past decades. However, in the modern era, the EU faces complex and multifaceted challenges that go beyond the framework of traditional security policy. New forms of threats – such as hybrid and cyber attacks, terrorism, organized crime, energy dependence, climate change and migration crises – have led to the need for a systemic redefinition of the Union’s security strategy. These phenomena are no longer isolated, but interconnected and often intertwined with economic, political and social factors, making security a key foundation for the functioning of the community itself. A special place in the paper is given to the analysis of the consequences of the war in Ukraine, which fundamentally shook the European security architecture and marked a turning point in the EU’s foreign and defense policy. The Russian aggression in 2022 led to a serious rethinking of the concept of European security, revealing the limitations of existing common defense mechanisms and the Union’s dependence on the United States. As a result of this conflict, the fragmentation among member states, different perceptions of threats and disagreements about the degree of necessary integration in the field of defense are increasingly visible.</w:t>
      </w:r>
    </w:p>
    <w:p>
      <w:pPr/>
      <w:r>
        <w:rPr>
          <w:b/>
        </w:rPr>
        <w:t>POSSIBLE 2026:</w:t>
      </w:r>
      <w:r>
        <w:t xml:space="preserve"> Current geopolitical risks as challenges and opportunities for European unity — https://doi.org/10.60054/peu.2026.13.13-19</w:t>
      </w:r>
    </w:p>
    <w:p>
      <w:pPr/>
      <w:r>
        <w:rPr>
          <w:b/>
        </w:rPr>
        <w:t>Shared claim-specific concepts:</w:t>
      </w:r>
      <w:r>
        <w:t xml:space="preserve"> challenges, depend; EU scope visible. This is a provisional connection, not an outcome finding.</w:t>
      </w:r>
    </w:p>
    <w:p>
      <w:pPr>
        <w:pStyle w:val="SourceNote"/>
      </w:pPr>
      <w:r>
        <w:rPr>
          <w:b/>
        </w:rPr>
        <w:t>Available abstract (not full text):</w:t>
      </w:r>
      <w:r>
        <w:t xml:space="preserve"> This paper examines the impact of contemporary geopolitical crises on European integration through a historical and analytical perspective inspired by Jean Monnet’s statement that Europe is built through crises. It argues that crises have produced three distinct types of outcomes: incremental integration, fragmentation, and profound transformation. By comparing historical experiences with current geopolitical challenges, the paper demonstrates that Russia’s war against Ukraine, growing global instability, and the changing transatlantic relationship are accelerating the European Union’s evolution into a geopolitical actor. The study contends that European sovereignty, particularly in the fields of security and defence, is emerging as the next stage of integration. However, the success of thistransformation will depend not only on institutional reforms and financial resources but also on political leadership, sustained unity among Member States, and the development of a stronger European identity capable of securing citizens’ support for the Union’s geopolitical ambitions.</w:t>
      </w:r>
    </w:p>
    <w:p>
      <w:pPr/>
      <w:r>
        <w:rPr>
          <w:b/>
        </w:rPr>
        <w:t>POSSIBLE 2026:</w:t>
      </w:r>
      <w:r>
        <w:t xml:space="preserve"> STRATEGIC CHALLENGES AND PROSPECTS FOR THE DEVELOPMENT OF THE UKRAINIAN AVIATION MARKET UNDER CONDITIONS OF CLOSED AIRSPACE AND EUROPEAN INTEGRATION — https://doi.org/10.15802/rtem2026/359783</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Purpose. The purpose of the article is to identify the strategic challenges and prospects for the development of the Ukrainian aviation market under conditions of closed airspace and European integration, as well as to substantiate directions for its recovery and adaptation to a competitive environment. Methodology. The methodology of the article is based on a systemic and comparative analysis of the Ukrainian and European aviation markets, a review of academic publications and industry reports, and the application of SWOT analysis to identify risks, opportunities, and threats to the development of Ukrainian airlines and airports. In addition, the study employs structural-logical, statistical, and forecasting approaches to assess the impact of closed airspace, integration into the European Common Aviation Area, and to formulate recommendations for supporting the industry. Results. The results of the study show that the closure of Ukrainian airspace has caused a significant transformation of the national aviation market, forcing airlines to shift to alternative business models, including ACMI leasing and operations from foreign bases. It has been established that integration into the European Common Aviation Area creates both new opportunities for market liberalization and threats due to stronger competition from major European carriers. The study demonstrates that the further d</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r>
        <w:rPr>
          <w:b/>
        </w:rPr>
        <w:t>POSSIBLE 2025:</w:t>
      </w:r>
      <w:r>
        <w:t xml:space="preserve"> Quantitative Indicators for Open Research Data: National Monitoring and Development Challenges — https://doi.org/10.6084/m9.figshare.30751973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presentation explores the current and proposed quantitative indicators for research data in the national monitoring and their development process. It reviews the discussion in the National Open Science and Research Steering Group and assesses the maturity and suitability of these indicators for evaluating the advancement of the policy component on open access to research data.The Declaration for Open Science and Research (2025–2030) and the supporting policies guide Finland’s open science efforts. The development is assessed with the national monitoring model that tracks progress against objectives and actions related to the culture for open scholarship, research data, methods and infrastructures, publishing, and education. Assessment is divided into four ways of promoting: policy documents, services, collaboration and outputs. Monitoring draws on data from the Finnish Research Information Hub, complemented by a survey addressed to research performing organisations. The survey gathers information especially on the policy documents, services and collaboration.The model allows for the introduction of new indicators as national and international data sources evolve.Quantitative indicators for research data are a major challenge in the monitoring model. These indicators remain underdeveloped. There is a lack of reliable and comprehensive data sources for this information. None</w:t>
      </w:r>
    </w:p>
    <w:p>
      <w:pPr/>
      <w:r>
        <w:rPr>
          <w:b/>
        </w:rPr>
        <w:t>POSSIBLE 2024:</w:t>
      </w:r>
      <w:r>
        <w:t xml:space="preserve"> European Youth Work Developments and Challenges—A Meta-Synthesis — https://doi.org/10.3390/youth4030075</w:t>
      </w:r>
    </w:p>
    <w:p>
      <w:pPr/>
      <w:r>
        <w:rPr>
          <w:b/>
        </w:rPr>
        <w:t>Shared claim-specific concepts:</w:t>
      </w:r>
      <w:r>
        <w:t xml:space="preserve"> challenges, developments, national, activity; EU scope visible. This is a provisional connection, not an outcome finding.</w:t>
      </w:r>
    </w:p>
    <w:p>
      <w:pPr>
        <w:pStyle w:val="SourceNote"/>
      </w:pPr>
      <w:r>
        <w:rPr>
          <w:b/>
        </w:rPr>
        <w:t>Available abstract (not full text):</w:t>
      </w:r>
      <w:r>
        <w:t xml:space="preserve"> Youth work has become a well-developed European field of activity in terms of structure and content, not at least since the adoption of the European Youth Work Agenda (2020). Through a meta-synthesis of three structural studies on youth work in Europe, this article provides three main considerations. Firstly, the article makes an analytical distinction between European youth work and youth work in Europe, thus clarifying the general concept of “youth work”. Secondly, this analytical distinction helps to systematise and classify the topics being dealt with by actors in the field of youth work: youth work as a European framework (role of European documents; transfer between levels; youth work in times of crises), youth work development at the national, regional and local level (youth work legal framework; funding; recognition, quality and professionalisation; innovations), and the multi-dimensional challenges of shrinking spaces for both young people and youth work (youth work as an independent field of action; shortage of skilled labour; austerity measures; young people moving away; rise of extremism). Thirdly, the discursive openings the different concepts and narratives of youth work can offer are outlined. In this way, the article hopes to contribute to the (further) development of youth work theory in Europe.</w:t>
      </w:r>
    </w:p>
    <w:p>
      <w:pPr/>
      <w:r>
        <w:rPr>
          <w:b/>
        </w:rPr>
        <w:t>POSSIBLE 2024:</w:t>
      </w:r>
      <w:r>
        <w:t xml:space="preserve"> DEVELOPMENTS AND CHALLENGES REGARDING THE EUROPEAN CAPITAL MARKETS INTEGRATION PROJECT — https://doi.org/10.55654/jfs.2024.9.16.13</w:t>
      </w:r>
    </w:p>
    <w:p>
      <w:pPr/>
      <w:r>
        <w:rPr>
          <w:b/>
        </w:rPr>
        <w:t>Shared claim-specific concepts:</w:t>
      </w:r>
      <w:r>
        <w:t xml:space="preserve"> challenges, developments, progress, national; EU scope visible. This is a provisional connection, not an outcome finding.</w:t>
      </w:r>
    </w:p>
    <w:p>
      <w:pPr>
        <w:pStyle w:val="SourceNote"/>
      </w:pPr>
      <w:r>
        <w:rPr>
          <w:b/>
        </w:rPr>
        <w:t>Available abstract (not full text):</w:t>
      </w:r>
      <w:r>
        <w:t xml:space="preserve"> The concept of a Capital Market Union exerts significant influence over debates within the European Union. Achieving a Capital Market Union is seen as a means of fostering deeper integration, promoting economic growth, and encouraging sustainable investments. This paper explores the status of the project regarding the Capital Market Union, focusing on key developments, challenges, and potential impacts on the financial system of the European Union. The evidence presented emphasize the role of the Capital Market Union in providing alternative financing channels, reducing fragmentation, and diversifying investment opportunities within the European Union. Although progress was made, the Capital Market Union faces a multitude of challenges that affect its efficiency and sustainability. These include regulatory barriers, divergent national practices, geopolitical uncertainties, and the impact of COVID-19 on market dynamics. Furthermore, the potential impact of a fully accomplished Capital Market Union is considered, including its effects on economic stability, risk management, and the global competitiveness of the European Union. The analysis also addresses implications for market participants, investors, regulatory authorities, and the broader socio-economic context within the European Union. Ultimately, the paper underscores the importance of the Capital Market Union as an acceler</w:t>
      </w:r>
    </w:p>
    <w:p>
      <w:pPr/>
      <w:r>
        <w:rPr>
          <w:b/>
        </w:rPr>
        <w:t>POSSIBLE 2024:</w:t>
      </w:r>
      <w:r>
        <w:t xml:space="preserve"> The challenger advantage – how challenger parties disrupt mainstream party dominance in the European Parliament — https://doi.org/10.1080/13501763.2024.2391510</w:t>
      </w:r>
    </w:p>
    <w:p>
      <w:pPr/>
      <w:r>
        <w:rPr>
          <w:b/>
        </w:rPr>
        <w:t>Shared claim-specific concepts:</w:t>
      </w:r>
      <w:r>
        <w:t xml:space="preserve"> developments, responses; EU scope visible. This is a provisional connection, not an outcome finding.</w:t>
      </w:r>
    </w:p>
    <w:p>
      <w:pPr>
        <w:pStyle w:val="SourceNote"/>
      </w:pPr>
      <w:r>
        <w:rPr>
          <w:b/>
        </w:rPr>
        <w:t>Available abstract (not full text):</w:t>
      </w:r>
      <w:r>
        <w:t xml:space="preserve"> Under what conditions can challenger parties disrupt mainstream party dominance in democratic institutions? While extant work describes the cultural and economic developments that benefit challengers and parties’ programmatic responses to these, I demonstrate when and how challengers exploit these conditions in their political communication. Theoretically, I posit that challenger parties have relatively stronger vote-seeking incentives than mainstream parties. These collective incentives affect individual parliamentarians’ cost–benefit calculations. Challenger parliamentarians will engage in anti-establishment rhetoric and issue-entrepreneurship when these signals are more likely to reach the voting public and pay-off electorally. I test this theory by analysing parliamentary debates from the European Parliament (1999–2016) through a novel combination of word embeddings and bespoke dictionaries. I find that challenger parties indeed pursue different communication strategies than mainstream parties. Challenger parliamentarians engage in anti-establishment rhetoric in the run-up to elections and issue-entrepreneurship during crises. This is because these factors make speeches more likely to be transmitted to voters. These results demonstrate that challengers adjust their political communication in opportune moments giving them a competitive advantage over less flexible mainstream</w:t>
      </w:r>
    </w:p>
    <w:p>
      <w:pPr>
        <w:pStyle w:val="Heading2"/>
      </w:pPr>
      <w:r>
        <w:t>569.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2026:</w:t>
      </w:r>
      <w:r>
        <w:t xml:space="preserve"> Comparing Intelligence and Foresight: Fraternal Twins? — https://doi.org/10.1007/978-3-032-11892-9_4</w:t>
      </w:r>
    </w:p>
    <w:p>
      <w:pPr/>
      <w:r>
        <w:rPr>
          <w:b/>
        </w:rPr>
        <w:t>Shared claim-specific concepts:</w:t>
      </w:r>
      <w:r>
        <w:t xml:space="preserve"> foresight, aim, support;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strategic, planning, foresight, disciplines;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New Anticipatory Governance Culture for Innovation: Regulatory Foresight, Regulatory Experimentation and Regulatory Learning — https://doi.org/10.1007/s40804-025-00348-7</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Abstract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to use in inventive ways and argues that these need to be more cohesively and systemically integrated into jurisdictions’ regulatory toolbox. Approaches covered include strategic foresight, the critical embrace of iterative policy development and regulatory learning in the face of uncertainty, and the embrace of bottom-up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strategic, foresight, identifying, support;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2024:</w:t>
      </w:r>
      <w:r>
        <w:t xml:space="preserve"> An in-depth multivariate analysis of PM2.5 concentration and associated premature deaths in Europe and its strategic relationship with sustainability — https://doi.org/10.1016/j.acags.2024.100184</w:t>
      </w:r>
    </w:p>
    <w:p>
      <w:pPr/>
      <w:r>
        <w:rPr>
          <w:b/>
        </w:rPr>
        <w:t>Shared claim-specific concepts:</w:t>
      </w:r>
      <w:r>
        <w:t xml:space="preserve"> strategic, identifying, goals; EU scope visible. This is a provisional connection, not an outcome finding.</w:t>
      </w:r>
    </w:p>
    <w:p>
      <w:pPr>
        <w:pStyle w:val="SourceNote"/>
      </w:pPr>
      <w:r>
        <w:rPr>
          <w:b/>
        </w:rPr>
        <w:t>Available abstract (not full text):</w:t>
      </w:r>
      <w:r>
        <w:t xml:space="preserve"> The strategic importance of sustainability is evident when it comes, for example, to health. Public policies aimed at mitigating the effects of harmful substances, such as fine particulate matter (PM 2.5), are justified by the direct link between fine particulate matter and the health of citizens, in this case, premature deaths. An advanced statistical and exhaustive analysis of different areas and countries shows a strong link between exposure to PM2.5, premature deaths in other countries, and significant differences in PM2.5 levels between urban and rural areas. Although PM2.5 concentration has decreased in most countries studied, this effort must be continued and aligned with the Sustainable Development Goals of the 2030 Agenda, underlining the need to implement effective air pollution control policies to reduce the health risks associated with PM2.5 exposure. To this end, identifying temporal trends and geographical patterns can guide the development of specific interventions tailored to the needs of each region.</w:t>
      </w:r>
    </w:p>
    <w:p>
      <w:pPr/>
      <w:r>
        <w:rPr>
          <w:b/>
        </w:rPr>
        <w:t>POSSIBLE 2023:</w:t>
      </w:r>
      <w:r>
        <w:t xml:space="preserve"> Foresight through developing shared mental models: The case of Triple Access Planning — https://doi.org/10.1016/j.futures.2023.103295</w:t>
      </w:r>
    </w:p>
    <w:p>
      <w:pPr/>
      <w:r>
        <w:rPr>
          <w:b/>
        </w:rPr>
        <w:t>Shared claim-specific concepts:</w:t>
      </w:r>
      <w:r>
        <w:t xml:space="preserve"> planning, foresight, possible; EU scope not established. This is a provisional connection, not an outcome finding.</w:t>
      </w:r>
    </w:p>
    <w:p>
      <w:pPr>
        <w:pStyle w:val="SourceNote"/>
      </w:pPr>
      <w:r>
        <w:rPr>
          <w:b/>
        </w:rPr>
        <w:t>Available abstract (not full text):</w:t>
      </w:r>
      <w:r>
        <w:t xml:space="preserve"> Planning for the future involves making sense of the present and examining possible changes in key factors that can influence the future. Actors rely upon mental models of the system that planning addresses: their simplified interpretations of the makeup of system elements and element interactions that together determine how the system works. It follows that a helpful foundation for strong planning is to develop a shared mental model among actors of the system of interest in the present and use this in turn to create mental models of possible futures for the system (scenarios). This paper presents a methodology for doing this that incorporates co-creation of causal loop diagrams that turn inform development of scenarios. The paper then applies the methodology to offer more insight to the approach, using the case of the Triple Access System and in turn Triple Access Planning. Triple access refers to the transport, land-use and telecommunications systems which each provide different and inter-related means for being able to reach people, employment, goods, services and opportunities which underpins economic prosperity and social wellbeing. The paper highlights how thinking is an important and integral part of planning, especially when dealing with uncertainty in a complex system.</w:t>
      </w:r>
    </w:p>
    <w:p>
      <w:pPr/>
      <w:r>
        <w:rPr>
          <w:b/>
        </w:rPr>
        <w:t>POSSIBLE 2022:</w:t>
      </w:r>
      <w:r>
        <w:t xml:space="preserve"> What if data protection embraced foresight and speculative design? — https://doi.org/10.21606/drs.2022.681</w:t>
      </w:r>
    </w:p>
    <w:p>
      <w:pPr/>
      <w:r>
        <w:rPr>
          <w:b/>
        </w:rPr>
        <w:t>Shared claim-specific concepts:</w:t>
      </w:r>
      <w:r>
        <w:t xml:space="preserve"> strategic, foresight, policy-making; EU scope visible. This is a provisional connection, not an outcome finding.</w:t>
      </w:r>
    </w:p>
    <w:p>
      <w:pPr>
        <w:pStyle w:val="SourceNote"/>
      </w:pPr>
      <w:r>
        <w:rPr>
          <w:b/>
        </w:rPr>
        <w:t>Available abstract (not full text):</w:t>
      </w:r>
      <w:r>
        <w:t xml:space="preserve"> Due to rapid technological advancements and the growing “datafication” of our societies, individuals’ privacy constitutes an increasingly explored speculative space for regulators, researchers, practitioners, designers and artists. This article reports two experiences at a national and an international data protection authority (i.e., the Commission Nationale de l'Informatique et des Libertés - CNIL - and the European Data Protection Supervisor - EDPS - respectively), where foresight methods and speculative design are employed in policy-making with the goal of anticipating technological trends, their implications for society and their impact on regulations, as well as the effects of existing and upcoming laws on emerging technologies. Such initiatives can enhance strategic proactive abilities, raise public awareness of privacy issues and engender a participatory approach to the design of policies. They can also inspire the research, education and practice of legal design.</w:t>
      </w:r>
    </w:p>
    <w:p>
      <w:pPr/>
      <w:r>
        <w:rPr>
          <w:b/>
        </w:rPr>
        <w:t>POSSIBLE 2022:</w:t>
      </w:r>
      <w:r>
        <w:t xml:space="preserve"> A Discourse on Foresight and the Valuation of Explicit and Tacit Synergies in Strategic Collaborations — https://doi.org/10.3390/jrfm15070305</w:t>
      </w:r>
    </w:p>
    <w:p>
      <w:pPr/>
      <w:r>
        <w:rPr>
          <w:b/>
        </w:rPr>
        <w:t>Shared claim-specific concepts:</w:t>
      </w:r>
      <w:r>
        <w:t xml:space="preserve"> strategic, foresight, disciplines, options; EU scope not established. This is a provisional connection, not an outcome finding.</w:t>
      </w:r>
    </w:p>
    <w:p>
      <w:pPr>
        <w:pStyle w:val="SourceNote"/>
      </w:pPr>
      <w:r>
        <w:rPr>
          <w:b/>
        </w:rPr>
        <w:t>Available abstract (not full text):</w:t>
      </w:r>
      <w:r>
        <w:t xml:space="preserve"> One of the most important questions in business partners’ collaboration is whether their strategies create a collaborative synergy and thus add market value. This paper aims to develop a conceptual framework that will be useful for scholars and practitioners in developing foresight for explicit synergies and valuing tacit synergy in strategic collaborative ventures. The paper comprises a novel theoretical and empirical contribution to the foresight that is required for an explicit competence-based synergy in collaborative ventures from a resource-based view. It employs the ARCTIC framework and values a tacit competence-based synergy using simple and compound real options. Moreover, the paper makes several theoretical and empirical contributions to the study of strategic management, international business, and corporate finance disciplines. Finally, the paper discusses research limitations and future work.</w:t>
      </w:r>
    </w:p>
    <w:p>
      <w:pPr>
        <w:pStyle w:val="Heading2"/>
      </w:pPr>
      <w:r>
        <w:t>570.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Non-stationary time series attribution for heatwaves over Europe — https://doi.org/10.5194/ascmo-12-243-2026</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Madhava's Pi-Series in the Modern Context — https://doi.org/10.48550/arxiv.2602.14484</w:t>
      </w:r>
    </w:p>
    <w:p>
      <w:pPr/>
      <w:r>
        <w:rPr>
          <w:b/>
        </w:rPr>
        <w:t>Shared claim-specific concepts:</w:t>
      </w:r>
      <w:r>
        <w:t xml:space="preserve"> series, different, developed, used; EU scope not established. This is a provisional connection, not an outcome finding.</w:t>
      </w:r>
    </w:p>
    <w:p>
      <w:pPr>
        <w:pStyle w:val="SourceNote"/>
      </w:pPr>
      <w:r>
        <w:rPr>
          <w:b/>
        </w:rPr>
        <w:t>Available abstract (not full text):</w:t>
      </w:r>
      <w:r>
        <w:t xml:space="preserve"> The $π$-series is attributed to Madhava, Gregory and Leibniz based on the chronology of its discovery. While this acknowledges the fact that Madhava of Sangamagrama an Indian mathematician who lived in Kerala in the 14th century along the banks of river Nila, was the first to discover the series, the modern day proof for the $π$-series is based on the outline of the proof given by the famous German mathematician Gottfried Wilhelm Leibniz in the 17th century, using concepts and rigorous definitions of Calculus many of which were developed after his lifetime. We extend the same benefit to Madhava's ideas and present Madhava's upapatti i.e proof for the $π$-series as given in Jyesthadeva's Yuktibhasha using modern notation and definitions. We elaborate Madhava's proof at three places (a) to prove that the arc-bit sum is same as the sum of arc-bit approximations (b) to prove convergence and (c) to concisely prove by iteration the power sum approximation. Madhava's method with appropriate changes can be applied to derive the sine and cosine series as well. Madhava also provides the correction terms to accelerate the convergence of the $π$-series. We compare the two proofs i.e Madhava's and the popular proof for $π$ which is based on Leibniz's ideas and observe that they are different since Madhava's is based on the length of the arc where as Leibniz's relies on the area under the ar</w:t>
      </w:r>
    </w:p>
    <w:p>
      <w:pPr/>
      <w:r>
        <w:rPr>
          <w:b/>
        </w:rPr>
        <w:t>POSSIBLE 2025:</w:t>
      </w:r>
      <w:r>
        <w:t xml:space="preserve"> Citizenship in the Context of European Values: Recommendations for teaching in higher education — https://doi.org/10.14712/9788076034143</w:t>
      </w:r>
    </w:p>
    <w:p>
      <w:pPr/>
      <w:r>
        <w:rPr>
          <w:b/>
        </w:rPr>
        <w:t>Shared claim-specific concepts:</w:t>
      </w:r>
      <w:r>
        <w:t xml:space="preserve"> presents, series, provide, different, evolution, services; EU scope visible. This is a provisional connection, not an outcome finding.</w:t>
      </w:r>
    </w:p>
    <w:p>
      <w:pPr>
        <w:pStyle w:val="SourceNote"/>
      </w:pPr>
      <w:r>
        <w:rPr>
          <w:b/>
        </w:rPr>
        <w:t>Available abstract (not full text):</w:t>
      </w:r>
      <w:r>
        <w:t xml:space="preserve"> The main focus for CitEdEV is on sharing of good practice in relation to the above, and within this it highlights democratic values, fundamental rights, and active citizenship.Although the objectives above stem from an EU declaration, we stress that the European Values we refer to are those of the European Convention for the Protection of Human Rights and Fundamental Freedoms (ECPHR) , originally agreed by The Council of Europe, to which nearly all European states, include member states of the EU, are signatories. European Union educational policy builds on the Paris Declaration, with emphasis placed on:'Fostering the development of citizenship competences with the aim of strengthening the awareness of common values, as referred to in Article 2 of the Treaty on European Union and the Charter of Fundamental Rights of the European Union' (European Commission, 2018) 'Citizenship competence' is described as '… the ability to act as responsible citizens and to fully participate in civic and social life, based on understanding of social, economic, legal and political concepts and structures, as well as global developments and sustainability', and elaborated, as shown in the table below, in relation to knowledge and understanding, skills, and attitudes.In the context of our work it is worthwhile to note that the first competency listed is that of 'understanding European values'.Table </w:t>
      </w:r>
    </w:p>
    <w:p>
      <w:pPr/>
      <w:r>
        <w:rPr>
          <w:b/>
        </w:rPr>
        <w:t>POSSIBLE 2025:</w:t>
      </w:r>
      <w:r>
        <w:t xml:space="preserve"> Leadership Effectiveness in Multinational Corporations Across Different Regional Contexts — https://doi.org/10.66027/gpim/v3i3/gpm25309</w:t>
      </w:r>
    </w:p>
    <w:p>
      <w:pPr/>
      <w:r>
        <w:rPr>
          <w:b/>
        </w:rPr>
        <w:t>Shared claim-specific concepts:</w:t>
      </w:r>
      <w:r>
        <w:t xml:space="preserve"> presents, series, different, contexts; EU scope visible. This is a provisional connection, not an outcome finding.</w:t>
      </w:r>
    </w:p>
    <w:p>
      <w:pPr>
        <w:pStyle w:val="SourceNote"/>
      </w:pPr>
      <w:r>
        <w:rPr>
          <w:b/>
        </w:rPr>
        <w:t>Available abstract (not full text):</w:t>
      </w:r>
      <w:r>
        <w:t xml:space="preserve"> Leadership effectiveness in multinational corporations (MNCs) is highly contingent upon regional cultural context, institutional settings, and the strategic requirements of global integration. This paper presents an extensive comparative study of different leadership styles and their effectiveness in five main regions around the world – North America, Europe, Asia-Pacific, Latin America, and the Middle East &amp; Africa – based on the GLOBE model, Hofstede's cultural dimensions, and cultural intelligence theory. This study uses a mixed methods approach that includes a cross-industry survey of 320 senior corporate executives from 28 countries; a series of semi-structured interviews; and six case studies of multinationals, and finds that there are systematic differences between regions in terms of leadership style prevalence, leader competencies, and performance. In particular, the findings show that transformational leadership always positively impacts organizational performance, but this relation is substantially influenced by power distance and collectivism. A new theoretical framework called the Cross-Regional Leadership Effectiveness Framework (CRLEF) is proposed that incorporates the influence of macro-level contextual factors and culture-specific moderators on organizational processes. The research also shows that leadership adaptability and cultural intelligence are both esse</w:t>
      </w:r>
    </w:p>
    <w:p>
      <w:pPr/>
      <w:r>
        <w:rPr>
          <w:b/>
        </w:rPr>
        <w:t>POSSIBLE 2024:</w:t>
      </w:r>
      <w:r>
        <w:t xml:space="preserve"> Exploring European decarbonisation pathways in the Power Decisions Game — https://doi.org/10.1186/s13705-024-00469-w</w:t>
      </w:r>
    </w:p>
    <w:p>
      <w:pPr/>
      <w:r>
        <w:rPr>
          <w:b/>
        </w:rPr>
        <w:t>Shared claim-specific concepts:</w:t>
      </w:r>
      <w:r>
        <w:t xml:space="preserve"> pathways, climate, used;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2023:</w:t>
      </w:r>
      <w:r>
        <w:t xml:space="preserve"> Critical Heritage Studies and the Futures of Europe — https://doi.org/10.14324/111.9781800083936</w:t>
      </w:r>
    </w:p>
    <w:p>
      <w:pPr/>
      <w:r>
        <w:rPr>
          <w:b/>
        </w:rPr>
        <w:t>Shared claim-specific concepts:</w:t>
      </w:r>
      <w:r>
        <w:t xml:space="preserve"> presents, series, urban, climate, used; EU scope visible. This is a provisional connection, not an outcome finding.</w:t>
      </w:r>
    </w:p>
    <w:p>
      <w:pPr>
        <w:pStyle w:val="SourceNote"/>
      </w:pPr>
      <w:r>
        <w:rPr>
          <w:b/>
        </w:rPr>
        <w:t>Available abstract (not full text):</w:t>
      </w:r>
      <w:r>
        <w:t xml:space="preserve"> Cultural and natural heritage are central to ‘Europe’ and ‘the European project’. They were bound up in the emergence of nation-states in the eighteenth and nineteenth centuries, where they were used to justify differences over which border conflicts were fought. Later, the idea of a ‘common European heritage’ provided a rationale for the development of the European Union. Now, the emergence of ‘new’ populist nationalisms shows how the imagined past continues to play a role in cultural and social governance, while a series of interlinked social and ecological crises are changing the ways that heritage operates. New discourses and ontologies are emerging to reconfigure heritage for the circumstances of the present and the uncertainties of the future. Taking the current role of heritage in Europe as its starting point, Critical Heritage Studies and the Futures of Europe presents a number of case studies that explore key themes in this transformation. Contributors draw on a range of disciplinary perspectives to consider, variously, the role of heritage and museums in the migration and climate ‘emergencies’; approaches to urban heritage conservation and practices of curating cities; digital and digitised heritage; the use of heritage as a therapeutic resource; and critical approaches to heritage and its management. Taken together, the chapters explore the multiple ontologies throug</w:t>
      </w:r>
    </w:p>
    <w:p>
      <w:pPr/>
      <w:r>
        <w:rPr>
          <w:b/>
        </w:rPr>
        <w:t>POSSIBLE 2023:</w:t>
      </w:r>
      <w:r>
        <w:t xml:space="preserve"> Time series forecasting methods in emergency contexts — https://doi.org/10.1038/s41598-023-42917-1</w:t>
      </w:r>
    </w:p>
    <w:p>
      <w:pPr/>
      <w:r>
        <w:rPr>
          <w:b/>
        </w:rPr>
        <w:t>Shared claim-specific concepts:</w:t>
      </w:r>
      <w:r>
        <w:t xml:space="preserve"> series, different, contexts, evolution, used; EU scope not established. This is a provisional connection, not an outcome finding.</w:t>
      </w:r>
    </w:p>
    <w:p>
      <w:pPr>
        <w:pStyle w:val="SourceNote"/>
      </w:pPr>
      <w:r>
        <w:rPr>
          <w:b/>
        </w:rPr>
        <w:t>Available abstract (not full text):</w:t>
      </w:r>
      <w:r>
        <w:t xml:space="preserve"> The key issues in any fire emergency are recognising fire hotspots, locating the emergency intervention team (EI), following the evolution of the fire, and selecting the evacuation path. This leads to the study and development of HelpResponder, a solution capable of detecting the focus of interest in hostile spaces derived from fire due to high temperatures without visibility. A study is conducted to determine which model best predicts measured [Formula: see text] levels. The variables used are temperature, humidity, and air quality, obtained from sensors installed in a fire tower. The statistical methods applied, namely ARIMAX, KNN, SVM, and TBATS, allow the adjustment and modelling of the variables. Explanatory variables with temporal structure are incorporated into SVM, a new improvement proposal. Moreover, combining different models showed the best efficiency in forecasting. In fact, another contribution of our work lies in offering a small-scale prediction system that is specifically designed to save batteries. The system has been tested and validated in a hostile environment (building), simulating real emergency situations. The system has been tested and validated in several hostile environments, simulating real emergency situations. It can help firefighters respond faster in an emergency. This reduces the risks associated with the lack of information and improves the tim</w:t>
      </w:r>
    </w:p>
    <w:p>
      <w:pPr/>
      <w:r>
        <w:rPr>
          <w:b/>
        </w:rPr>
        <w:t>POSSIBLE 2022:</w:t>
      </w:r>
      <w:r>
        <w:t xml:space="preserve"> European Security — https://doi.org/10.5771/9783748936459</w:t>
      </w:r>
    </w:p>
    <w:p>
      <w:pPr/>
      <w:r>
        <w:rPr>
          <w:b/>
        </w:rPr>
        <w:t>Shared claim-specific concepts:</w:t>
      </w:r>
      <w:r>
        <w:t xml:space="preserve"> presents, series, order; EU scope visible. This is a provisional connection, not an outcome finding.</w:t>
      </w:r>
    </w:p>
    <w:p>
      <w:pPr>
        <w:pStyle w:val="SourceNote"/>
      </w:pPr>
      <w:r>
        <w:rPr>
          <w:b/>
        </w:rPr>
        <w:t>Available abstract (not full text):</w:t>
      </w:r>
      <w:r>
        <w:t xml:space="preserve"> War with all its horrors has returned to the continent. Russia, with her war against Ukraine, has turned the entire post-war order upside down and triggered another crisis for Europe. Geopolitics must be based on a clear vision of a desired state, an assessment of the environment and an honest analysis of one’s own capabilities and means. The (geo)political decision must explore all legal boundaries to put aggressors permanently in their place. The EU has experienced a series of crises since 2008. Only a ‚sine ira et studio‘ approach will overcome this permanent crisis. This book presents the geopolitical options for security, foreign and economic policy, and strategic decisions.</w:t>
      </w:r>
    </w:p>
    <w:p>
      <w:pPr/>
      <w:r>
        <w:rPr>
          <w:b/>
        </w:rPr>
        <w:t>POSSIBLE 2022:</w:t>
      </w:r>
      <w:r>
        <w:t xml:space="preserve"> Greening Europe — https://openalex.org/W7137726371</w:t>
      </w:r>
    </w:p>
    <w:p>
      <w:pPr/>
      <w:r>
        <w:rPr>
          <w:b/>
        </w:rPr>
        <w:t>Shared claim-specific concepts:</w:t>
      </w:r>
      <w:r>
        <w:t xml:space="preserve"> presents, series; EU scope visible. This is a provisional connection, not an outcome finding.</w:t>
      </w:r>
    </w:p>
    <w:p>
      <w:pPr>
        <w:pStyle w:val="SourceNote"/>
      </w:pPr>
      <w:r>
        <w:rPr>
          <w:b/>
        </w:rPr>
        <w:t>Available abstract (not full text):</w:t>
      </w:r>
      <w:r>
        <w:t xml:space="preserve"> The third installment of the ‘European Public Investment Outlook’ series is an important and timely publication that draws together recent analyses to recommend significant increases in public investment in green ventures. Compelling data from key economists affiliated with international organizations like the International Monetary Fund, European Investment Bank and the European Commission, as well as academic departments and policy institutes are a clarion call for green investment to boost the economy and put the planet on a sustainable path. Like its predecessors, the book presents the issues in a lucid and navigable manner. Part I explores the EU’s current levels of green public investment, as well as the challenges ahead in achieving net zero carbon emissions after years of decreasing funding and the obstacles presented by the COVID-19 pandemic and the Russian invasion of Ukraine. The public investment trends of France, Germany, Italy and Spain are systematically evaluated, as well as the REPowerEU policy – accelerated in Spring 2022 – to move away from Russia’s supply of fossil fuels. Part II focuses on the investment needed for green transition; the important economic and fiscal effects and benefits this would bring; and the reality of what is required before 2030 to achieve the EU’s carbon-neutral targets by 2050. Greening Europe is essential reading for economists, en</w:t>
      </w:r>
    </w:p>
    <w:p>
      <w:pPr/>
      <w:r>
        <w:rPr>
          <w:b/>
        </w:rPr>
        <w:t>POSSIBLE 2022:</w:t>
      </w:r>
      <w:r>
        <w:t xml:space="preserve"> European journal of science archives conferences series — https://doi.org/10.5281/zenodo.6481391</w:t>
      </w:r>
    </w:p>
    <w:p>
      <w:pPr/>
      <w:r>
        <w:rPr>
          <w:b/>
        </w:rPr>
        <w:t>Shared claim-specific concepts:</w:t>
      </w:r>
      <w:r>
        <w:t xml:space="preserve"> series, provide, order, used; EU scope visible. This is a provisional connection, not an outcome finding.</w:t>
      </w:r>
    </w:p>
    <w:p>
      <w:pPr>
        <w:pStyle w:val="SourceNote"/>
      </w:pPr>
      <w:r>
        <w:rPr>
          <w:b/>
        </w:rPr>
        <w:t>Available abstract (not full text):</w:t>
      </w:r>
      <w:r>
        <w:t xml:space="preserve"> Institute for Scientific Research and Publication\n\n&amp;\n\nResearch and Publishing Center virtualconferences. press\n\n \n\nEuropean journal of science archives conferences series/ Konferenzreihe der europäischen Zeitschrift für Wissenschaftsarchive\n\nInternet address: http://ifsrp.edu.ge/\n\nE-mail: info@ifsrp.edu.ge/\n\nPublished by Institute for Scientific Research and Publication &amp; Research and Publishing Center virtualconferences. press\n\nIssued monthly\n\nDOI https://doi.org/10.5281/zenodo.6481360\n\nHausarztzentrum Aachen-Forst Trierer Str. 67, 52078 Aachener, Germany\n\n \n\nRequirements for the authors.\n\nThe manuscript authors must provide reliable results of the work done, as well as an\n\nobjective judgment on the significance of the study. The data underlying the work should\n\nbe presented accurately, without errors. The work should contain enough details and bibliographic references for possible reproduction. False or knowingly erroneous statements\n\nare perceived as unethical behavior and unacceptable.\n\nAuthors should make sure that the original work is submitted and, if other authors' works or claims are used, provide appropriate bibliographic references or citations. Plagiarism\n\ncan exist in many forms - from representing someone else’s work as copyright to copying or paraphrasing significant parts of another’s work without attribution, as well as claim</w:t>
      </w:r>
    </w:p>
    <w:p>
      <w:pPr>
        <w:pStyle w:val="Heading2"/>
      </w:pPr>
      <w:r>
        <w:t>571.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2026:</w:t>
      </w:r>
      <w:r>
        <w:t xml:space="preserve"> Right to be Forgotten vs. Public Information Disclosure to Public Officials in Indonesia — https://doi.org/10.30996/mk.v19i1.132922</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advancement of information technology, which renders digital footprints permanent, has generated new problems in the protection of personal data, including for public officials who possess narrower privacy boundaries than private citizens. Research aims to explore the potential conflicts between the right to be forgotten and long-standing principle of transparency in Article 28F of the 1945 Republic of Indonesia's Constitution. Additionally, this paper looks at which public servants should be protected by the Right to Forget Law under Indonesian national laws or administrative regulations. This research deals with the difference between Indonesian National Laws for public servants and the right to be forgotten. It also discusses laws from “Republic of Indonesia No. 19/2016 Electronic Information Transactions Law of Republic of Indonesia No. 14/2008 Disclosure of Public Information Laws”. EU policy as well as the direction taken in member states such as France. The findings of the research show that the applicability of the Right to be Forgotten for public servants cannot be in an absolute form since information about their tasks of offices, track records, alleged ethical or legal violations, and actions that have an impact on the public is information that must remain accessible as part of public accountability. Additionally, this research reveals discrepancies in the court</w:t>
      </w:r>
    </w:p>
    <w:p>
      <w:pPr/>
      <w:r>
        <w:rPr>
          <w:b/>
        </w:rPr>
        <w:t>POSSIBLE 2026:</w:t>
      </w:r>
      <w:r>
        <w:t xml:space="preserve"> Constitutional Law Accountability for the Forgery of Public Officials' Documents — https://openalex.org/W7216626058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The authenticity of documents submitted by public officials constitutes a fundamental element of constitutional governance, administrative legitimacy, and the rule of law. In a democratic legal system, official documents serve not merely as administrative requirements but also as instruments that establish public trust and validate the constitutional authority exercised by state officials. The emergence of allegations involving forged educational or identity documents has raised significant constitutional and administrative concerns, as such misconduct extends beyond criminal liability and directly affects the legitimacy of public office and democratic governance. This study aims to examine the forms of constitutional law accountability applicable to public officials involved in document forgery and to analyze the existing mechanisms for administrative verification and legal responsibility within the Indonesian constitutional framework. The research employs a normative legal method using statutory, conceptual, and case approaches. Primary legal materials consist of the 1945 Constitution of the Republic of Indonesia, Law Number 30 of 2014 concerning Government Administration, Law Number 7 of 2017 concerning General Elections, the Indonesian Criminal Code, and relevant electoral regulations, which are examined through qualitative legal analysis using grammatical, systematic, and </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r>
        <w:rPr>
          <w:b/>
        </w:rPr>
        <w:t>POSSIBLE 2025:</w:t>
      </w:r>
      <w:r>
        <w:t xml:space="preserve"> Public Officials’ Lies and Their Effects on the Proliferation of Disinformation — https://doi.org/10.1017/9781009373272.008</w:t>
      </w:r>
    </w:p>
    <w:p>
      <w:pPr/>
      <w:r>
        <w:rPr>
          <w:b/>
        </w:rPr>
        <w:t>Shared claim-specific concepts:</w:t>
      </w:r>
      <w:r>
        <w:t xml:space="preserve"> officials, promote; EU scope not established. This is a provisional connection, not an outcome finding.</w:t>
      </w:r>
    </w:p>
    <w:p>
      <w:pPr>
        <w:pStyle w:val="SourceNote"/>
      </w:pPr>
      <w:r>
        <w:rPr>
          <w:b/>
        </w:rPr>
        <w:t>Available abstract (not full text):</w:t>
      </w:r>
      <w:r>
        <w:t xml:space="preserve"> State responses to the recent ‘crisis’ caused by misinformation in social media have mainly aimed to impose liability on those who facilitate its dissemination. Internet companies, especially large platforms, have deployed numerous techniques, measures and instruments to address the phenomenon. However, little has been done to assess the importance of who originates disinformation and, in particular, whether some originators of misinformation are acting contrary to their preexisting obligations to the public. My view is that it would be wrong to attribute only to social media a central or exclusive role in the new disinformation crisis that impacts the information ecosystem. I also believe that disinformation has different effects depending on who promotes it – particularly whether it is promoted by a person with a public role. Importantly, the law of many countries already reflects this distinction – across a variety of contexts, public officials are obligated both to affirmatively provide certain types of information, and to take steps to ensure that information is true. In contrast, private individuals rarely bear analogous obligations; instead, law often protects their misstatements, in order to prevent censorship and promote public discourse.</w:t>
      </w:r>
    </w:p>
    <w:p>
      <w:pPr/>
      <w:r>
        <w:rPr>
          <w:b/>
        </w:rPr>
        <w:t>POSSIBLE 2024:</w:t>
      </w:r>
      <w:r>
        <w:t xml:space="preserve"> Does the European Union's rule of law require the criminalisation of EU public officials? A first appraisal — https://doi.org/10.1111/eulj.12507</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Abstract This article emphasises the role of criminal law as a strategic form of accountability aimed at safeguarding the EU rule of law, especially when public officials are entrusted with powers that may violate fundamental rights. Abuses committed in the context of border management serve as a case study and a test bench for the more general argument developed in the contribution. It is argued that criminal law—through sanctioning serious abuse of power irrespective of any lucrative intent—contributes to the legitimacy of policies and actions carried out in the name of the union. As impunity gaps may result from the difficult application of domestic law, the article maintains that it is necessary to stigmatise at the union's level such misdeeds that go beyond cases of mere bad policy or ‘maladministration’. It therefore advocates for a directive requiring Member States to criminalise abuse of powers, which are in breach of the rule of law as one of the foundational values enshrined in Article 2 TEU.</w:t>
      </w:r>
    </w:p>
    <w:p>
      <w:pPr/>
      <w:r>
        <w:rPr>
          <w:b/>
        </w:rPr>
        <w:t>POSSIBLE 2024:</w:t>
      </w:r>
      <w:r>
        <w:t xml:space="preserve"> MODERNIZING THE TRAINING OF LOCAL GOVERNMENT OFFICIALS IN UKRAINE BASED ON CONTEMPORARY EUROPEAN EXPERIENCE — https://doi.org/10.70651/3041-2498/2024.1.01</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aim of this article is to examine the key aspects of the professional training systems for employees in local self-government in Western Europe, using the French Republic (a unitary system) and the Federal Republic of Germany (a federal system) as case studies, and to assess the feasibility of applying this experience in Ukraine. The study demonstrates that, in many European countries, the professional training of local government officials is implemented as part of a national strategy. In most cases, the role of the public sector is limited to incorporating relevant courses and electives into university curricula. However, there is an increasing trend toward fruitful collaboration between municipalities and educational institutions in the training of relevant professionals. The analysis of European practices in developing conceptual frameworks for training specialists in local self-government allows for several conclusions to be drawn for Ukraine. Given that the current democratic public administration system in Ukraine cannot ensure that vacant elected positions in local self-government bodies will be filled exclusively by certified specialists in the field, it is advisable for the state to support non-governmental educational institutions that prepare professionals for local self-government, based on the demands of the national ‘labor market’. In the current context of l</w:t>
      </w:r>
    </w:p>
    <w:p>
      <w:pPr/>
      <w:r>
        <w:rPr>
          <w:b/>
        </w:rPr>
        <w:t>POSSIBLE 2024:</w:t>
      </w:r>
      <w:r>
        <w:t xml:space="preserve"> Features of preventing abuse of authority or official position committed by public servants — https://doi.org/10.24144/2307-3322.2024.83.3.4</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Corruption in Ukraine is recognized as a threat to national interests, sustainable development and European integration. Despite the significant efforts made by the state and international institutions to overcome corruption in the main spheres of public life, its level still remains high. When defining the essence of corruption, one should first of all proceed from the fact that it cannot be reduced to any specific socially dangerous act, to a specific offense. Corruption is the result of the historical development of society and the state, including Ukrainian society and the Ukrainian state. At the same time, in the last decade, corruption in Ukraine gained an unprecedented scope and influence on political, economic and other social processes. It іs found that the problems of countering corruption in Ukraine in many respects coincide with similar problems in other countries. This coincidence is caused by the same social essence of corruption as the corrosion of power, which consists in the abuse by officials of state authorities and local self-government bodies of power or official position for selfish or other personal interests. Regardless of the differences in the state system, the main socio-economic prerequisites of corruption are the same in principle for all countries − the imperfection of the mechanism of the exercise of power, the desire of subjects endowed with powe</w:t>
      </w:r>
    </w:p>
    <w:p>
      <w:pPr/>
      <w:r>
        <w:rPr>
          <w:b/>
        </w:rPr>
        <w:t>POSSIBLE 2023:</w:t>
      </w:r>
      <w:r>
        <w:t xml:space="preserve"> Prevention of corruption offenses by public officials: Experience from European Union countries — https://doi.org/10.46398/cuestpol.4177.24</w:t>
      </w:r>
    </w:p>
    <w:p>
      <w:pPr/>
      <w:r>
        <w:rPr>
          <w:b/>
        </w:rPr>
        <w:t>Shared claim-specific concepts:</w:t>
      </w:r>
      <w:r>
        <w:t xml:space="preserve"> officials, promote; EU scope visible. This is a provisional connection, not an outcome finding.</w:t>
      </w:r>
    </w:p>
    <w:p>
      <w:pPr>
        <w:pStyle w:val="SourceNote"/>
      </w:pPr>
      <w:r>
        <w:rPr>
          <w:b/>
        </w:rPr>
        <w:t>Available abstract (not full text):</w:t>
      </w:r>
      <w:r>
        <w:t xml:space="preserve"> The article analyzes the effectiveness of preventive anti-corruption measures in the countries of the European Union EU. The study involved comparison and forecasting methods. The results showed that the EU is leading its efforts to develop anti-corruption legislative initiatives and their implementation at national and international level. Whistle-blower protection laws adopted in EU countries are important tools for exposing illegal activities committed in organizations. Transparency of public administration in Denmark and Finland contributes to the maintenance of moral and legal standards in society. The Danish Code of Conduct in the Public Sector and the Finnish Anti-Corruption Guide for Small and Medium-Sized Enterprises have become documents that help promote corruption-free business relationships. The Finnish Harmaa (gray) project is an example of how data analytics helps law enforcement agencies process large volumes of data to prevent corruption offenses. It is concluded that the initiatives of EU countries to prevent corruption of officials can become an example for Ukraine during post-war recovery.</w:t>
      </w:r>
    </w:p>
    <w:p>
      <w:pPr/>
      <w:r>
        <w:rPr>
          <w:b/>
        </w:rPr>
        <w:t>POSSIBLE 2023:</w:t>
      </w:r>
      <w:r>
        <w:t xml:space="preserve"> Government Digitalization in Overcoming Inefficiency of National Budget Utilization for Official Travel of Government Officials — https://openalex.org/W7218059295</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Inefficiency of state and regional budget utilization for government trip occasions is concerned by numerous parties, one of them is the President of the Republic of Indonesia. The main headlight is bureaucracy personnels always spend a huge number of proposed state and regional budgets just for official trips. In order to solve this problem, the government digitalization concept can be applied. It also persuaded the researcher to do this research with a main purpose is identifying positive implications of implementing government digitalization to minimize inefficiency in the public budget for bureaucracy trips. This study was designed by using descriptive qualitative to achieve a holistic situation about the researched topic. As a way to gain essential data several techniques have been used such as: interview, observation, and literature study. In addition, purposive sampling was used to choose the suitable informants. The result of this research exposes that government digitalization is able to be implemented in order to solve the main focus of the research. As a suggestion, the governments have responsibility to construct an integrated systems which do several required occasions such as: showing the contract of the trips, addressing public budget utilization during the trips, and optimizing the acquired outputs of the trips.</w:t>
      </w:r>
    </w:p>
    <w:p>
      <w:pPr/>
      <w:r>
        <w:rPr>
          <w:b/>
        </w:rPr>
        <w:t>POSSIBLE 2022:</w:t>
      </w:r>
      <w:r>
        <w:t xml:space="preserve"> The High Note of Meaning: A Case Study of Public Service Motivation of Local Government Officials — https://doi.org/10.3390/socsci11090411</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Public service motivation (PSM) has provided a new breadth to the study of what attracts and retains workers in public organizations committed to the public mission. The present research contributes to the topic by exploring local government workers’ motivation for public service, the meaning they attribute to their activity as public servants, and the relations between PSM and the meaning of work (MOW). An adaptation of the PSM scale to the Portuguese language and context and the local level of public administration is proposed based on a sample of seventeen surveyed municipalities involving 252 participants. Within the analyzed context, dedication to the public interest is the most important factor of public service motivation and, alongside self-sacrifice, more common in older public servants and those with higher educational degrees. Workers with temporary job contracts rank higher in indifference and disbelief in politics as opposed to those workers with tenure who show a higher dedication to the public interest. The majority of the participants consider their work to be purposeful and meaningful, a state that is significantly positively correlated with the more altruistic dimensions of PSM, self-sacrifice and dedication to the public interest, suggesting a profitable venue of organizational research and work policy benchmarking.</w:t>
      </w:r>
    </w:p>
    <w:p>
      <w:pPr/>
      <w:r>
        <w:rPr>
          <w:b/>
        </w:rPr>
        <w:t>POSSIBLE 2022:</w:t>
      </w:r>
      <w:r>
        <w:t xml:space="preserve"> Malaysian Government Officials Induced in Public Procurement Fraud through the Lens of Fraud Diamond Analysis — https://doi.org/10.17576/ajag-2022-18-01</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Public procurement fraud by government officials has resulted in a sizeable loss of public funds, subsequently smearing a bad reputation of a local institution in the eyes of the public. The appropriate parties and the government as the trustees of public funds should tackle the presence of the propelling elements in driving government officials to engage in fraudulent behaviour. Besides, they should also ensure to eradicate, or at the least, prevent the problem from worsening. Therefore, this study attempted to determine the effect of fraud diamond analysis on public procurement fraud. Fraud Diamond is measured by perceived pressure, rationalisation, opportunity, and capability. The researchers gathered primary data through a survey using 165 questionnaires distributed to the government officials of all 27 ministries at the Federal level. Several statistical techniques such as descriptive statistics, correlation, and regression analysis were used to analyse the data from the survey. Four hypotheses were developed, and the findings showed that perceived pressure, perceived rationalisation, and perceived capability significantly influenced public procurement fraud by government officials, hence being accepted. In contrast, the perceived opportunity was rejected. This study aids academics, legislators, lawmakers, sociologists, psychologists, and those engaged in financial crime s</w:t>
      </w:r>
    </w:p>
    <w:p>
      <w:pPr>
        <w:pStyle w:val="Heading2"/>
      </w:pPr>
      <w:r>
        <w:t>572.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increase, relative, between;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From runoff to circular resource: an integrated optimization framework for cost, energy, and GHG performance in urban stormwater systems — https://doi.org/10.1038/s41545-026-00585-4</w:t>
      </w:r>
    </w:p>
    <w:p>
      <w:pPr/>
      <w:r>
        <w:rPr>
          <w:b/>
        </w:rPr>
        <w:t>Shared claim-specific concepts:</w:t>
      </w:r>
      <w:r>
        <w:t xml:space="preserve"> ghg, emissions, annual, between, key; EU scope not established. This is a provisional connection, not an outcome finding.</w:t>
      </w:r>
    </w:p>
    <w:p>
      <w:pPr>
        <w:pStyle w:val="SourceNote"/>
      </w:pPr>
      <w:r>
        <w:rPr>
          <w:b/>
        </w:rPr>
        <w:t>Available abstract (not full text):</w:t>
      </w:r>
      <w:r>
        <w:t xml:space="preserve"> Stormwater reuse is a key strategy for advancing integrated urban water management under the One Water framework, yet identifying sustainable treatment trains remains challenging due to trade-offs among cost, energy, and emissions. This study presents an integrated techno-economic and environmental optimization framework to identify optimal end-use-specific stormwater treatment systems for the eastern United States. A mixed-integer nonlinear programming superstructure integrates cost, energy, and life cycle greenhouse gas emissions data for a suite of technologies—including coagulation, sedimentation, constructed wetlands, filtration, membranes, and disinfection—across five end uses: drinking, industrial, irrigation, infrastructure, and surface-water recharge. Results reveal that cost-optimal treatment trains generally align with emission-optimal trains for drinking water, irrigation, and infrastructure, as treatment flexibility is constrained by either stringent (drinking water) or lenient (irrigation, infrastructure) quality requirements that limit flexibility. Industrial and surface-water recharge pathways exhibit greater differentiation among objectives, reflecting trade-offs between costs and emissions. Under typical influent conditions, levelized costs range from $0.06–$0.20 m⁻³, life cycle GHG emissions from 0.14–0.35 kg CO₂-eq m⁻³, and energy consumption from 0.3–0.8 kW</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2025:</w:t>
      </w:r>
      <w:r>
        <w:t xml:space="preserve"> The future of EU tax policy harmonisation: Cost of non-Europe report — https://doi.org/10.2861/8675836</w:t>
      </w:r>
    </w:p>
    <w:p>
      <w:pPr/>
      <w:r>
        <w:rPr>
          <w:b/>
        </w:rPr>
        <w:t>Shared claim-specific concepts:</w:t>
      </w:r>
      <w:r>
        <w:t xml:space="preserve"> agreement, commission, council; EU scope visible. This is a provisional connection, not an outcome finding.</w:t>
      </w:r>
    </w:p>
    <w:p>
      <w:pPr>
        <w:pStyle w:val="SourceNote"/>
      </w:pPr>
      <w:r>
        <w:rPr>
          <w:b/>
        </w:rPr>
        <w:t>Available abstract (not full text):</w:t>
      </w:r>
      <w:r>
        <w:t xml:space="preserve"> tax rules but also from inconsistent administrative procedures, digitalisation gaps and duplicated requirements across jurisdictions.In this context, the fragmentation of national tax regimes undermines the EU's capacity to uphold fair competition, ensure fiscal sustainability and deliver on its strategic objectives.It weakens the collective ability to address cross-border tax evasion, enforce equitable taxation of digital and intangible assets and respond to global developments such as the OECD/G20 minimum corporate tax agreement.Moreover, the rising demand for a more competitive, socially cohesive and strategically autonomous Europe -as underscored in the Letta and Draghi reports 2 -places renewed emphasis on the need for coherence in tax policy.From the perspective of European integration, a more coordinated tax framework is thus essential to support the smooth functioning of the internal market.Fragmentation in tax rules could act as a de facto barrier to investment, 3 labour mobility, 4 and cross-border services, 5 eroding the core economic freedoms of the Union.6 It also contributes to legal uncertainty, as recent State aid investigations and rulings by the Court of Justice of the European Union (e.g. in the Apple and Amazon cases) have shown, 7 potentially deterring both investors and Member States from pursuing optimal tax strategies.While full harmonisation may remain </w:t>
      </w:r>
    </w:p>
    <w:p>
      <w:pPr/>
      <w:r>
        <w:rPr>
          <w:b/>
        </w:rPr>
        <w:t>POSSIBLE 2024:</w:t>
      </w:r>
      <w:r>
        <w:t xml:space="preserve"> From Policy to Practice: Upper Bound Cost Estimates of Europes Green Hydrogen Ambitions — https://doi.org/10.48550/arxiv.2406.07149</w:t>
      </w:r>
    </w:p>
    <w:p>
      <w:pPr/>
      <w:r>
        <w:rPr>
          <w:b/>
        </w:rPr>
        <w:t>Shared claim-specific concepts:</w:t>
      </w:r>
      <w:r>
        <w:t xml:space="preserve"> increase, commission; EU scope visible. This is a provisional connection, not an outcome finding.</w:t>
      </w:r>
    </w:p>
    <w:p>
      <w:pPr>
        <w:pStyle w:val="SourceNote"/>
      </w:pPr>
      <w:r>
        <w:rPr>
          <w:b/>
        </w:rPr>
        <w:t>Available abstract (not full text):</w:t>
      </w:r>
      <w:r>
        <w:t xml:space="preserve"> As the European countries strive to meet their ambitious climate goals, renewable hydrogen has emerged to aid in decarbonizing energy-intensive sectors and support the overall energy transition. To ensure that hydrogen production aligns with these goals, the European Commission has introduced criteria for additionality, temporal correlation, and geographical correlation. These criteria are designed to ensure that hydrogen production from renewable sources supports the growth of renewable energy. This study assesses the impact of these criteria on green hydrogen production, focusing on production costs and technology impacts. The European energy market is simulated up to 2048 using stochastic programming, applying these requirements exclusively to green hydrogen production without the phased-in compliance period outlined in the EU regulations. The findings show that meeting the criteria will increase expected system costs by 82 billion euro from 2024 to 2048, largely due to the rapid shift from fossil fuels to renewable energy. The additionality requirement, which mandates the use of new renewable energy installations for electrolysis, proves to be the most expensive, but also the most effective in accelerating renewable energy adoption.</w:t>
      </w:r>
    </w:p>
    <w:p>
      <w:pPr/>
      <w:r>
        <w:rPr>
          <w:b/>
        </w:rPr>
        <w:t>POSSIBLE 2024:</w:t>
      </w:r>
      <w:r>
        <w:t xml:space="preserve"> Policy complexity and implementation performance in the European Union — https://doi.org/10.1111/rego.12580</w:t>
      </w:r>
    </w:p>
    <w:p>
      <w:pPr/>
      <w:r>
        <w:rPr>
          <w:b/>
        </w:rPr>
        <w:t>Shared claim-specific concepts:</w:t>
      </w:r>
      <w:r>
        <w:t xml:space="preserve"> between, commission; EU scope visible. This is a provisional connection, not an outcome finding.</w:t>
      </w:r>
    </w:p>
    <w:p>
      <w:pPr>
        <w:pStyle w:val="SourceNote"/>
      </w:pPr>
      <w:r>
        <w:rPr>
          <w:b/>
        </w:rPr>
        <w:t>Available abstract (not full text):</w:t>
      </w:r>
      <w:r>
        <w:t xml:space="preserve"> This study examines the relationship between the complexity of EU directives and their successful implementation at the national level. Moving beyond the state‐of‐the‐art, we propose a comprehensive framework considering structural, linguistic, and relational dimensions of policy complexity. We argue that policy complexity entails higher transaction costs, hindering effective implementation. Using a novel dataset covering roughly 1000 directives from 1994 to 2022, we find strong evidence of policy complexity negatively impacting implementation performance. Moreover, we find that states with higher administrative capacity are better able to process high complexity efficiently and that Eurosceptic member states attract fewer infringement proceedings in highly complex policy environments than Europhile member states. This could alternatively point to strategic enforcement behavior of the Commission or to bureaucracies that are less Eurosceptic than their political masters might wish for. Our study thereby contributes to a deeper understanding of the challenges of successful implementation of EU directives.</w:t>
      </w:r>
    </w:p>
    <w:p>
      <w:pPr/>
      <w:r>
        <w:rPr>
          <w:b/>
        </w:rPr>
        <w:t>POSSIBLE 2024:</w:t>
      </w:r>
      <w:r>
        <w:t xml:space="preserve"> Forecasting long-term energy demand and reductions in GHG emissions — https://doi.org/10.1007/s12053-024-10203-2</w:t>
      </w:r>
    </w:p>
    <w:p>
      <w:pPr/>
      <w:r>
        <w:rPr>
          <w:b/>
        </w:rPr>
        <w:t>Shared claim-specific concepts:</w:t>
      </w:r>
      <w:r>
        <w:t xml:space="preserve"> ghg, emissions;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How to calculate GHG emissions in freight transport? A review of the main existing online tools — https://doi.org/10.1016/j.cstp.2024.101343</w:t>
      </w:r>
    </w:p>
    <w:p>
      <w:pPr/>
      <w:r>
        <w:rPr>
          <w:b/>
        </w:rPr>
        <w:t>Shared claim-specific concepts:</w:t>
      </w:r>
      <w:r>
        <w:t xml:space="preserve"> percent, ghg, emissions; EU scope not established. This is a provisional connection, not an outcome finding.</w:t>
      </w:r>
    </w:p>
    <w:p>
      <w:pPr>
        <w:pStyle w:val="SourceNote"/>
      </w:pPr>
      <w:r>
        <w:rPr>
          <w:b/>
        </w:rPr>
        <w:t>Available abstract (not full text):</w:t>
      </w:r>
      <w:r>
        <w:t xml:space="preserve"> About 23 percent of global greenhouse gas emissions are caused by the transportation sector. According to the Organization for Economic Co-operation and Development freight transport-related demand in 2050 is expected to triple compared to the values recorded in 2019. In order to comply with regulations that aim to meet precise targets in terms of reducing greenhouse gas emissions, it is necessary to objectively measure the impact of transportation activities with the aim of mitigating emissions. To do this, it is mandatory to have accurate and user-friendly calculation tools. The purpose of this paper is to compare the most widely used tools to assess CO 2 e transport emissions in transportation, also comparing them to the GLEC methodology, which is compliant with ISO regulations universally recognized as the most appropriate procedure. 3 case studies related to intermodal transport scenarios are assessed and compared using the considered tools. Based on the analyses performed, this research finally proposes some recommendations for reliable calculation of CO 2 e emissions, in compliance with ISO 14083.</w:t>
      </w:r>
    </w:p>
    <w:p>
      <w:pPr/>
      <w:r>
        <w:rPr>
          <w:b/>
        </w:rPr>
        <w:t>POSSIBLE 2024:</w:t>
      </w:r>
      <w:r>
        <w:t xml:space="preserve"> The Environmental Kuznets Curve (EKC) Hypothesis on GHG emissions: analyses for transportation industry of South Africa — https://doi.org/10.1007/s43621-024-00518-6</w:t>
      </w:r>
    </w:p>
    <w:p>
      <w:pPr/>
      <w:r>
        <w:rPr>
          <w:b/>
        </w:rPr>
        <w:t>Shared claim-specific concepts:</w:t>
      </w:r>
      <w:r>
        <w:t xml:space="preserve"> ghg, emissions, gdp, between; EU scope not established. This is a provisional connection, not an outcome finding.</w:t>
      </w:r>
    </w:p>
    <w:p>
      <w:pPr>
        <w:pStyle w:val="SourceNote"/>
      </w:pPr>
      <w:r>
        <w:rPr>
          <w:b/>
        </w:rPr>
        <w:t>Available abstract (not full text):</w:t>
      </w:r>
      <w:r>
        <w:t xml:space="preserve"> A series of energy-econometrics techniques were employed for a 5-year time span between 2016 and 2020. The tests of Environmental Kuznets Curve (EKC) hypothesis were conducted essentially to examine the significance of economic growth (GDP), energy consumption (EC), with energy intensity (EI), and on-road passenger vehicles (PV) as related to economic development on the mitigation of carbon emissions (CO 2 - eq ) in the transportation industry of South Africa. The findings from the prevailing research imply that, with respect to South Africa’s transportation industry, CO 2 - eq emissions increased in the course of early phases of economic growth while it tends to decline at certain levels of economic threshold. Though the nation maintains the edge of turning points in both the industrial and circular economy. The results further indicate a nexus between GDP and EC, which consequently affect the CO 2 - eq emissions. The findings proffer the needs to monitor the EC from the long-run impacts alongside the short run impacts of the forecast. The per capita GDP from the short-run impacts of t-stat—(4.928) to the long run effects of t-stat—(5.033) rises, indicating its improper influence in the industry. To limit the use of fossil-based fuels, as demonstrated in the negative signal of EI for long-run impacts of a p-value (0.2835), then to the short run effects which possess a signific</w:t>
      </w:r>
    </w:p>
    <w:p>
      <w:pPr/>
      <w:r>
        <w:rPr>
          <w:b/>
        </w:rPr>
        <w:t>POSSIBLE 2024:</w:t>
      </w:r>
      <w:r>
        <w:t xml:space="preserve"> Carbon and cost accounting for liner shipping under the European Union Emission Trading System — https://doi.org/10.3389/fmars.2024.1291968</w:t>
      </w:r>
    </w:p>
    <w:p>
      <w:pPr/>
      <w:r>
        <w:rPr>
          <w:b/>
        </w:rPr>
        <w:t>Shared claim-specific concepts:</w:t>
      </w:r>
      <w:r>
        <w:t xml:space="preserve"> emissions, reduction, increase, corresponding, between, key; EU scope visible. This is a provisional connection, not an outcome finding.</w:t>
      </w:r>
    </w:p>
    <w:p>
      <w:pPr>
        <w:pStyle w:val="SourceNote"/>
      </w:pPr>
      <w:r>
        <w:rPr>
          <w:b/>
        </w:rPr>
        <w:t>Available abstract (not full text):</w:t>
      </w:r>
      <w:r>
        <w:t xml:space="preserve"> Excessive CO 2 emissions and increased total costs of liner shipping are the two main problems affecting the environmental and economic benefits of liner companies under the European Union Emission Trading System (EU ETS). To address the upcoming EU ETS, we propose a carbon and cost accounting model for liner shipping that accurately calculates CO 2 emissions and total cost of liner shipping. We conduct a case study that a containership operates on the liner route from the Far East to Northwest Europe. The results show that the sailing stage plays a pivotal role in CO 2 emissions from liner shipping, accounting for 94.70% of CO 2 emissions. Among four types of fuel, CO 2 emissions from liner shipping using MGO is the largest, while CO 2 emissions from liner shipping using methanol is the smallest. Methanol, as an alternative fuel, proves to be a better choice than LNG for CO 2 control of liner shipping. The relationship between sailing speed and CO 2 emissions follows a U-shaped curve for the selected containership. Notably, speed reduction is effective in carbon control of liner shipping only when the sailing speed exceeds 8.29 knots. Under the EU ETS, sailing speed is a key variable affecting the total cost of liner shipping. Speed reduction may not always be cost-effective. When keeping the total cost of liner shipping unchanged, sailing speed should be reduced as the EU all</w:t>
      </w:r>
    </w:p>
    <w:p>
      <w:pPr>
        <w:pStyle w:val="Heading2"/>
      </w:pPr>
      <w:r>
        <w:t>573.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2026:</w:t>
      </w:r>
      <w:r>
        <w:t xml:space="preserve"> H5N1 Transmission Dynamics in Europe: An Endemic-Epidemic Analysis — https://doi.org/10.5281/zenodo.20194753</w:t>
      </w:r>
    </w:p>
    <w:p>
      <w:pPr/>
      <w:r>
        <w:rPr>
          <w:b/>
        </w:rPr>
        <w:t>Shared claim-specific concepts:</w:t>
      </w:r>
      <w:r>
        <w:t xml:space="preserve"> findings, additional, also, support; EU scope visible. This is a provisional connection, not an outcome finding.</w:t>
      </w:r>
    </w:p>
    <w:p>
      <w:pPr>
        <w:pStyle w:val="SourceNote"/>
      </w:pPr>
      <w:r>
        <w:rPr>
          <w:b/>
        </w:rPr>
        <w:t>Available abstract (not full text):</w:t>
      </w:r>
      <w:r>
        <w:t xml:space="preserve"> Highly Pathogenic Avian Influenza H5N1 has caused repeated outbreaks across Europe since 2021, highlighting the need for quantitative frameworks that can support forecasting outbreak dynamics while accounting for temporal and spatial dependence in reported outbreak activity. We developed a spatio-temporal endemic-epidemic model using weekly H5N1 outbreak data from 37 European countries over 208 weeks (2021-2024). A structured feature selection framework was used to screen ecological, environmental, livestock, and anthropogenic covariates and allocate retained predictors across the endemic, autoregressive, and neighbourhood components. Model development and validation were temporally separated, and the final specification was evaluated on an independent 2024 test period against regression baselines and reduced HHH4 models. The final model retained 11 predictors, including several avian community variables together with environmental, livestock, and anthropogenic factors. The autoregressive component accounted for the largest share of fitted incidence, followed by the neighbourhood and endemic components, indicating that recent within-country outbreak activity provided the strongest predictive information while neighbouring-country activity contributed additional value. The proposed HHH4 model achieved the best overall probabilistic predictive performance among the models evaluat</w:t>
      </w:r>
    </w:p>
    <w:p>
      <w:pPr/>
      <w:r>
        <w:rPr>
          <w:b/>
        </w:rPr>
        <w:t>POSSIBLE 2026:</w:t>
      </w:r>
      <w:r>
        <w:t xml:space="preserve"> ACHIEVING SDG 11 IN EUROPE: ASSESSING THE ROLE OF ENERGY USE AND CARBON FOOTPRINTS IN SHAPING SUSTAINABLE CITIES AND COMMUNITIES — https://doi.org/10.15666/aeer/2404_84718505</w:t>
      </w:r>
    </w:p>
    <w:p>
      <w:pPr/>
      <w:r>
        <w:rPr>
          <w:b/>
        </w:rPr>
        <w:t>Shared claim-specific concepts:</w:t>
      </w:r>
      <w:r>
        <w:t xml:space="preserve"> findings, highlight, achieving, emissions, also; EU scope visible. This is a provisional connection, not an outcome finding.</w:t>
      </w:r>
    </w:p>
    <w:p>
      <w:pPr>
        <w:pStyle w:val="SourceNote"/>
      </w:pPr>
      <w:r>
        <w:rPr>
          <w:b/>
        </w:rPr>
        <w:t>Available abstract (not full text):</w:t>
      </w:r>
      <w:r>
        <w:t xml:space="preserve"> Using panel data covering 30 European countries from 2010 to 2024, the study investigates how energy consumption patterns and economic factors influence carbon intensity of GDP, greenhouse gas emissions, and urban sustainability outcomes. The empirical analysis applies panel econometric techniques, including pooled ordinary least squares (OLS), fixed effects (FE), and random effects (RE) models, to examine the relationships between energy use, renewable energy adoption, trade openness, economic growth, and environmental outcomes. The findings show that total energy use significantly increases carbon intensity and greenhouse gas emissions, indicating continued reliance on carbon-intensive energy systems. In contrast, higher per capita energy use and greater reliance on renewable energy sources contribute to reducing carbon intensity and improving urban sustainability outcomes. Trade openness is also found to increase emissions, suggesting the presence of pollution-intensive production patterns linked to global trade integration. In addition, climate-related government spending and renewable energy expansion demonstrate potential in mitigating emissions and supporting sustainable urban development. In conclusion, the results highlight the importance of improving energy efficiency and accelerating renewable energy transitions to achieve sustainable urban development and strengthen</w:t>
      </w:r>
    </w:p>
    <w:p>
      <w:pPr/>
      <w:r>
        <w:rPr>
          <w:b/>
        </w:rPr>
        <w:t>POSSIBLE 2025:</w:t>
      </w:r>
      <w:r>
        <w:t xml:space="preserve"> Towards a harmonized operational earthquake forecasting model for Europe — https://doi.org/10.5194/nhess-25-991-2025</w:t>
      </w:r>
    </w:p>
    <w:p>
      <w:pPr/>
      <w:r>
        <w:rPr>
          <w:b/>
        </w:rPr>
        <w:t>Shared claim-specific concepts:</w:t>
      </w:r>
      <w:r>
        <w:t xml:space="preserve"> findings, highlight, not; EU scope visible. This is a provisional connection, not an outcome finding.</w:t>
      </w:r>
    </w:p>
    <w:p>
      <w:pPr>
        <w:pStyle w:val="SourceNote"/>
      </w:pPr>
      <w:r>
        <w:rPr>
          <w:b/>
        </w:rPr>
        <w:t>Available abstract (not full text):</w:t>
      </w:r>
      <w:r>
        <w:t xml:space="preserve"> Abstract. We develop a harmonized earthquake forecasting model for Europe based on the Epidemic-type Aftershock Sequence (ETAS) model to describe the spatio-temporal evolution of aftershock sequences. We propose a method modification that integrates information from the European Seismic Hazard Model (ESHM20) about the spatial variation of background seismicity during ETAS parameter inversion based on the expectation-maximization (EM) algorithm. Other modifications to the basic ETAS model are explored, namely fixing the productivity term to a higher value to balance the more productive triggering by high-magnitude events with their much rarer occurrence, and replacing the b-value estimate with one relying on the b-positive method to observe the possible effect of short-term incompleteness on model parameters. Retrospective and pseudo-prospective tests demonstrate that ETAS-based models outperform the time-independent benchmark model as well as an ETAS model calibrated on global data. The background-informed ETAS variant achieves the highest score in the pseudo-prospective experiment, but the performance difference to the second-best model is not significant. Our findings highlight promising areas for future exploration, such as avoiding the simplification of using a single b-value for the entire region or reevaluating the completeness of the used seismic catalogs.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findings, also, climate;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r>
        <w:rPr>
          <w:b/>
        </w:rPr>
        <w:t>POSSIBLE 2025:</w:t>
      </w:r>
      <w:r>
        <w:t xml:space="preserve"> Analysis of solar and wind energy utilisation in Europe and Africa — https://doi.org/10.70132/z8468559752</w:t>
      </w:r>
    </w:p>
    <w:p>
      <w:pPr/>
      <w:r>
        <w:rPr>
          <w:b/>
        </w:rPr>
        <w:t>Shared claim-specific concepts:</w:t>
      </w:r>
      <w:r>
        <w:t xml:space="preserve"> findings, highlight, achieving, policies, climate; EU scope visible. This is a provisional connection, not an outcome finding.</w:t>
      </w:r>
    </w:p>
    <w:p>
      <w:pPr>
        <w:pStyle w:val="SourceNote"/>
      </w:pPr>
      <w:r>
        <w:rPr>
          <w:b/>
        </w:rPr>
        <w:t>Available abstract (not full text):</w:t>
      </w:r>
      <w:r>
        <w:t xml:space="preserve">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pPr/>
      <w:r>
        <w:rPr>
          <w:b/>
        </w:rPr>
        <w:t>POSSIBLE 2025:</w:t>
      </w:r>
      <w:r>
        <w:t xml:space="preserve"> Green Finance, Innovation, and Financial Markets: Shaping Industrial Resilience in China and Europe — https://doi.org/10.55991/j.rjef.94187</w:t>
      </w:r>
    </w:p>
    <w:p>
      <w:pPr/>
      <w:r>
        <w:rPr>
          <w:b/>
        </w:rPr>
        <w:t>Shared claim-specific concepts:</w:t>
      </w:r>
      <w:r>
        <w:t xml:space="preserve"> findings, highlight, achieving, also, support, green; EU scope visible. This is a provisional connection, not an outcome finding.</w:t>
      </w:r>
    </w:p>
    <w:p>
      <w:pPr>
        <w:pStyle w:val="SourceNote"/>
      </w:pPr>
      <w:r>
        <w:rPr>
          <w:b/>
        </w:rPr>
        <w:t>Available abstract (not full text):</w:t>
      </w:r>
      <w:r>
        <w:t xml:space="preserve"> This study examines the impact of green finance (GF), industrial innovation (II), and financial market dynamics (FMD) on industrial resilience (IR) in China and selected European industrialized nations. Panel data from 2003 to 2022 is utilized for empirical analysis. The study used FMOLS regression techniques to control for unobserved heterogeneity across countries. Similarly, GMM estimation is employed to address endogeneity concerns and validate the outcomes. This study proposes three empirical models for achieving its objectives. The models include a baseline model evaluating direct impacts, an interaction model investigating moderating connections, and a region-specific model comparing China with Europe. Findings reveal that GF, II, and FMD significantly enhance IR. Interaction effects indicate that the combined impact of GF and II, GF and FMD, and II and FMD also positively influence IR in the selected panel. Further examination of the regional comparisons reveals that while FMD is more substantial in Europe, China achieves more from GF and II. These results confirm the hypotheses of the study and highlight the importance of financial structures and policy frameworks in shaping industrial resilience. The study further recommends stronger financial market integration with sustainability initiatives in China and increased support for innovation in Europe.</w:t>
      </w:r>
    </w:p>
    <w:p>
      <w:pPr>
        <w:pStyle w:val="Heading2"/>
      </w:pPr>
      <w:r>
        <w:t>574.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spain, green;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New Approaches to Generate Data to Measure the Progress of Decarbonization of the Building Stock in Europe and Spain — https://doi.org/10.1007/978-3-031-51829-4_12</w:t>
      </w:r>
    </w:p>
    <w:p>
      <w:pPr/>
      <w:r>
        <w:rPr>
          <w:b/>
        </w:rPr>
        <w:t>Shared claim-specific concepts:</w:t>
      </w:r>
      <w:r>
        <w:t xml:space="preserve"> two, spain, energy, consumption; EU scope visible. This is a provisional connection, not an outcome finding.</w:t>
      </w:r>
    </w:p>
    <w:p>
      <w:pPr>
        <w:pStyle w:val="SourceNote"/>
      </w:pPr>
      <w:r>
        <w:rPr>
          <w:b/>
        </w:rPr>
        <w:t>Available abstract (not full text):</w:t>
      </w:r>
      <w:r>
        <w:t xml:space="preserve"> Abstract The European Commission has initiated efforts to establish indicator frameworks for monitoring building renovation policies and the decarbonization progress of the building stock, to be developed by EU Member States. The chapter suggests that the use of emerging technologies can improve the quality and availability of data for this purpose, focusing on two specific technologies whose potential is explored for the case of Spain. These technologies are, on one hand, georeferencing and automated cross-referencing of existing data, and, on the other, the Digital Building Logbook (DBL). The results of the study show that georeferencing and automated cross-referencing applications include calculating solar potential and estimating energy production, consumption, and emissions using Urban Energy Models (UBEMs). The UBEM, applied to Spain, enables the collection of previously unavailable indicators, improving data availability and quality mainly in the subjects of ‘An overview of the general characteristics of the national building stock’ and ‘An overview of the energy characteristics of the national building stock’. Examining the feasibility of collecting indicators through the DBL indicates that close to 69% of all necessary indicators for monitoring building renovation policies can be obtained. However, challenges in realizing DBL's full potential involve undefined tool mod</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between, based, variations;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High pathogenic avian influenza A(H5) viruses of clade 2.3.4.4b in Europe—Why trends of virus evolution are more difficult to predict — https://doi.org/10.1093/ve/veae027</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Since 2016, A(H5Nx) high pathogenic avian influenza (HPAI) virus of clade 2.3.4.4b has become one of the most serious global threats not only to wild and domestic birds, but also to public health. In recent years, important changes in the ecology, epidemiology, and evolution of this virus have been reported, with an unprecedented global diffusion and variety of affected birds and mammalian species. After the two consecutive and devastating epidemic waves in Europe in 2020-2021 and 2021-2022, with the second one recognized as one of the largest epidemics recorded so far, this clade has begun to circulate endemically in European wild bird populations. This study used the complete genomes of 1,956 European HPAI A(H5Nx) viruses to investigate the virus evolution during this varying epidemiological outline. We investigated the spatiotemporal patterns of A(H5Nx) virus diffusion to/from and within Europe during the 2020-2021 and 2021-2022 epidemic waves, providing evidence of ongoing changes in transmission dynamics and disease epidemiology. We demonstrated the high genetic diversity of the circulating viruses, which have undergone frequent reassortment events, providing for the first time a complete overview and a proposed nomenclature of the multiple genotypes circulating in Europe in 2020-2022. We described the emergence of a new genotype with gull adapted genes, which offered the </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two, transition, consumption;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2023:</w:t>
      </w:r>
      <w:r>
        <w:t xml:space="preserve"> Ecological and environmental factors affecting the risk of tick-borne encephalitis in Europe, 2017 to 2021 — https://doi.org/10.2807/1560-7917.es.2023.28.42.2300121</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BackgroundTick-borne encephalitis (TBE) is a disease which can lead to severe neurological symptoms, caused by the TBE virus (TBEV). The natural transmission cycle occurs in foci and involves ticks as vectors and several key hosts that act as reservoirs and amplifiers of the infection spread. Recently, the incidence of TBE in Europe has been rising in both endemic and new regions.AimIn this study we want to provide comprehensive understanding of the main ecological and environmental factors that affect TBE spread across Europe.MethodsWe searched available literature on covariates linked with the circulation of TBEV in Europe. We then assessed the best predictors for TBE incidence in 11 European countries by means of statistical regression, using data on human infections provided by the European Surveillance System (TESSy), averaged between 2017 and 2021.ResultsWe retrieved data from 62 full-text articles and identified 31 different covariates associated with TBE occurrence. Finally, we selected eight variables from the best model, including factors linked to vegetation cover, climate, and the presence of tick hosts.DiscussionThe existing literature is heterogeneous, both in study design and covariate types. Here, we summarised and statistically validated the covariates affecting the variability of TBEV across Europe. The analysis of the factors enhancing disease emergence is a </w:t>
      </w:r>
    </w:p>
    <w:p>
      <w:pPr/>
      <w:r>
        <w:rPr>
          <w:b/>
        </w:rPr>
        <w:t>POSSIBLE 2023:</w:t>
      </w:r>
      <w:r>
        <w:t xml:space="preserve"> Hepatitis A occurrence and outbreaks in Europe over the past two decades: A systematic review — https://doi.org/10.1111/jvh.13821</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Hepatitis A (HA) is a vaccine-preventable liver disease with &gt;170 million new cases occurring yearly. In recent outbreaks in the USA, hospitalization and case-fatality ratios were &gt;60% and ~1%, respectively. In Europe, endemicity persists and outbreaks continue to occur. We performed a systematic literature review to understand the changes in HA occurrence in Europe over the past two decades. PubMed and Embase were systematically searched for peer-reviewed articles published between 1 January 2001 and 14 April 2021 using terms covering HA, 11 selected European countries, outbreaks, outcomes and HA virus circulation. Here, we focus on HA occurrence and outbreaks in the five countries with the largest population and the most comprehensive vaccination recommendations: France, Germany, Italy, Spain and the UK; 118 reports included data for these five European countries. Notification rates (≤9.7/100,000 population) and percentages of men among cases (≤83.0%) peaked in 2017. The number of person-to-person-transmitted cases and outbreaks decreased in children but increased in other risk groups, such as men who have sex with men (MSM). Sexually transmitted outbreaks in MSM clustered around 2017. Travel-related outbreaks were few; the proportion of travel-related cases decreased during the past two decades, while the number of domestic cases increased. Despite the existing risk-based va</w:t>
      </w:r>
    </w:p>
    <w:p>
      <w:pPr>
        <w:pStyle w:val="Heading2"/>
      </w:pPr>
      <w:r>
        <w:t>575.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further, increased,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Consumption Patterns, Inflation, and Household Welfare: Demand-Based Equivalence Scales in Europe — https://doi.org/10.1007/s11205-026-03882-0</w:t>
      </w:r>
    </w:p>
    <w:p>
      <w:pPr/>
      <w:r>
        <w:rPr>
          <w:b/>
        </w:rPr>
        <w:t>Shared claim-specific concepts:</w:t>
      </w:r>
      <w:r>
        <w:t xml:space="preserve"> further, lower, consumption, reduce; EU scope visible. This is a provisional connection, not an outcome finding.</w:t>
      </w:r>
    </w:p>
    <w:p>
      <w:pPr>
        <w:pStyle w:val="SourceNote"/>
      </w:pPr>
      <w:r>
        <w:rPr>
          <w:b/>
        </w:rPr>
        <w:t>Available abstract (not full text):</w:t>
      </w:r>
      <w:r>
        <w:t xml:space="preserve"> Abstract Equivalence scales are a central component of distributional analysis. They adjust household incomes for size and composition, shaping poverty and inequality measurement. Most work relies on the modified OECD scale from the mid-1990s, despite substantial changes in consumption patterns since. We revisit equivalence scales for 23 European countries using a demand model based on the linear expenditure system and harmonised Household Budget Survey microdata for 2010–2020. We estimate three demand-based scales: a minimum needs scale anchored in subsistence, a utility implicit scale based on welfare equivalence under common preferences, and a utility explicit scale as a sensitivity check. Across specifications, the demand-based estimates generally imply larger economies of scale than the modified OECD scale, especially for larger households. Scales are lower at higher living standards and exhibit a modest downward trend over time. A simulation of 2020–2024 price changes shows that recent inflation is likely to further reduce scales, with stronger impacts for households with children. Regional heterogeneity persists, reflecting differences in prices, preferences and consumption patterns. Recomputing distributional indicators shows that poverty measures are more sensitive than inequality measures to the choice of equivalence scale. The utility implicit scale typically yields </w:t>
      </w:r>
    </w:p>
    <w:p>
      <w:pPr/>
      <w:r>
        <w:rPr>
          <w:b/>
        </w:rPr>
        <w:t>POSSIBLE 2024:</w:t>
      </w:r>
      <w:r>
        <w:t xml:space="preserve"> Import Dynamics in the Central and Eastern European Countries — https://doi.org/10.57017/jaes.v19.2(84).04</w:t>
      </w:r>
    </w:p>
    <w:p>
      <w:pPr/>
      <w:r>
        <w:rPr>
          <w:b/>
        </w:rPr>
        <w:t>Shared claim-specific concepts:</w:t>
      </w:r>
      <w:r>
        <w:t xml:space="preserve"> further, imports, international, positive; EU scope visible. This is a provisional connection, not an outcome finding.</w:t>
      </w:r>
    </w:p>
    <w:p>
      <w:pPr>
        <w:pStyle w:val="SourceNote"/>
      </w:pPr>
      <w:r>
        <w:rPr>
          <w:b/>
        </w:rPr>
        <w:t>Available abstract (not full text):</w:t>
      </w:r>
      <w:r>
        <w:t xml:space="preserve"> The dynamics of imports in Central and Eastern European countries are closely related to foreign direct investment and government policies. By reducing tariff and non-tariff barriers to imports and promoting trade and investment liberalization, governments can attract foreign capital and diversify the range of products and services available in the host economy. This interconnection between imports and foreign direct investment can have a positive impact on economic development and global integration, depending on national strategies and policies. The article examines the dynamics of imports in Central and Eastern European countries in relation to foreign direct investment and government policies and aims to identify trends, import differences, and adjustments made by each country to improve their economic development. The research highlights the ongoing evolution of international trade in the region and advocates for a strategic approach to trade and economic policy for economic expansion and resilience to external shocks.© 2024 The Author(s). This article is distributed under the terms of the license CC-BY 4.0., which permits any further distribution in any medium, provided the original work is properly cited.</w:t>
      </w:r>
    </w:p>
    <w:p>
      <w:pPr/>
      <w:r>
        <w:rPr>
          <w:b/>
        </w:rPr>
        <w:t>POSSIBLE 2023:</w:t>
      </w:r>
      <w:r>
        <w:t xml:space="preserve"> Disembedded consumption increases perceived justice — https://doi.org/10.1002/mar.21808</w:t>
      </w:r>
    </w:p>
    <w:p>
      <w:pPr/>
      <w:r>
        <w:rPr>
          <w:b/>
        </w:rPr>
        <w:t>Shared claim-specific concepts:</w:t>
      </w:r>
      <w:r>
        <w:t xml:space="preserve"> further, consumption, positive; EU scope not established. This is a provisional connection, not an outcome finding.</w:t>
      </w:r>
    </w:p>
    <w:p>
      <w:pPr>
        <w:pStyle w:val="SourceNote"/>
      </w:pPr>
      <w:r>
        <w:rPr>
          <w:b/>
        </w:rPr>
        <w:t>Available abstract (not full text):</w:t>
      </w:r>
      <w:r>
        <w:t xml:space="preserve"> Abstract The traditional theorizing of social justice analyzed people's perceived justice in a bounded society or institution. This conceptualization, however, has limitations in interpreting justice in a boundaryless society with high mobility of people and commodities, which is the reality of contemporary lives. We, therefore, introduce a new concept, “disembedded consumption” (i.e., one's consumption is not constrained by its grounding in the local context of a restricted time and space), to reinterpret social justice. Across five studies, we demonstrate that either human mobility or product mobility can predict disembedded consumption which increases people's perceived justice through heightened resource accessibility. Moreover, we provide further evidence that human mobility and product mobility can be compensated with each other to have a positive effect on disembedded consumption and consequently on perceived justice. The current research for the first time introduces “disembedded consumption” as a consequence of human mobility and product mobility and contributes to the literature on social justice.</w:t>
      </w:r>
    </w:p>
    <w:p>
      <w:pPr/>
      <w:r>
        <w:rPr>
          <w:b/>
        </w:rPr>
        <w:t>POSSIBLE 2023:</w:t>
      </w:r>
      <w:r>
        <w:t xml:space="preserve"> Anthropogenic heat release due to energy consumption exacerbates European summer extreme high temperature — https://doi.org/10.1007/s00382-023-06775-x</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Abstract Anthropogenic heat release (AHR) is the release of heat generated by anthropogenic energy consumption. The global mean flux of AHR is 0.03 W m −2 , while AHR is geographically concentrated and fundamentally correlates with economic activity; furthermore, AHR can reach a level sufficient for impacting regional even large-scale climate. In this study, the impacts of AHR on the summer European heatwaves (EHWs) are examined by using the Community Earth System Model version 1 (CESM1). The results show that in Europe, AHR increases the summer mean 2-m temperature by 0.26 °C and the surface minimum and maximum temperatures by 0.14 °C and 0.41 °C, respectively. AHR exacerbates the extreme high temperatures in the summer in Europe, increasing EHW days by 1–2 days in central and eastern Europe in the summer annually from 1992 to 2013. AHR strengthens the surface wind that flows from the ocean to the land in Europe by increasing the land surface temperatures. AHR decreases the lower-troposphere stability (LTS) and reduces the low-cloud amounts in Europe, which leads to more solar shortwave radiation reaching the surface. AHR affects water vapor and the surface energy balance in Europe, which impacts on European summer heatwaves further. AHR acts as a non-negligible factor for summer extreme high temperature in Europe and a potential factor impacting EHW days.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increased, lower, materials, international;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Analysis of European regulatory requirements for near to zero energy consumption buildings and the possibility of implementation in Ukraine — https://doi.org/10.32347/2409-2606.2023.47.28-35</w:t>
      </w:r>
    </w:p>
    <w:p>
      <w:pPr/>
      <w:r>
        <w:rPr>
          <w:b/>
        </w:rPr>
        <w:t>Shared claim-specific concepts:</w:t>
      </w:r>
      <w:r>
        <w:t xml:space="preserve"> further, lower, consumption, reduce, carbon, climate; EU scope visible. This is a provisional connection, not an outcome finding.</w:t>
      </w:r>
    </w:p>
    <w:p>
      <w:pPr>
        <w:pStyle w:val="SourceNote"/>
      </w:pPr>
      <w:r>
        <w:rPr>
          <w:b/>
        </w:rPr>
        <w:t>Available abstract (not full text):</w:t>
      </w:r>
      <w:r>
        <w:t xml:space="preserve"> Efforts are currently being made around the world to mitigate the impact of human activity on climate change. The construction sector is one of the largest sources of emissions. To reduce emissions, buildings must be energy efficient and use a significant amount of renewable energy. NZEB buildings are an important part of our transition to a lower carbon future. Efficient energy consumption in buildings is one of the most affordable ways to reduce the negative impacts of climate change and health-related problems. The purpose of the study is to analyze the regulatory requirements of European countries for NZEB buildings and compare them with the current norms in Ukraine. Determining the cost of energy-efficient structural solutions with current regulatory values. Based on the calculations and research, the following scientific and practical results were obtained. Analysis of norms in European countries for NZEB buildings and compare them with current norms in Ukraine. The calculated design values for NZEB buildings in Ukraine were considered. The needs for insulation of the wall, roof, and basement floor coverings were calculated according to the current norms in Ukraine and the norms proposed by the NZEB. The economic feasibility of measures to insulate the proposed normative options of NZEB was calculated. As a result of obtaining scientific and practical results of increasin</w:t>
      </w:r>
    </w:p>
    <w:p>
      <w:pPr/>
      <w:r>
        <w:rPr>
          <w:b/>
        </w:rPr>
        <w:t>POSSIBLE 2022:</w:t>
      </w:r>
      <w:r>
        <w:t xml:space="preserve"> Future area expansion outweighs increasing drought risk for soybean in Europe — https://doi.org/10.1111/gcb.16562</w:t>
      </w:r>
    </w:p>
    <w:p>
      <w:pPr/>
      <w:r>
        <w:rPr>
          <w:b/>
        </w:rPr>
        <w:t>Shared claim-specific concepts:</w:t>
      </w:r>
      <w:r>
        <w:t xml:space="preserve"> further, imports, climate;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Different Effect of Inward Foreign Direct Investment, Outward Foreign Direct Investment, Imports, and Exports on Greenhouse Gas Emission across 24 European Union Countries — https://doi.org/10.54691/bcpbm.v34i.3186</w:t>
      </w:r>
    </w:p>
    <w:p>
      <w:pPr/>
      <w:r>
        <w:rPr>
          <w:b/>
        </w:rPr>
        <w:t>Shared claim-specific concepts:</w:t>
      </w:r>
      <w:r>
        <w:t xml:space="preserve"> further, imports, lower, reduce, positive; EU scope visible. This is a provisional connection, not an outcome finding.</w:t>
      </w:r>
    </w:p>
    <w:p>
      <w:pPr>
        <w:pStyle w:val="SourceNote"/>
      </w:pPr>
      <w:r>
        <w:rPr>
          <w:b/>
        </w:rPr>
        <w:t>Available abstract (not full text):</w:t>
      </w:r>
      <w:r>
        <w:t xml:space="preserve"> The European Union (EU) has achieved remarkable progress in reducing greenhouse gas emission with the help of the emission trade system (ETS) and other environmental policies for the past decades. The main purpose of current study is to empirically investigate different effects of inward foreign direct investment, outward foreign direct investment (FDI), imports and exports on greenhouse gas (GHG) emissions for different level of GDP per capita. Panel data set of 24 European Union countries was selected from 2013 to 2017. And these 24 countries would be further divided into two groups based on their GDP per capita. The result indicates that inward FDI would decrease GHG emission for high GDP per capita group, whereas it increases the GHG emission for low GDP per capita group, suggesting the existence of “pollution haven” in countries with lower GDP per capita. On the contrary, the effect of outward FDI on GHG emission would be positive for high GDP per capita group but negative for low GDP per capita group. Meanwhile, exports would increase GHG emission for low GDP per capita group but decrease GHG emission for high GDP per capita group. Besides, imports would also be a contributor of GHG emission for high GDP per capita group. The conclusion drawn from this study implicates that, to reduce the domestic GHG emissions, countries with different level of GDP per capita should have</w:t>
      </w:r>
    </w:p>
    <w:p>
      <w:pPr>
        <w:pStyle w:val="Heading2"/>
      </w:pPr>
      <w:r>
        <w:t>576.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disease burden from air pollution in Europe: Insights from the ETC HE and EEA — https://doi.org/10.1093/eurpub/ckaf161.835</w:t>
      </w:r>
    </w:p>
    <w:p>
      <w:pPr/>
      <w:r>
        <w:rPr>
          <w:b/>
        </w:rPr>
        <w:t>Shared claim-specific concepts:</w:t>
      </w:r>
      <w:r>
        <w:t xml:space="preserve"> here, obtained, data, burden, disease; EU scope visible. This is a provisional connection, not an outcome finding.</w:t>
      </w:r>
    </w:p>
    <w:p>
      <w:pPr>
        <w:pStyle w:val="SourceNote"/>
      </w:pPr>
      <w:r>
        <w:rPr>
          <w:b/>
        </w:rPr>
        <w:t>Available abstract (not full text):</w:t>
      </w:r>
      <w:r>
        <w:t xml:space="preserve"> Abstract Ambient air pollution remains the leading environmental health risk in Europe. According to the European Environment Agency (EEA), 96% of the urban population in the EU was exposed to annual PM2.5 levels exceeding WHO guidelines in 2022. The environmental burden of disease (EBD) method is widely used to assess population health impacts. In collaboration with the European Topic Centre “Human Health and the Environment” (ETC HE), the EEA conducted EBD assessments for PM2.5, nitrogen dioxide (NO2), and ozone. Here we present the disease burden attributable to long-term PM2.5 and NO2 exposure in Europe for the year 2022. Using WHO's EBD framework, cause-specific mortality and morbidity burden was estimated. Nine risk-outcome pairs were selected based on available evidence for causality. Burden indicators included years of life lost (YLL), years lived with disability (YLD), and disability-adjusted life years (DALY). Concentration-response functions were extracted from relevant sources for the risk-outcome pairs, while exposure data (annual mean) were provided by ETC HE partners. Health data (e.g., cause-specific mortality and prevalence) were mainly obtained from Eurostat and the European Health Interview Survey. In 2022, the disease burden attributable to PM2.5 was considerably higher compared to the one due to NO2: 2,703,827 vs. 580,847 DALY. For both pollutants, YLL cont</w:t>
      </w:r>
    </w:p>
    <w:p>
      <w:pPr/>
      <w:r>
        <w:rPr>
          <w:b/>
        </w:rPr>
        <w:t>POSSIBLE 2025:</w:t>
      </w:r>
      <w:r>
        <w:t xml:space="preserve"> Burden of 375 diseases and injuries, risk-attributable burden of 88 risk factors, and healthy life expectancy in 204 countries and territories, including 660 subnational locations, 1990–2023: a systematic analysis for the Global Burden of Disease Study 2023 — https://doi.org/10.1016/s0140-6736(25)01637-x</w:t>
      </w:r>
    </w:p>
    <w:p>
      <w:pPr/>
      <w:r>
        <w:rPr>
          <w:b/>
        </w:rPr>
        <w:t>Shared claim-specific concepts:</w:t>
      </w:r>
      <w:r>
        <w:t xml:space="preserve"> data, burden, disease, gbd, between, countries; EU scope not established. This is a provisional connection, not an outcome finding.</w:t>
      </w:r>
    </w:p>
    <w:p>
      <w:pPr>
        <w:pStyle w:val="SourceNote"/>
      </w:pPr>
      <w:r>
        <w:rPr>
          <w:b/>
        </w:rPr>
        <w:t>Available abstract (not full text):</w:t>
      </w:r>
      <w:r>
        <w:t xml:space="preserve"> BACKGROUND: For more than three decades, the Global Burden of Diseases, Injuries, and Risk Factors Study (GBD) has provided a framework to quantify health loss due to diseases, injuries, and associated risk factors. This paper presents GBD 2023 findings on disease and injury burden and risk-attributable health loss, offering a global audit of the state of world health to inform public health priorities. This work captures the evolving landscape of health metrics across age groups, sexes, and locations, while reflecting on the remaining post-COVID-19 challenges to achieving our collective global health ambitions. METHODS: The GBD 2023 combined analysis estimated years lived with disability (YLDs), years of life lost (YLLs), and disability-adjusted life-years (DALYs) for 375 diseases and injuries, and risk-attributable burden associated with 88 modifiable risk factors. Of the more than 310 000 total data sources used for all GBD 2023 (about 30% of which were new to this estimation round), more than 120 000 sources were used for estimation of disease and injury burden and 59 000 for risk factor estimation, and included vital registration systems, surveys, disease registries, and published scientific literature. Data were analysed using previously established modelling approaches, such as disease modelling meta-regression version 2.1 (DisMod-MR 2.1) and comparative risk assessment </w:t>
      </w:r>
    </w:p>
    <w:p>
      <w:pPr/>
      <w:r>
        <w:rPr>
          <w:b/>
        </w:rPr>
        <w:t>POSSIBLE 2025:</w:t>
      </w:r>
      <w:r>
        <w:t xml:space="preserve"> Laryngeal Cancer in Europe and Its Subregions: A Temporal Epidemiological Analysis Based on Global Burden of Disease Data — https://doi.org/10.7759/cureus.92077</w:t>
      </w:r>
    </w:p>
    <w:p>
      <w:pPr/>
      <w:r>
        <w:rPr>
          <w:b/>
        </w:rPr>
        <w:t>Shared claim-specific concepts:</w:t>
      </w:r>
      <w:r>
        <w:t xml:space="preserve"> data, burden, disease, gbd, cancer, countries; EU scope visible. This is a provisional connection, not an outcome finding.</w:t>
      </w:r>
    </w:p>
    <w:p>
      <w:pPr>
        <w:pStyle w:val="SourceNote"/>
      </w:pPr>
      <w:r>
        <w:rPr>
          <w:b/>
        </w:rPr>
        <w:t>Available abstract (not full text):</w:t>
      </w:r>
      <w:r>
        <w:t xml:space="preserve"> Introduction Laryngeal cancer remains a significant public health issue in Europe, with considerable variation across countries and regions. Evaluating trends in incidence, mortality, and survival indicators such as the mortality-to-incidence ratio (MIR) may provide insights into disparities and guide policy development. The objective of this study was to conduct a 25-year epidemiological data analysis of age-standardized rates (ASRs) for the incidence and mortality of laryngeal cancer, and to compare the MIRs across European countries and subregions (North, South, East, and West Europe), using data from the Global Burden of Disease (GBD) database. Methods We extracted secondary data on laryngeal cancer from the GBD dataset provided by the Institute for Health Metrics and Evaluation (IHME) for the years 1997 to 2021. ASRs for incidence and mortality, as well as MIRs based on these ASRs, were analyzed. Descriptive statistics (mean, median, standard deviation, minimum-maximum range) and linear regression were performed using Microsoft Excel 365. Results All key indicators showed a downward trend over the 25-year period. The average MIR declined from 0.563 in 1997 to 0.459 in 2021 (R² = 96.26%, p &lt; 0.001). Northern Europe improved from 0.448 to 0.355, while Western Europe consistently reported the lowest MIRs (0.388 to 0.326), likely reflecting improved access to specialized oncol</w:t>
      </w:r>
    </w:p>
    <w:p>
      <w:pPr/>
      <w:r>
        <w:rPr>
          <w:b/>
        </w:rPr>
        <w:t>POSSIBLE 2024:</w:t>
      </w:r>
      <w:r>
        <w:t xml:space="preserve"> Geodiversity data for Europe — https://doi.org/10.1098/rsta.2023.0173</w:t>
      </w:r>
    </w:p>
    <w:p>
      <w:pPr/>
      <w:r>
        <w:rPr>
          <w:b/>
        </w:rPr>
        <w:t>Shared claim-specific concepts:</w:t>
      </w:r>
      <w:r>
        <w:t xml:space="preserve"> here, data, between;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obtained, data, between, countries,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In temperate Europe, fire is already here: The case of The Netherlands — https://doi.org/10.1007/s13280-023-01960-y</w:t>
      </w:r>
    </w:p>
    <w:p>
      <w:pPr/>
      <w:r>
        <w:rPr>
          <w:b/>
        </w:rPr>
        <w:t>Shared claim-specific concepts:</w:t>
      </w:r>
      <w:r>
        <w:t xml:space="preserve"> here, data, countries;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Burden of disease scenarios for 204 countries and territories, 2022–2050: a forecasting analysis for the Global Burden of Disease Study 2021 — https://doi.org/10.1016/s0140-6736(24)00685-8</w:t>
      </w:r>
    </w:p>
    <w:p>
      <w:pPr/>
      <w:r>
        <w:rPr>
          <w:b/>
        </w:rPr>
        <w:t>Shared claim-specific concepts:</w:t>
      </w:r>
      <w:r>
        <w:t xml:space="preserve"> burden, disease, gbd, between, countries; EU scope not established. This is a provisional connection, not an outcome finding.</w:t>
      </w:r>
    </w:p>
    <w:p>
      <w:pPr>
        <w:pStyle w:val="SourceNote"/>
      </w:pPr>
      <w:r>
        <w:rPr>
          <w:b/>
        </w:rPr>
        <w:t>Available abstract (not full text):</w:t>
      </w:r>
      <w:r>
        <w:t xml:space="preserve"> BACKGROUND: Future trends in disease burden and drivers of health are of great interest to policy makers and the public at large. This information can be used for policy and long-term health investment, planning, and prioritisation. We have expanded and improved upon previous forecasts produced as part of the Global Burden of Diseases, Injuries, and Risk Factors Study (GBD) and provide a reference forecast (the most likely future), and alternative scenarios assessing disease burden trajectories if selected sets of risk factors were eliminated from current levels by 2050. METHODS: Using forecasts of major drivers of health such as the Socio-demographic Index (SDI; a composite measure of lag-distributed income per capita, mean years of education, and total fertility under 25 years of age) and the full set of risk factor exposures captured by GBD, we provide cause-specific forecasts of mortality, years of life lost (YLLs), years lived with disability (YLDs), and disability-adjusted life-years (DALYs) by age and sex from 2022 to 2050 for 204 countries and territories, 21 GBD regions, seven super-regions, and the world. All analyses were done at the cause-specific level so that only risk factors deemed causal by the GBD comparative risk assessment influenced future trajectories of mortality for each disease. Cause-specific mortality was modelled using mixed-effects models with SDI a</w:t>
      </w:r>
    </w:p>
    <w:p>
      <w:pPr/>
      <w:r>
        <w:rPr>
          <w:b/>
        </w:rPr>
        <w:t>POSSIBLE 2024:</w:t>
      </w:r>
      <w:r>
        <w:t xml:space="preserve"> Residual Disease Burden Among European Patients With Inflammatory Bowel Disease: A Real-World Survey — https://doi.org/10.1093/ibd/izae119</w:t>
      </w:r>
    </w:p>
    <w:p>
      <w:pPr/>
      <w:r>
        <w:rPr>
          <w:b/>
        </w:rPr>
        <w:t>Shared claim-specific concepts:</w:t>
      </w:r>
      <w:r>
        <w:t xml:space="preserve"> data, burden, disease, between; EU scope visible. This is a provisional connection, not an outcome finding.</w:t>
      </w:r>
    </w:p>
    <w:p>
      <w:pPr>
        <w:pStyle w:val="SourceNote"/>
      </w:pPr>
      <w:r>
        <w:rPr>
          <w:b/>
        </w:rPr>
        <w:t>Available abstract (not full text):</w:t>
      </w:r>
      <w:r>
        <w:t xml:space="preserve"> BACKGROUND: Understanding disease burden is imperative for improving inflammatory bowel disease (IBD) management. This real-world survey investigated residual disease burden and treatment satisfaction among European patients with moderate-to-severe ulcerative colitis (UC) and Crohn's disease (CD). METHODS: The Adelphi Real World IBD Disease Specific Programme was a multinational, cross-sectional survey with retrospective collection of patient- and physician-reported data on disease burden and management. Between October 2020 and March 2021, participating gastroenterologists recruited their next 7 (UC) and 8 (CD) eligible patients and reported demographics and clinical characteristics. Patients completed symptom, health-related quality of life (HRQoL), and treatment satisfaction questionnaires. Data were adjusted for confounding variables and compared between patients in remission (clinical remission, endoscopic remission, or both) and not in remission. RESULTS: Overall, 1040 patients (UC, n = 502; CD, n = 538) were included. Although most patients were in remission (UC, 66.1%; CD, 69.5%), most still reported symptoms (UC, 63.7%; CD, 74.1%), including flatulence, fatigue/tiredness, and abdominal pain/distension. In UC, there were no significant differences in the likelihood of experiencing 7 of 23 symptoms between patients in remission and not in remission. In CD, there was no s</w:t>
      </w:r>
    </w:p>
    <w:p>
      <w:pPr/>
      <w:r>
        <w:rPr>
          <w:b/>
        </w:rPr>
        <w:t>POSSIBLE 2024:</w:t>
      </w:r>
      <w:r>
        <w:t xml:space="preserve"> Burden of disease scenarios for 204 countries and territories, 2022-2050: a forecasting analysis for the Global Burden of Disease Study 2021 — https://doi.org/10.1016/s0140-6736(24)00685-8</w:t>
      </w:r>
    </w:p>
    <w:p>
      <w:pPr/>
      <w:r>
        <w:rPr>
          <w:b/>
        </w:rPr>
        <w:t>Shared claim-specific concepts:</w:t>
      </w:r>
      <w:r>
        <w:t xml:space="preserve"> burden, disease, gbd, between, countries; EU scope not established. This is a provisional connection, not an outcome finding.</w:t>
      </w:r>
    </w:p>
    <w:p>
      <w:pPr>
        <w:pStyle w:val="SourceNote"/>
      </w:pPr>
      <w:r>
        <w:rPr>
          <w:b/>
        </w:rPr>
        <w:t>Available abstract (not full text):</w:t>
      </w:r>
      <w:r>
        <w:t xml:space="preserve"> Background Future trends in disease burden and drivers of health are of great interest to policy makers and the public at large.This information can be used for policy and long-term health investment, planning, and prioritisation.We have expanded and improved upon previous forecasts produced as part of the Global Burden of Diseases, Injuries, and Risk Factors Study (GBD) and provide a reference forecast (the most likely future), and alternative scenarios assessing disease burden trajectories if selected sets of risk factors were eliminated from current levels by 2050.Methods Using forecasts of major drivers of health such as the Socio-demographic Index (SDI; a composite measure of lag-distributed income per capita, mean years of education, and total fertility under 25 years of age) and the full set of risk factor exposures captured by GBD, we provide cause-specific forecasts of mortality, years of life lost (YLLs), years lived with disability (YLDs), and disability-adjusted life-years (DALYs) by age and sex from 2022 to 2050 for 204 countries and territories, 21 GBD regions, seven super-regions, and the world.All analyses were done at the cause-specific level so that only risk factors deemed causal by the GBD comparative risk assessment influenced future trajectories of mortality for each disease.Cause-specific mortality was modelled using mixed-effects models with SDI and time</w:t>
      </w:r>
    </w:p>
    <w:p>
      <w:pPr>
        <w:pStyle w:val="Heading2"/>
      </w:pPr>
      <w:r>
        <w:t>577.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2026:</w:t>
      </w:r>
      <w:r>
        <w:t xml:space="preserve"> FACTORS CONSTRAINING OPERATIONAL EFFICIENCY IN MARITIME TRANSPORTATION: A COMPARATIVE ANALYSIS OF QUANTITATIVE DECISION SUPPORT MODELS AND FIELD REALITIES — https://doi.org/10.17753/sosekev.1889137</w:t>
      </w:r>
    </w:p>
    <w:p>
      <w:pPr/>
      <w:r>
        <w:rPr>
          <w:b/>
        </w:rPr>
        <w:t>Shared claim-specific concepts:</w:t>
      </w:r>
      <w:r>
        <w:t xml:space="preserve"> maritime, constraining, conditions; EU scope visible. This is a provisional connection, not an outcome finding.</w:t>
      </w:r>
    </w:p>
    <w:p>
      <w:pPr>
        <w:pStyle w:val="SourceNote"/>
      </w:pPr>
      <w:r>
        <w:rPr>
          <w:b/>
        </w:rPr>
        <w:t>Available abstract (not full text):</w:t>
      </w:r>
      <w:r>
        <w:t xml:space="preserve"> This study aims to identify the key risk factors that constrain operational efficiency in international maritime transport and to conduct a comparative analysis of the performance of the six continents addressed in line with these factors. The research is based on a hybrid research design that combines qualitative field observations with quantitative decision support models. Within the scope of the study, seven key criteria were considered: port congestion, bureaucratic barriers, security/piracy, technical and fuel issues, personnel issues, environmental conditions, and geopolitical risks. Based on these criteria, Europe, North America, South America, Asia, Africa, and Oceania were compared in terms of operational risks. The research working group consisted of three senior ship captains with a cumulative 60 years of sectoral experience. Semi-structured interviews and pairwise comparison matrices were used as data collection tools. In the analysis of the data, the Best-Worst Method (BWM) was applied for criterion weighting and the Simple Additive Weighting (SAW) method was applied for continent ranking, and the findings were validated using the Analytic Hierarchy Process (AHP) and Technique for Order of Preference by Similarity to Ideal Solution (TOPSIS) methods. According to the analysis results, bureaucratic barriers have been identified as the most dominant operational constr</w:t>
      </w:r>
    </w:p>
    <w:p>
      <w:pPr/>
      <w:r>
        <w:rPr>
          <w:b/>
        </w:rPr>
        <w:t>POSSIBLE 2026:</w:t>
      </w:r>
      <w:r>
        <w:t xml:space="preserve"> Collaborative governance in maritime transport: policy arrangements under the European green deal — https://doi.org/10.1007/s40152-026-00504-w</w:t>
      </w:r>
    </w:p>
    <w:p>
      <w:pPr/>
      <w:r>
        <w:rPr>
          <w:b/>
        </w:rPr>
        <w:t>Shared claim-specific concepts:</w:t>
      </w:r>
      <w:r>
        <w:t xml:space="preserve"> maritime, deal, sectors; EU scope visible. This is a provisional connection, not an outcome finding.</w:t>
      </w:r>
    </w:p>
    <w:p>
      <w:pPr>
        <w:pStyle w:val="SourceNote"/>
      </w:pPr>
      <w:r>
        <w:rPr>
          <w:b/>
        </w:rPr>
        <w:t>Available abstract (not full text):</w:t>
      </w:r>
      <w:r>
        <w:t xml:space="preserve"> Abstract This article examines the emergence of collaborative governance within the EU maritime transport sector in response to the European Green Deal (EGD) and its decarbonization agenda. Using a nested case study design, it analyses policy arrangements for shipping and ports, applying a combined analytical framework based on the policy arrangement concept and collaborative governance theory. The findings highlight that while shipping and port sectors have historically operated in siloed arrangements, the EGD has prompted cross-sectoral collaboration through initiatives such as green shipping corridors, alternative fuel infrastructure projects, and stakeholder alliances. Increased collaborative dynamics are evident both within and between these two sectors, fostering trust, alignment, and early joint problem-solving. However, large-scale joint action and fully integrated governance mechanisms remain limited, indicating that the emergent collaborative governance regime is in its formative stage. The study demonstrates how the EGD is reshaping sectoral interactions, providing a foundation for transformative change in maritime transport governance, while highlighting the need for sustained institutionalization, joint investment, and system-level adaptation to realize long-term impact.</w:t>
      </w:r>
    </w:p>
    <w:p>
      <w:pPr/>
      <w:r>
        <w:rPr>
          <w:b/>
        </w:rPr>
        <w:t>POSSIBLE 2026:</w:t>
      </w:r>
      <w:r>
        <w:t xml:space="preserve"> Governing Critical Maritime Infrastructure in the European Union; Path-Dependent Transformation and Institutional Change — https://doi.org/10.1007/s41125-026-00113-y</w:t>
      </w:r>
    </w:p>
    <w:p>
      <w:pPr/>
      <w:r>
        <w:rPr>
          <w:b/>
        </w:rPr>
        <w:t>Shared claim-specific concepts:</w:t>
      </w:r>
      <w:r>
        <w:t xml:space="preserve"> maritime, specific, sectors; EU scope visible. This is a provisional connection, not an outcome finding.</w:t>
      </w:r>
    </w:p>
    <w:p>
      <w:pPr>
        <w:pStyle w:val="SourceNote"/>
      </w:pPr>
      <w:r>
        <w:rPr>
          <w:b/>
        </w:rPr>
        <w:t>Available abstract (not full text):</w:t>
      </w:r>
      <w:r>
        <w:t xml:space="preserve"> Abstract The subsidiarity paradox, in which formal affirmations of national prerogative coexist with factual EU-level centralisation, is a well-documented feature of European security governance. How this paradox unfolds in specific critical infrastructure sectors, however, remains insufficiently understood. This article asks how the EU’s governance of critical maritime infrastructure has transformed across three phases between 2014 and 2025 and to what extent the mechanisms of institutional change documented for crisis governance and the regulatory security state in adjacent sectors account for this trajectory. Drawing on a qualitative content analysis of 21 EU documents, it identifies three governance phases and five ideal-typical governance modes, and demonstrates that external shocks, most decisively the Nord Stream sabotage of 2022, opened windows of opportunity for institutional change. This change proceeded through layering and conversion instead of rupture and confirms the pattern of institutional syncretism observed in adjacent policy fields. The result is a stable coexistence of hierarchical and network-based governance modes whose functional differentiation reflects the jurisdictional reach of EU law. The article extends the meso-level analysis of EU crisis governance to critical maritime infrastructure and specifies the legal mechanism through which subsidiarity and</w:t>
      </w:r>
    </w:p>
    <w:p>
      <w:pPr/>
      <w:r>
        <w:rPr>
          <w:b/>
        </w:rPr>
        <w:t>POSSIBLE 2026:</w:t>
      </w:r>
      <w:r>
        <w:t xml:space="preserve"> Green Hydrogen for Maritime Decarbonization — https://doi.org/10.1002/cnl2.70128</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ABSTRACT In pursuit of global carbon neutrality, maritime shipping with high CO 2 emissions confronts an urgent imperative deep decarbonization. Green hydrogen is a zero‐carbon fuel produced through water electrolysis by renewable energy sources, which is emerging as a promising solution for maritime decarbonization owing to its high energy density and versatile application potential. Here, it provides a systematic overview of the technological feasibility of green hydrogen for maritime shipping, encompassing its current application status and key challenges. It analyzes recent advances in green hydrogen production, storage, transportation, and infrastructure development, while exploring the enabling roles of policy support, technological innovation, and international collaboration. Despite facing substantial barriers in cost, technology, and infrastructure, green hydrogen boasts enormous decarbonization potential and occupies an indispensable strategic position in the global carbon neutrality agenda.</w:t>
      </w:r>
    </w:p>
    <w:p>
      <w:pPr/>
      <w:r>
        <w:rPr>
          <w:b/>
        </w:rPr>
        <w:t>POSSIBLE 2023:</w:t>
      </w:r>
      <w:r>
        <w:t xml:space="preserve"> Inventive Activity for Climate Change Mitigation: An Insight into the Maritime Industry — https://doi.org/10.3390/en16217403</w:t>
      </w:r>
    </w:p>
    <w:p>
      <w:pPr/>
      <w:r>
        <w:rPr>
          <w:b/>
        </w:rPr>
        <w:t>Shared claim-specific concepts:</w:t>
      </w:r>
      <w:r>
        <w:t xml:space="preserve"> maritime, insight; EU scope not established. This is a provisional connection, not an outcome finding.</w:t>
      </w:r>
    </w:p>
    <w:p>
      <w:pPr>
        <w:pStyle w:val="SourceNote"/>
      </w:pPr>
      <w:r>
        <w:rPr>
          <w:b/>
        </w:rPr>
        <w:t>Available abstract (not full text):</w:t>
      </w:r>
      <w:r>
        <w:t xml:space="preserve"> Climate change mitigation is one of the most important challenges facing the modern world. It is necessary to monitor the development of new concepts and technologies and take a stab at identifying disruptive innovations, which have the potential of becoming real climate-friendly game changers. The aim of this paper is to examine the patterns of inventive activity aimed at mitigating climate change in the maritime industry with respect to other transport modes. Appropriate research tools in the area of patent analysis were selected and utilised. A new class of patents related to climate change in maritime transport (CPC-Y02T70/00) was used as a data source. The original value of the study consists of offering a complete picture of the efforts made in patenting activity in climate change mitigation in the maritime transport, with a look at leading applicants and countries, knowledge flows, the most robustly developed and underdeveloped technical fields. A map of technical knowledge flows for climate change mitigation in transport was constructed. The research results show that inventions for the maritime industry are less hermetic than those for air and road transport; however, they are not as much linked with previously developed solutions. The most intensively developed technical fields include the design and construction of watercraft hulls (1) and measures to reduce greenhou</w:t>
      </w:r>
    </w:p>
    <w:p>
      <w:pPr/>
      <w:r>
        <w:rPr>
          <w:b/>
        </w:rPr>
        <w:t>POSSIBLE 2023:</w:t>
      </w:r>
      <w:r>
        <w:t xml:space="preserve"> The ups and downs of maritime spatial planning in Portugal — https://doi.org/10.1016/j.marpol.2023.105984</w:t>
      </w:r>
    </w:p>
    <w:p>
      <w:pPr/>
      <w:r>
        <w:rPr>
          <w:b/>
        </w:rPr>
        <w:t>Shared claim-specific concepts:</w:t>
      </w:r>
      <w:r>
        <w:t xml:space="preserve"> maritime, conditions, sustainable; EU scope visible. This is a provisional connection, not an outcome finding.</w:t>
      </w:r>
    </w:p>
    <w:p>
      <w:pPr>
        <w:pStyle w:val="SourceNote"/>
      </w:pPr>
      <w:r>
        <w:rPr>
          <w:b/>
        </w:rPr>
        <w:t>Available abstract (not full text):</w:t>
      </w:r>
      <w:r>
        <w:t xml:space="preserve"> Directive 2014/89/EU provided a common framework for MSP in Europe, aiming to promote the sustainable development of maritime activities. However, its implementation has been facing various challenges in different Member States. This paper presents the evolution of MSP in Portugal and analyses how the conditions set by the directive have been addressed, particularly in the environmental domain. The analyses are mainly achieved through existing literature and the positions taken by the National Council for Environment and Sustainable Development. Portuguese efforts around MSP started before the approval of the directive and allowed a valuable learning experience. The legal diplomas later adopted provided a framework for developing marine spatial plans with a more comprehensive architecture of the MSP system. While some issues remain in terms of meeting some of the requirements of the directive, operational procedures and assessment of MSP implementation, there are positive aspects highlighted with the entire presentation of the situation of MSP in Portugal so far.</w:t>
      </w:r>
    </w:p>
    <w:p>
      <w:pPr/>
      <w:r>
        <w:rPr>
          <w:b/>
        </w:rPr>
        <w:t>POSSIBLE 2022:</w:t>
      </w:r>
      <w:r>
        <w:t xml:space="preserve"> Priorities for the Sustainability of Maritime and Coastal Passenger Transport in Europe — https://openalex.org/W7166957792</w:t>
      </w:r>
    </w:p>
    <w:p>
      <w:pPr/>
      <w:r>
        <w:rPr>
          <w:b/>
        </w:rPr>
        <w:t>Shared claim-specific concepts:</w:t>
      </w:r>
      <w:r>
        <w:t xml:space="preserve"> maritime, sustainable; EU scope visible. This is a provisional connection, not an outcome finding.</w:t>
      </w:r>
    </w:p>
    <w:p>
      <w:pPr>
        <w:pStyle w:val="SourceNote"/>
      </w:pPr>
      <w:r>
        <w:rPr>
          <w:b/>
        </w:rPr>
        <w:t>Available abstract (not full text):</w:t>
      </w:r>
      <w:r>
        <w:t xml:space="preserve"> Maritime transport is both a major source of environmental pollution and a great opportunity for reducing road traffic. Moreover, for some Mediterranean countries, maritime transport offers a way to improve cross-border connectivity. However difficult this may be, improving maritime passenger transport is one way to increase cross-border connectivity and, in some cases, reduce the use of private cars. For this reason, the European Union is pursuing an intensive policy in support of the sustainable development of maritime transport, working on many fronts, including the strengthening of EU legislation on this topic, technical and financial support to reducing emissions from international shipping, investments for the improving of port facilities and infrastructures, involving national governments and regions in the definition of roadmaps and new targets towards 2050. There are many possible directions for improving maritime transport: ship technologies, port management, interchange connectivity, transit planning, and so on. The goal of this book is to collect rigorous contributions about what are currently considered to be the main areas of improvement to be pursued in cross-border maritime passenger transport. The book opens with an overview of EU policies on maritime and coastal transport. In the following chapters, a series of analyses and tools are proposed whose systematic </w:t>
      </w:r>
    </w:p>
    <w:p>
      <w:pPr/>
      <w:r>
        <w:rPr>
          <w:b/>
        </w:rPr>
        <w:t>POSSIBLE 2022:</w:t>
      </w:r>
      <w:r>
        <w:t xml:space="preserve"> The role of Latvia's maritime spatial planning in promoting the European Green Deal — https://doi.org/10.7163/eu21.2022.42.4</w:t>
      </w:r>
    </w:p>
    <w:p>
      <w:pPr/>
      <w:r>
        <w:rPr>
          <w:b/>
        </w:rPr>
        <w:t>Shared claim-specific concepts:</w:t>
      </w:r>
      <w:r>
        <w:t xml:space="preserve"> maritime, insight, deal; EU scope visible. This is a provisional connection, not an outcome finding.</w:t>
      </w:r>
    </w:p>
    <w:p>
      <w:pPr>
        <w:pStyle w:val="SourceNote"/>
      </w:pPr>
      <w:r>
        <w:rPr>
          <w:b/>
        </w:rPr>
        <w:t>Available abstract (not full text):</w:t>
      </w:r>
      <w:r>
        <w:t xml:space="preserve"> In an era of dynamic maritime spatial planning movement development, this paper offers insight into the relationship between Latvia’s national Maritime Spatial Plan 2030 and the European Green Deal. The paper analyses what this might signify concerning the implementation and subsequent assessment of the plan by exploring the role of the maritime spatial plan in Latvia’s planning system. Beginning with a brief history of how the national plan came to be, the paper then describes and evaluates the position of the maritime spatial plan within Latvia’s planning framework before examining the connection between the maritime spatial plan and the Green Deal, identifying contact points. This paper offers a starting framework for studying how closely maritime spatial planning is related to and capable of supporting ─ or at the very least taking into account ─ the goals of the Green Deal. The conclusion is that implementation of maritime spatial planning is rooted in the state planning system, the interconnection among policy documents, and the specifics of the maritime spatial plan itself.</w:t>
      </w:r>
    </w:p>
    <w:p>
      <w:pPr>
        <w:pStyle w:val="Heading2"/>
      </w:pPr>
      <w:r>
        <w:t>578.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2026:</w:t>
      </w:r>
      <w:r>
        <w:t xml:space="preserve"> Reliability and Construct Validity of the Short Physical Performance Battery in Croatian Older Adults — https://doi.org/10.3390/geriatrics11020033</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Background: Population aging represents a major public health challenge, accompanied by an increasing prevalence of chronic diseases and age-related functional decline. Declines in lower-extremity physical function are particularly important, as they are strongly associated with mobility limitations, loss of independence, increased risk of falls, hospitalization, and mortality in older adults. Reliable and valid tools to assess physical performance are therefore essential in both clinical and research settings. The Short Physical Performance Battery (SPPB) is a widely used instrument for assessing lower-extremity physical performance in older adults and is recommended within the diagnostic algorithm of the European Working Group on Sarcopenia in Older People (EWGSOP2) for evaluating physical performance severity. However, the SPPB has not yet been psychometrically validated in the Croatian older population. This study aimed to evaluate the reliability and validity of the SPPB in Croatian older adults. Methods: This study examined the metric properties of the SPPB in a sample of 153 older adults recruited from nursing homes and community settings. Results: The SPPB demonstrated acceptable internal consistency (Cronbach’s alpha = 0.74) and good test–retest reliability (ICC = 0.893) for the total score. Convergent and construct validity were supported by significant associations w</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2025:</w:t>
      </w:r>
      <w:r>
        <w:t xml:space="preserve"> Emotional Practices in the Process of (Re) Constructing Diaspora Identity – Croats in New Zealand — https://doi.org/10.11567/met.2025.2</w:t>
      </w:r>
    </w:p>
    <w:p>
      <w:pPr/>
      <w:r>
        <w:rPr>
          <w:b/>
        </w:rPr>
        <w:t>Shared claim-specific concepts:</w:t>
      </w:r>
      <w:r>
        <w:t xml:space="preserve"> aim, framework; EU scope not established. This is a provisional connection, not an outcome finding.</w:t>
      </w:r>
    </w:p>
    <w:p>
      <w:pPr>
        <w:pStyle w:val="SourceNote"/>
      </w:pPr>
      <w:r>
        <w:rPr>
          <w:b/>
        </w:rPr>
        <w:t>Available abstract (not full text):</w:t>
      </w:r>
      <w:r>
        <w:t xml:space="preserve"> The history of Croats in New Zealand dates back to the 19th century. Geographical distance and weaker ties to the country of origin have resulted in unique patterns of this diaspora’s social development. It is marked by an intensified process of assimilation into New Zealand society, while a significant part of the community, in terms of origin, primarily highlights a regional Dalmatian identity over a national Croatian one, given that the vast majority of immigrants originate from Central Dalmatia. The aim of this study is to analyse the development of this diaspora from the perspective of emotions as a foundation for its formation. The focus will be on Auckland, where the largest community of settlers and their descendants was established. To achieve the primary goal of the study, ten archived interviews, conducted using oral history methods with New Zealanders of Croatian descent, will be interpreted. These interviews are held in New Zealand libraries. Special emphasis will be placed on the methodological challenges of analysing this type of source. Within the established theoretical framework, the collective and individual activities of diaspora members are recognised as the emotional foundation upon which both individual and group identities are (re)constructed. The process of (re)constructing their identity was based on daily activities, particularly in areas of the city </w:t>
      </w:r>
    </w:p>
    <w:p>
      <w:pPr/>
      <w:r>
        <w:rPr>
          <w:b/>
        </w:rPr>
        <w:t>POSSIBLE 2024:</w:t>
      </w:r>
      <w:r>
        <w:t xml:space="preserve"> Container life in post-earthquake Croatia — https://doi.org/10.3167/fcl.2024.100702</w:t>
      </w:r>
    </w:p>
    <w:p>
      <w:pPr/>
      <w:r>
        <w:rPr>
          <w:b/>
        </w:rPr>
        <w:t>Shared claim-specific concepts:</w:t>
      </w:r>
      <w:r>
        <w:t xml:space="preserve"> croatia, acknowledging; EU scope visible. This is a provisional connection, not an outcome finding.</w:t>
      </w:r>
    </w:p>
    <w:p>
      <w:pPr>
        <w:pStyle w:val="SourceNote"/>
      </w:pPr>
      <w:r>
        <w:rPr>
          <w:b/>
        </w:rPr>
        <w:t>Available abstract (not full text):</w:t>
      </w:r>
      <w:r>
        <w:t xml:space="preserve"> Abstract This article focuses on experiences of people in the Banija region and specifically the town of Petrinja, Croatia, after an earthquake hit the area in December 2020. It presents their reflections on being confined to “container homes” in three different situations: living in container settlements on the outskirts of town; spending time in a container shopping center; and finding shelter in containers adjacent to destroyed houses. The study shows that temporary container housing frequently turned into permanent living and working solutions during the three years of post-earthquake reconstruction. It also argues the importance of acknowledging that the sense of isolation in disaster-affected areas and the loss of potential for renovation and development do not merely arise from “container life” but reveal the longer-run “polycrisis” involved.</w:t>
      </w:r>
    </w:p>
    <w:p>
      <w:pPr/>
      <w:r>
        <w:rPr>
          <w:b/>
        </w:rPr>
        <w:t>POSSIBLE 2023:</w:t>
      </w:r>
      <w:r>
        <w:t xml:space="preserve"> Europe in Law and Literature — https://doi.org/10.1515/9783111075693</w:t>
      </w:r>
    </w:p>
    <w:p>
      <w:pPr/>
      <w:r>
        <w:rPr>
          <w:b/>
        </w:rPr>
        <w:t>Shared claim-specific concepts:</w:t>
      </w:r>
      <w:r>
        <w:t xml:space="preserve"> construct, alternative; EU scope visible. This is a provisional connection, not an outcome finding.</w:t>
      </w:r>
    </w:p>
    <w:p>
      <w:pPr>
        <w:pStyle w:val="SourceNote"/>
      </w:pPr>
      <w:r>
        <w:rPr>
          <w:b/>
        </w:rPr>
        <w:t>Available abstract (not full text):</w:t>
      </w:r>
      <w:r>
        <w:t xml:space="preserve"> Europe is a broad and multifaceted construct, variously understood as a geographical, political, legal, institutional, social, or cultural formation. It is characterized by numerous conflicts and processes of negotiation that have accompanied or sustained the development of normative orders and divergent conceptions of law, both in relation to individual states and to Europe as a whole. The same applies to the field of literature, language, and aesthetics; numerous myths and ideologies have shaped today’s understanding of Europe and still support it today. This volume examines how such processes were legally structured, and literarily addressed, criticized, and complemented. Its interdisciplinary perspective and open and dynamic, both dialogical and dialectical format intends to replicate the fragmented, sometimes conflicting, but always productive mosaic of voices, ideas, and concepts that have constituted and still constitute Europe, whether in the past, present, or future. Instead of resolving any of the complexities and contradictions that frame discussions on law, literature, and Europe, it aims to induce further engagement and confrontations with new and alternative visions of Europe.</w:t>
      </w:r>
    </w:p>
    <w:p>
      <w:pPr/>
      <w:r>
        <w:rPr>
          <w:b/>
        </w:rPr>
        <w:t>POSSIBLE 2023:</w:t>
      </w:r>
      <w:r>
        <w:t xml:space="preserve"> A phenomenological inquiry of building and living in European Earthship homes — https://doi.org/10.1680/jinam.23.00028</w:t>
      </w:r>
    </w:p>
    <w:p>
      <w:pPr/>
      <w:r>
        <w:rPr>
          <w:b/>
        </w:rPr>
        <w:t>Shared claim-specific concepts:</w:t>
      </w:r>
      <w:r>
        <w:t xml:space="preserve"> aim, alternative, shift; EU scope visible. This is a provisional connection, not an outcome finding.</w:t>
      </w:r>
    </w:p>
    <w:p>
      <w:pPr>
        <w:pStyle w:val="SourceNote"/>
      </w:pPr>
      <w:r>
        <w:rPr>
          <w:b/>
        </w:rPr>
        <w:t>Available abstract (not full text):</w:t>
      </w:r>
      <w:r>
        <w:t xml:space="preserve"> Earthships remain a relatively underexplored type of sustainable/alternative home. This is the first study to investigate the personal experiences of constructing and living in European Earthship homes. The aim of this study is to reveal insights into the ‘hands-on’ practical experience of persons who have constructed their own Earthship homes and to gather insights into the collective experience of these dwellers on the realities of living full time in an Earthship home. A phenomenological methodology, using an inductive research approach, was utilised through a qualitative research strategy to solicit insights into the personal experiences of these unique persons. The main themes and sub-themes that emerge from the analysis are that anyone from any background can make the shift to building/living in an Earthship home. However, a mixed skill set and knowledge of building trades, plus physical and emotional prowess, are needed for the long-haul build process, which, together with access to financial means and/or available materials, are critical factors that influence the outcome of the Earthship building. Meanwhile, once constructed, off-grid living in an Earthship home gives dwellers a greater connectivity with the natural world, raises awareness of consumerism and leads to enhanced appreciation of human impacts.</w:t>
      </w:r>
    </w:p>
    <w:p>
      <w:pPr/>
      <w:r>
        <w:rPr>
          <w:b/>
        </w:rPr>
        <w:t>POSSIBLE 2022:</w:t>
      </w:r>
      <w:r>
        <w:t xml:space="preserve"> Narrating Europe: (Re‐)constructed and Contested Visions of the European Project in Citizens' Discourse — https://doi.org/10.1111/jcms.13364</w:t>
      </w:r>
    </w:p>
    <w:p>
      <w:pPr/>
      <w:r>
        <w:rPr>
          <w:b/>
        </w:rPr>
        <w:t>Shared claim-specific concepts:</w:t>
      </w:r>
      <w:r>
        <w:t xml:space="preserve"> four, developed; EU scope visible. This is a provisional connection, not an outcome finding.</w:t>
      </w:r>
    </w:p>
    <w:p>
      <w:pPr>
        <w:pStyle w:val="SourceNote"/>
      </w:pPr>
      <w:r>
        <w:rPr>
          <w:b/>
        </w:rPr>
        <w:t>Available abstract (not full text):</w:t>
      </w:r>
      <w:r>
        <w:t xml:space="preserve"> Changes in public opinion and civil society over the last decade have shown that citizens, particularly in old EU Member States, have developed more complex attitudes towards European integration. While the European project was previously generally described as a teleological depoliticized project, aiming at building peace and comforting growth, different competing visions of the European project are nowadays acknowledged and surface among the public on occasions, like referendums or treaty negotiations. While EU official narratives are documented by studies on the European institutions or the visions of leaders and parties, their empirical analysis at the citizens' level is still fragmented. Using focus group data in four countries (France, Portugal, Italy and Belgium) and three social groups (21 group interviews), we provide a comparative qualitative answer to how citizens envision European integration. Our results show that, first, official narratives do not fail to reach citizens, but they are also loosened, contested, and do not systematically produce a sense of common belonging. Second, they highlight the importance of socio‐economic contexts, as well as national and personal experience in the re‐appropriation of these narratives.</w:t>
      </w:r>
    </w:p>
    <w:p>
      <w:pPr/>
      <w:r>
        <w:rPr>
          <w:b/>
        </w:rPr>
        <w:t>POSSIBLE 2022:</w:t>
      </w:r>
      <w:r>
        <w:t xml:space="preserve"> Alternative Institutional Strategies for Constructing Monetary Theories — https://doi.org/10.31063/altereconomics/2022.19-2.4</w:t>
      </w:r>
    </w:p>
    <w:p>
      <w:pPr/>
      <w:r>
        <w:rPr>
          <w:b/>
        </w:rPr>
        <w:t>Shared claim-specific concepts:</w:t>
      </w:r>
      <w:r>
        <w:t xml:space="preserve"> alternative, important, framework; EU scope not established. This is a provisional connection, not an outcome finding.</w:t>
      </w:r>
    </w:p>
    <w:p>
      <w:pPr>
        <w:pStyle w:val="SourceNote"/>
      </w:pPr>
      <w:r>
        <w:rPr>
          <w:b/>
        </w:rPr>
        <w:t>Available abstract (not full text):</w:t>
      </w:r>
      <w:r>
        <w:t xml:space="preserve"> The article discusses the new strategies for studying macro-economic processes and relationships between the monetary and real variables in light of the transformations of the modern economy. The research aims to describe the strategies of constructing monetary theories of mainstream economics and to develop an approach for studying endogenous institutional relationships in monetary processes. Conceptually, the study uses as a point of departure the idea that economic entities pursue value-based and economic motives. Such an approach reflects the intersubjective nature of the economy and helps overcome the extremes of methodological individualism and methodological holism. The study shows how the institutional characteristics of the strategies in question are determined by orthodox and heterodox versions of Keynesian economics. The paradigmal limitations of the given strategies may stem from the fact that methodologically they rely on individualism, which leads to exogenous interpretations of institutions and monetary phenomena. Therefore, it is impossible to explain the emergence of market prices as an institutional phenomena by drawing on the neo-classical versions of the theory of value. Macro-economic indicators in mainstream economics are exogenous aggregated variables. The study traces the development of the paradigmal framework of classical political economy and Marx’s i</w:t>
      </w:r>
    </w:p>
    <w:p>
      <w:pPr/>
      <w:r>
        <w:rPr>
          <w:b/>
        </w:rPr>
        <w:t>POSSIBLE 2022:</w:t>
      </w:r>
      <w:r>
        <w:t xml:space="preserve"> Screening of Cooling Technologies in Europe: Alternatives to Vapour Compression and Possible Market Developments — https://doi.org/10.3390/su14052971</w:t>
      </w:r>
    </w:p>
    <w:p>
      <w:pPr/>
      <w:r>
        <w:rPr>
          <w:b/>
        </w:rPr>
        <w:t>Shared claim-specific concepts:</w:t>
      </w:r>
      <w:r>
        <w:t xml:space="preserve"> aim, alternative; EU scope visible. This is a provisional connection, not an outcome finding.</w:t>
      </w:r>
    </w:p>
    <w:p>
      <w:pPr>
        <w:pStyle w:val="SourceNote"/>
      </w:pPr>
      <w:r>
        <w:rPr>
          <w:b/>
        </w:rPr>
        <w:t>Available abstract (not full text):</w:t>
      </w:r>
      <w:r>
        <w:t xml:space="preserve"> The aim of this study is to investigate, review, and assess the recent advances of alternative cooling technologies using traditional vapor compression (VC) systems as a baseline. Around 99% of the final energy consumption used for cooling in the current European market (European Union plus the United Kingdom (EU27 + UK) is supplied by VC technologies. In comparison, the remaining 1% is produced by thermally driven heat pumps (TDHPs). This study focuses on providing a complete taxonomy of cooling technologies. While the EU heating sector is broadly explored in scientific literature, a significant lack of data and information is present in the cooling sector. This study highlights technologies that can potentially compete and eventually replace VC systems within the decade (2030). Among others, the most promising of these are membrane heat pump, transcritical cycle, Reverse Brayton (Bell Coleman cycle), and absorption cooling. However, the latter mentioned technologies still need further research and development (R&amp;D) to become fully competitive with VC technologies. Notably, there are no alternative cooling technologies characterized by higher efficiency and less cost than VC technologies in the EU market.</w:t>
      </w:r>
    </w:p>
    <w:p>
      <w:pPr>
        <w:pStyle w:val="Heading2"/>
      </w:pPr>
      <w:r>
        <w:t>579.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2026:</w:t>
      </w:r>
      <w:r>
        <w:t xml:space="preserve"> Tensions and transformation : investigating the dynamic value of digital platforms — https://doi.org/10.82444/warw.33911656</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platforms are transforming every industry as they create value distinct from any other digital technology by leveraging complementarity, boundary resources, and network effects. However, the process of value creation and value capture face increasing challenges as a result of the growing involvement of third parties beyond the platform owners’ control and a predominantly narrow focus on economic value across most of the actors, particularly by the platform owners who possess the capability to achieve border impacts. For platforms at different development stages, there should be specific types of value and mechanisms of creating and capturing value corresponding to the conditions, instead of a universal set of definitions, standards, and theories. Therefore, this thesis uses a process-oriented perspective to understand what types of value are created and how value is created and captured at different development stages of digital platforms. The first study examines the early-stage development of a traditional media company within a digital transformation project, where knowledge emerges as the central value pursued for creation and capture. The second study investigates Douyin (known globally as TikTok) during its scaling phase as an established platform, highlighting data as a critical source of capturable value used to address tensions between the platform and its comp</w:t>
      </w:r>
    </w:p>
    <w:p>
      <w:pPr/>
      <w:r>
        <w:rPr>
          <w:b/>
        </w:rPr>
        <w:t>POSSIBLE 2026:</w:t>
      </w:r>
      <w:r>
        <w:t xml:space="preserve"> Navigating Tensions in Digital Transformation: Managerial Action Across Levels — https://doi.org/10.5463/thesis.1701</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transformation promises incumbent firms new ways to compete and create value, but the journey there is shadowed with tensions. This dissertation asks: How do managers in incumbent firms navigate tensions when leading digital transformation? Three interconnected studies build the answer. The first, a systematic review of 109 articles, highlights a framework on how managers use paradoxical, convergence, and legitimacy framing to resolve cognitive tensions across sensing, seizing, and transforming. The second, a longitudinal case study of PetCo, distinguishes commensalistic from rivalrous resource tensions in ecosystem diversification, showing how each triggers distinct patterns of distributed leadership, from peer-level coordination among middle managers to coordination across hierarchical levels. The third examines artificial intelligence adoption, uncovering distinct challenges across generative and predictive AI and highlighting middle managers as pivotal actors in scaling AI across three phases. Together, these studies advance a multi-level understanding of digital transformation: one where success depends not only on strategic vision from the top, but on how managers across the hierarchy actively navigate cognitive, resource, and technological tensions in practice.</w:t>
      </w:r>
    </w:p>
    <w:p>
      <w:pPr/>
      <w:r>
        <w:rPr>
          <w:b/>
        </w:rPr>
        <w:t>POSSIBLE 2026:</w:t>
      </w:r>
      <w:r>
        <w:t xml:space="preserve"> A cosmological intercept tension in local distance ladders — https://doi.org/10.48550/arxiv.2610.31181</w:t>
      </w:r>
    </w:p>
    <w:p>
      <w:pPr/>
      <w:r>
        <w:rPr>
          <w:b/>
        </w:rPr>
        <w:t>Shared claim-specific concepts:</w:t>
      </w:r>
      <w:r>
        <w:t xml:space="preserve"> third, highlight, value; EU scope not established. This is a provisional connection, not an outcome finding.</w:t>
      </w:r>
    </w:p>
    <w:p>
      <w:pPr>
        <w:pStyle w:val="SourceNote"/>
      </w:pPr>
      <w:r>
        <w:rPr>
          <w:b/>
        </w:rPr>
        <w:t>Available abstract (not full text):</w:t>
      </w:r>
      <w:r>
        <w:t xml:space="preserve"> The Hubble tension motivates direct tests of the internal consistency of the local distance ladder. We perform forward and backward consistency checks between Type Ia supernovae in Cepheid host galaxies and the Hubble-flow supernova sample using Pantheon+ data. Within flat $Λ$CDM, we impose Planck-CMB priors on one sample, infer the supernova absolute-magnitude calibration, and propagate it to the other sample to recover the Hubble constant, which should match the input value if the second and third rungs of the distance ladder align perfectly. We examine the impact of host-galaxy peculiar velocities using redshift corrections based on the Manticore-Local reconstruction. These corrections shift the recovered $H_0$ from $74.30^{+1.18}_{-1.20}$ to $71.37^{+1.23}_{-1.18}$ $\mathrm{km\,s^{-1}Mpc^{-1}}$ in the forward analysis and from $60.83^{+0.98}_{-0.97}$ to $63.25^{+0.95}_{-0.93}$ $\mathrm{km\,s^{-1}Mpc^{-1}}$ in the backward analysis, bringing both results closer to the input CMB constraint. Comparing the cosmological intercepts of the magnitude-redshift relation inferred from two rungs of the distance ladder before and after peculiar-velocity corrections, we find that the significance of the discrepancy decreases from $6.8σ$ to $3.9σ$ in the forward check and from $7.3σ$ to $4.3σ$ in the backward check. Peculiar-velocity corrections therefore partially alleviate the intercept</w:t>
      </w:r>
    </w:p>
    <w:p>
      <w:pPr/>
      <w:r>
        <w:rPr>
          <w:b/>
        </w:rPr>
        <w:t>POSSIBLE 2025:</w:t>
      </w:r>
      <w:r>
        <w:t xml:space="preserve"> Three-dimensional third medium contact model for hyperelastic contact and pneumatically actuated systems — https://doi.org/10.48550/arxiv.2512.03181</w:t>
      </w:r>
    </w:p>
    <w:p>
      <w:pPr/>
      <w:r>
        <w:rPr>
          <w:b/>
        </w:rPr>
        <w:t>Shared claim-specific concepts:</w:t>
      </w:r>
      <w:r>
        <w:t xml:space="preserve"> third, highlight, need; EU scope not established. This is a provisional connection, not an outcome finding.</w:t>
      </w:r>
    </w:p>
    <w:p>
      <w:pPr>
        <w:pStyle w:val="SourceNote"/>
      </w:pPr>
      <w:r>
        <w:rPr>
          <w:b/>
        </w:rPr>
        <w:t>Available abstract (not full text):</w:t>
      </w:r>
      <w:r>
        <w:t xml:space="preserve"> This work presents a comprehensive three-dimensional third-medium contact framework for modeling complex contact interactions in hyperelastic solids and pneumatically actuated systems. The proposed third-medium formulation embeds a fictitious medium (or third medium) between potentially interacting bodies, enabling a unified and robust treatment of hyperelastic contact and self-contact without the need for discretization of the contact interface. Unlike the widely studied two-dimensional problem, this paper extends the new regularization term given in Reference \cite{TMCWriggers2} to three-dimensional problems and ensures element quality in a third medium. Due to the need for higher-order elements for the regularization term, this paper details the linearization process of this problem within the finite element framework. In addition, pneumatically actuated systems are considered by introducing a pneumatic term to represent pneumatic loading (pressure or suction) and inducing contact caused by internal inflation. This approach is suitable for complex hyperelastic contact and self-contact, and has potential applications in the fields of soft robotics and flexible mechanisms. The framework is developed in a fully three-dimensional setting, making it also suitable for isogeometric methods and meshless methods. Several benchmark and application-level simulations demonstrate the acc</w:t>
      </w:r>
    </w:p>
    <w:p>
      <w:pPr/>
      <w:r>
        <w:rPr>
          <w:b/>
        </w:rPr>
        <w:t>POSSIBLE 2025:</w:t>
      </w:r>
      <w:r>
        <w:t xml:space="preserve"> Global Nomads: Identity and Belonging in Third Culture Kids and Adult Third Culture Kids — https://openalex.org/W7119396443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This capstone examines the subculture of Third Culture Kids and Adult Third Culture Kids who have experienced living abroad as children. There were two main objectives in this study. First, to understand the perceptions of Adult Third Culture Kids on how their global childhoods have impacted their self-identity and sense of belonging as adults. Secondly, to understand the opinions of Adult Third Culture Kids on transitional programs through their personal experiences with them. The methodology of this capstone included a twelve-question survey distributed to seventeen Adult Third Culture Kids born in six different countries around the world. The questions in the survey focused on two central research questions about self-identity, belonging, and opinions of transitional programs aiding in childhood development. A thematic analysis used Google Highlight to code responses into three themes supported by an accompanying literature review. The findings of this study showed that the perceptions of self-identity and sense of belonging in Adult Third Culture Kids aligned with published literature on the topic. Contrastingly, Adult Third Culture Kids in this study agreed that transitional programs would negatively affect the childhood development of future Third Culture Kids. Having not participated in them during childhood, most concluded that they preferred navigating their childhood </w:t>
      </w:r>
    </w:p>
    <w:p>
      <w:pPr/>
      <w:r>
        <w:rPr>
          <w:b/>
        </w:rPr>
        <w:t>POSSIBLE 2025:</w:t>
      </w:r>
      <w:r>
        <w:t xml:space="preserve"> Values tensions and values tradeoffs in the development of healthcare artificial intelligence technology: a conceptual model of decisions to create trustworthy technology — https://doi.org/10.1080/15534510.2025.2478940</w:t>
      </w:r>
    </w:p>
    <w:p>
      <w:pPr/>
      <w:r>
        <w:rPr>
          <w:b/>
        </w:rPr>
        <w:t>Shared claim-specific concepts:</w:t>
      </w:r>
      <w:r>
        <w:t xml:space="preserve"> highlight, value, tensions, need; EU scope not established. This is a provisional connection, not an outcome finding.</w:t>
      </w:r>
    </w:p>
    <w:p>
      <w:pPr>
        <w:pStyle w:val="SourceNote"/>
      </w:pPr>
      <w:r>
        <w:rPr>
          <w:b/>
        </w:rPr>
        <w:t>Available abstract (not full text):</w:t>
      </w:r>
      <w:r>
        <w:t xml:space="preserve"> Value-action gaps may exist when values are endorsed due to external pressures, from low perceived behavioral control, or when values conflict with community norms or one another. In the context of developing healthcare artificial intelligence (AI), prosocial values like fairness and transparency are particularly important, yet they may clash with an instrumental value for profit. We recruited 185 healthcare AI developers (66.49% male, 58.92% White, Mage = 27.56) to examine facilitators and barriers of value-action congruence. Value endorsement, internalization, attitudes, norms, and message frequency were positively linked to behavioral intention to act in line with one’s values, while low perceived control and value tension were negatively associated with it. Findings highlight the need for organizational cultures that emphasize prosocial values.</w:t>
      </w:r>
    </w:p>
    <w:p>
      <w:pPr/>
      <w:r>
        <w:rPr>
          <w:b/>
        </w:rPr>
        <w:t>POSSIBLE 2025:</w:t>
      </w:r>
      <w:r>
        <w:t xml:space="preserve"> Navigating the tension: Islamic value and digital transformation in Pakistani educational management — https://doi.org/10.22515/attarbawi.v10i2.13017</w:t>
      </w:r>
    </w:p>
    <w:p>
      <w:pPr/>
      <w:r>
        <w:rPr>
          <w:b/>
        </w:rPr>
        <w:t>Shared claim-specific concepts:</w:t>
      </w:r>
      <w:r>
        <w:t xml:space="preserve"> highlight, value, need; EU scope not established. This is a provisional connection, not an outcome finding.</w:t>
      </w:r>
    </w:p>
    <w:p>
      <w:pPr>
        <w:pStyle w:val="SourceNote"/>
      </w:pPr>
      <w:r>
        <w:rPr>
          <w:b/>
        </w:rPr>
        <w:t>Available abstract (not full text):</w:t>
      </w:r>
      <w:r>
        <w:t xml:space="preserve"> This study investigates how educational management is practiced within Islamic institutions by integrating conceptual analysis with qualitative field data from selected madrasas and Islamic universities in Pakistan. Although educational management in Islamic institutions has been widely discussed theoretically, there remains a lack of empirical studies that examine how administrators and teachers actually implement Islamic values in day-to-day management practices, which creates an important gap in the literature. Drawing on qualitative multiple-case study, data were gathered through semi-structured interviews with administrators (n = 12) and teachers (n = 18) and supported by a review of institutional documents. The study explores how values such as amanah, shūrā, and ihsan shape leadership behaviour, curriculum decisions, and responses to digital transformation. Thematic analysis reveals that management processes often rely on traditional authority structures and limited strategic planning, and that digital innovation is acknowledged as important yet constrained by inadequate resources. Participants also expressed the ongoing tension between preserving religious authenticity and meeting modern educational demands. Overall, the findings highlight the need for a professionalized and ethically grounded management model that reflects Islamic principles while responding effectivel</w:t>
      </w:r>
    </w:p>
    <w:p>
      <w:pPr/>
      <w:r>
        <w:rPr>
          <w:b/>
        </w:rPr>
        <w:t>POSSIBLE 2025:</w:t>
      </w:r>
      <w:r>
        <w:t xml:space="preserve"> Higher education students' value tensions and alignments with a learning analytics dashboard: A comparative study between disciplines with epistemic network analysis — https://doi.org/10.1111/bjet.70033</w:t>
      </w:r>
    </w:p>
    <w:p>
      <w:pPr/>
      <w:r>
        <w:rPr>
          <w:b/>
        </w:rPr>
        <w:t>Shared claim-specific concepts:</w:t>
      </w:r>
      <w:r>
        <w:t xml:space="preserve"> value, tensions, need; EU scope not established. This is a provisional connection, not an outcome finding.</w:t>
      </w:r>
    </w:p>
    <w:p>
      <w:pPr>
        <w:pStyle w:val="SourceNote"/>
      </w:pPr>
      <w:r>
        <w:rPr>
          <w:b/>
        </w:rPr>
        <w:t>Available abstract (not full text):</w:t>
      </w:r>
      <w:r>
        <w:t xml:space="preserve"> Abstract Data and algorithm driven technologies designed to support teaching and learning activities have raised intense debate on ethics. Specifically, learning analytics (LA) have been criticized for the lack of students' involvement and disconnection from the learning context. The current study addresses this gap by investigating higher education students' ( N = 12) use of an LA dashboard from a value perspective. Semi‐structured interviews were conducted with students from two different disciplines. We performed a content analysis relying on two frameworks. A value‐sensitive design was employed as an approach to study value tensions and alignments for students as users of LA, and Schwartz's theory of basic values worked as a framework for the analysis. Further, an epistemic network analysis was utilized for revealing the interconnections of value alignments and tensions in a student group comparison (teacher education vs. information technology). The results indicated that utilizing the LA dashboard was connected to achievement, self‐direction, stimulation and well‐being considerations. The use of the LA dashboard facilitated both positive and negative student experiences, indicating value tensions and alignments. Teacher education students experienced greater intensity and various value tensions compared to information technology students. Especially the LA dashboard suppo</w:t>
      </w:r>
    </w:p>
    <w:p>
      <w:pPr/>
      <w:r>
        <w:rPr>
          <w:b/>
        </w:rPr>
        <w:t>POSSIBLE 2024:</w:t>
      </w:r>
      <w:r>
        <w:t xml:space="preserve"> Three-step Collocation Method for Solution of Third Derivative Initial Value Problem — https://doi.org/10.62054/ijdm/0101.03</w:t>
      </w:r>
    </w:p>
    <w:p>
      <w:pPr/>
      <w:r>
        <w:rPr>
          <w:b/>
        </w:rPr>
        <w:t>Shared claim-specific concepts:</w:t>
      </w:r>
      <w:r>
        <w:t xml:space="preserve"> third, highlight, three, value; EU scope not established. This is a provisional connection, not an outcome finding.</w:t>
      </w:r>
    </w:p>
    <w:p>
      <w:pPr>
        <w:pStyle w:val="SourceNote"/>
      </w:pPr>
      <w:r>
        <w:rPr>
          <w:b/>
        </w:rPr>
        <w:t>Available abstract (not full text):</w:t>
      </w:r>
      <w:r>
        <w:t xml:space="preserve"> In this research paper, we introduce a novel three-step block method designed to directly tackle third-order initial value problems. This method is crafted through an interpolation and collocation approach, leveraging power series analysis. We conduct a comprehensive examination of the proposed method, ensuring it meets all requisite conditions for rigorous analysis. To assess its efficacy and validity, we employ the method on both highly stiff linear and nonlinear initial value problems, juxtaposing our findings with established approaches in the literature. Our results highlight that the new method exhibits faster convergence compared to existing methods, underscoring its superior performance. Initial value problems, Interpolation and collocation procedure, Three step, Third order</w:t>
      </w:r>
    </w:p>
    <w:p>
      <w:pPr/>
      <w:r>
        <w:rPr>
          <w:b/>
        </w:rPr>
        <w:t>POSSIBLE 2024:</w:t>
      </w:r>
      <w:r>
        <w:t xml:space="preserve"> Misconceptions, Pragmatism, and Value Tensions: Evaluating Students' Understanding and Perception of Generative AI for Education — https://doi.org/10.1109/fie61694.2024.10893017</w:t>
      </w:r>
    </w:p>
    <w:p>
      <w:pPr/>
      <w:r>
        <w:rPr>
          <w:b/>
        </w:rPr>
        <w:t>Shared claim-specific concepts:</w:t>
      </w:r>
      <w:r>
        <w:t xml:space="preserve"> highlight, value, tensions, need; EU scope not established. This is a provisional connection, not an outcome finding.</w:t>
      </w:r>
    </w:p>
    <w:p>
      <w:pPr>
        <w:pStyle w:val="SourceNote"/>
      </w:pPr>
      <w:r>
        <w:rPr>
          <w:b/>
        </w:rPr>
        <w:t>Available abstract (not full text):</w:t>
      </w:r>
      <w:r>
        <w:t xml:space="preserve"> In this research paper we examine undergraduate students' use of and perceptions of generative AI (GenAI). Although the initial hype around ChatGPT has subsided, GenAI applications continue to make inroads across learning activities. Like any other emerging technology, there is a lack of consensus around using GenAI within higher education. Students are early adopters of the technology, utilizing it in atypical ways and forming a range of perceptions and aspirations about it. To understand where and how students are using these tools and how they view them, we present findings from an open-ended survey response study with undergraduate students pursuing information technology degrees. Students were asked to describe 1) their understanding of GenAI; 2) their use of GenAI; 3) their opinions on the benefits, downsides, and ethical issues pertaining to its use in education; and 4) how they envision GenAI could ideally help them with their education. Thirty-seven students provided responses ranging in length from 20 to 300 words for each question. Responses were iteratively coded by researchers to uncover patterns in the data and then categorized thematically. Findings reveal that students' definitions of GenAI differed substantially and included many misconceptions - some highlight it as a technique, an application, or a tool, while others described it as a type of AI. There was a </w:t>
      </w:r>
    </w:p>
    <w:p>
      <w:pPr/>
      <w:r>
        <w:rPr>
          <w:b/>
        </w:rPr>
        <w:t>POSSIBLE 2023:</w:t>
      </w:r>
      <w:r>
        <w:t xml:space="preserve"> A Workshop-Based Method for Navigating Value Tensions in Collectively Speculated Worlds — https://doi.org/10.1145/3563657.3595992</w:t>
      </w:r>
    </w:p>
    <w:p>
      <w:pPr/>
      <w:r>
        <w:rPr>
          <w:b/>
        </w:rPr>
        <w:t>Shared claim-specific concepts:</w:t>
      </w:r>
      <w:r>
        <w:t xml:space="preserve"> value, tensions, need; EU scope not established. This is a provisional connection, not an outcome finding.</w:t>
      </w:r>
    </w:p>
    <w:p>
      <w:pPr>
        <w:pStyle w:val="SourceNote"/>
      </w:pPr>
      <w:r>
        <w:rPr>
          <w:b/>
        </w:rPr>
        <w:t>Available abstract (not full text):</w:t>
      </w:r>
      <w:r>
        <w:t xml:space="preserve"> The rapid pace of technological progress carries with it a heightened risk of ethics and privacy violations, creating an urgent need for mechanisms to address this risk. We approach this problem from the perspective of designers and technologists aiming to design technology that better accounts for ethical implications. We iteratively developed a workshop-based method (N=113, seven workshops) for probing ethical implications of emerging ubiquitous computing technologies. We contribute a method that enables people with varying levels and areas of domain expertise and with a variety of lived experiences to collectively speculate about the ethical implications of emerging technologies, navigate value tensions, and prototype artifacts as a way to grapple with those tensions. We introduce implication design as a means for participants with and without design experience to communicate how a technology might change to better serve them. Lastly, we share our learnings from and reflections on our design process.</w:t>
      </w:r>
    </w:p>
    <w:p>
      <w:pPr>
        <w:pStyle w:val="Heading2"/>
      </w:pPr>
      <w:r>
        <w:t>580.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2026:</w:t>
      </w:r>
      <w:r>
        <w:t xml:space="preserve"> Class XII Mathematics: Detailed Step-by-Step Solution Manual — https://doi.org/10.5281/zenodo.23293618</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Mathematics for Class XII: Complete Step-by-Step Solution Manual Author: Abdul Rab ChacharDesignation: Lecturer in MathematicsAffiliation: College Education Department, Government of Sindh, Pakistan This educational solution manual is designed as an independent companion to the Class XII Mathematics textbook prescribed by the Sindh Textbook Board, Jamshoro, Pakistan. The manual aims to provide clear, detailed, step-by-step mathematical solutions to help higher secondary students, teachers, and independent learners develop conceptual understanding, strengthen problem-solving skills, and prepare for examinations. The manual is organized around the twelve units of the prescribed mathematics curriculum, including functions and limits, differential calculus, integration, vector functions, analytic geometry, differential equations, partial differentiation, and introductory numerical methods. Educational Purpose This work is intended for free educational distribution and non-commercial learning. Students and teachers are encouraged to access and share the original, unmodified manual with appropriate attribution, subject to its stated license. Copyright and Attribution Copyright © 2026 Abdul Rab Chachar. This is an independently prepared educational resource and is not an official publication of, or endorsed by, the Sindh Textbook Board. Website: https://abdulrab.github.ioLinkedIn: htt</w:t>
      </w:r>
    </w:p>
    <w:p>
      <w:pPr/>
      <w:r>
        <w:rPr>
          <w:b/>
        </w:rPr>
        <w:t>POSSIBLE 2026:</w:t>
      </w:r>
      <w:r>
        <w:t xml:space="preserve"> Delays in publication of 2026 papers — https://doi.org/10.1002/ovs2.70056</w:t>
      </w:r>
    </w:p>
    <w:p>
      <w:pPr/>
      <w:r>
        <w:rPr>
          <w:b/>
        </w:rPr>
        <w:t>Shared claim-specific concepts:</w:t>
      </w:r>
      <w:r>
        <w:t xml:space="preserve"> purpose, publication, detailed, terms, well, improve; EU scope not established. This is a provisional connection, not an outcome finding.</w:t>
      </w:r>
    </w:p>
    <w:p>
      <w:pPr>
        <w:pStyle w:val="SourceNote"/>
      </w:pPr>
      <w:r>
        <w:rPr>
          <w:b/>
        </w:rPr>
        <w:t>Available abstract (not full text):</w:t>
      </w:r>
      <w:r>
        <w:t xml:space="preserve"> The one major change that was not included in our January 2024, 3-year plan for the journal1 was to change publishers to Wiley.2 The three main advantages we foresaw were a significant reduction in publication times, improved readability of papers, and a route for authors to obtain open access publication of their papers via Wiley agreements with institutions worldwide.2 This means that authors from many universities will get payment for open access publication via their institution and do not need to have grants for this purpose. Having worked with Wiley as editor-in-chief of Ophthalmic &amp; Physiological Optics from 2010 to 2020, I was also aware of their excellent marketing team that helped to improve our communications with authors and reviewers. Wiley also has very well-thought-through processes for dealing with ethical issues and AI. We started the process of choosing a new publisher in 2024 and chose Wiley in early 2025, with a plan to switch in January 2026. Wiley was the only publisher to provide a detailed transition plan. The plan was due to start in July 2025 with the conversion of the backfiles of all Optometry and Visions Science (OVS)'s past issues from Wolters–Kluwer to Wiley. The first difficulty was the amount of time needed for the legal team at the American Academy of Optometry (AAO) to finalize an agreement with Wiley; this delayed the process for several mont</w:t>
      </w:r>
    </w:p>
    <w:p>
      <w:pPr/>
      <w:r>
        <w:rPr>
          <w:b/>
        </w:rPr>
        <w:t>POSSIBLE 2026:</w:t>
      </w:r>
      <w:r>
        <w:t xml:space="preserve"> CGT TECHNICAL DISCLOSURE BULLETIN V1 - Prior Art Publication for Inventions Derived from Conscious Geometry Theory — https://doi.org/10.5281/zenodo.18772630</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document constitutes a defensive publication and prior art disclosure under the principles of intellectual property law. Its purpose is to place into the public domain detailed technical descriptions of all known and anticipated inventions, methods, systems, devices, and applications derivable from Conscious Geometry Theory (CGT).All inventions described in this document to the public domain for the benefit of humanity under CC-BY-4.0 licence. No patent applications have been filed, are pending, or will be filed by the inventor for any invention described herein.</w:t>
      </w:r>
    </w:p>
    <w:p>
      <w:pPr/>
      <w:r>
        <w:rPr>
          <w:b/>
        </w:rPr>
        <w:t>POSSIBLE 2026:</w:t>
      </w:r>
      <w:r>
        <w:t xml:space="preserve"> Towards Fitness-for-purpose assessment in HealthData@EU — https://doi.org/10.5281/zenodo.20204309</w:t>
      </w:r>
    </w:p>
    <w:p>
      <w:pPr/>
      <w:r>
        <w:rPr>
          <w:b/>
        </w:rPr>
        <w:t>Shared claim-specific concepts:</w:t>
      </w:r>
      <w:r>
        <w:t xml:space="preserve"> purpose, publication, detailed, well, recommendations; EU scope visible. This is a provisional connection, not an outcome finding.</w:t>
      </w:r>
    </w:p>
    <w:p>
      <w:pPr>
        <w:pStyle w:val="SourceNote"/>
      </w:pPr>
      <w:r>
        <w:rPr>
          <w:b/>
        </w:rPr>
        <w:t>Available abstract (not full text):</w:t>
      </w:r>
      <w:r>
        <w:t xml:space="preserve"> Proposal Design of a Fitness‑for‑Purpose (F4P) Mechanism for HealthData@EU Executive Summary This report proposes an initial design for a Fitness‑for‑Purpose (F4P) mechanism within HealthData@EU, aimed at complementing the existing QUANTUM Data Quality, Utility, and Maturity Label. The F4P mechanism introduces a structured way to capture and share Data Users’ assessments of how well datasets meet specific secondary‑use purposes under the European Health Data Space (EHDS). These assessments are intended to enhance transparency, usability, and trust by making real‑world dataset performance visible through Health Data Access Bodies (HDAB) catalogues. At its core, the mechanism enables purpose‑specific scoring of datasets, aligned with EHDS Article 53(1) use cases, including scientific research (e.g., AI training/testing), public health surveillance, policymaking and Health Technology Assessment (HTA), statistics, and education. Evaluations are anchored in QUANTUM’s established data quality dimensions, such as completeness, consistency, and accuracy; while also incorporating qualitative feedback through user comments and optional supporting materials (e.g., reports, code, persistent identifiers). The design defines a post‑use reporting model, requiring feedback submission within EHDS Article 61(4) timelines, while allowing optional early feedback to Data Holders (DHs). Governance i</w:t>
      </w:r>
    </w:p>
    <w:p>
      <w:pPr/>
      <w:r>
        <w:rPr>
          <w:b/>
        </w:rPr>
        <w:t>POSSIBLE 2025:</w:t>
      </w:r>
      <w:r>
        <w:t xml:space="preserve"> "Ukrainian zhurnal ": 200 years since the day of publication — https://doi.org/10.36273/2076-9555.2024.12(341).41-45</w:t>
      </w:r>
    </w:p>
    <w:p>
      <w:pPr/>
      <w:r>
        <w:rPr>
          <w:b/>
        </w:rPr>
        <w:t>Shared claim-specific concepts:</w:t>
      </w:r>
      <w:r>
        <w:t xml:space="preserve"> purpose, publication, detailed, country; EU scope not established. This is a provisional connection, not an outcome finding.</w:t>
      </w:r>
    </w:p>
    <w:p>
      <w:pPr>
        <w:pStyle w:val="SourceNote"/>
      </w:pPr>
      <w:r>
        <w:rPr>
          <w:b/>
        </w:rPr>
        <w:t>Available abstract (not full text):</w:t>
      </w:r>
      <w:r>
        <w:t xml:space="preserve">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pPr/>
      <w:r>
        <w:rPr>
          <w:b/>
        </w:rPr>
        <w:t>POSSIBLE 2025:</w:t>
      </w:r>
      <w:r>
        <w:t xml:space="preserve"> "Ukrainian zhurnal ": 200 years since the day of publication — https://doi.org/10.36273/2076-9555.2024.11(340).51-52</w:t>
      </w:r>
    </w:p>
    <w:p>
      <w:pPr/>
      <w:r>
        <w:rPr>
          <w:b/>
        </w:rPr>
        <w:t>Shared claim-specific concepts:</w:t>
      </w:r>
      <w:r>
        <w:t xml:space="preserve"> purpose, publication, detailed, country; EU scope not established. This is a provisional connection, not an outcome finding.</w:t>
      </w:r>
    </w:p>
    <w:p>
      <w:pPr>
        <w:pStyle w:val="SourceNote"/>
      </w:pPr>
      <w:r>
        <w:rPr>
          <w:b/>
        </w:rPr>
        <w:t>Available abstract (not full text):</w:t>
      </w:r>
      <w:r>
        <w:t xml:space="preserve">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pPr/>
      <w:r>
        <w:rPr>
          <w:b/>
        </w:rPr>
        <w:t>POSSIBLE 2025:</w:t>
      </w:r>
      <w:r>
        <w:t xml:space="preserve"> Principles for building a culture of organizational foresight — https://doi.org/10.1016/j.futures.2025.103673</w:t>
      </w:r>
    </w:p>
    <w:p>
      <w:pPr/>
      <w:r>
        <w:rPr>
          <w:b/>
        </w:rPr>
        <w:t>Shared claim-specific concepts:</w:t>
      </w:r>
      <w:r>
        <w:t xml:space="preserve"> methodological, foresight; EU scope not established. This is a provisional connection, not an outcome finding.</w:t>
      </w:r>
    </w:p>
    <w:p>
      <w:pPr>
        <w:pStyle w:val="SourceNote"/>
      </w:pPr>
      <w:r>
        <w:rPr>
          <w:b/>
        </w:rPr>
        <w:t>Available abstract (not full text):</w:t>
      </w:r>
      <w:r>
        <w:t xml:space="preserve"> There is growing interest in developing foresight cultures within international organizations. This reflection on the United Nations Environment Programme (UNEP) approach focuses on a critical 18-month chapter of an ongoing initiative called the Foresight Trajectory. It begins with the premise that organizations are complex adaptive systems, foresight is driven by its potential value, and anticipation is a social phenomenon. The paper proposes principles for cultivating a culture of organizational foresight based on a methodological reflection of the UNEP Foresight Trajectory. This process applied three sets of Reflection Questions across six project phases, generating key insights that inform principles for cultivating foresight within the organization. The questions addressed contexts, relevance perceptions, and modes of anticipation. Three main insights emerged: the foresight process was dynamic and adaptive; the process itself fosters a future-focused culture; and UNEP, along with other international entities, is uniquely positioned to lead multi-perspective foresight processes. Based on these insights, seven Foresight Principles are proposed to guide UNEP and other international entities in engaging stakeholders in foresight to explore new ideas, prepare for uncertainty, build a foresight community, stay flexible and reflexive, communicate openly while respecting stakehold</w:t>
      </w:r>
    </w:p>
    <w:p>
      <w:pPr/>
      <w:r>
        <w:rPr>
          <w:b/>
        </w:rPr>
        <w:t>POSSIBLE 2024:</w:t>
      </w:r>
      <w:r>
        <w:t xml:space="preserve"> IS THE PUBLICATION LEGAL/LAW/JUDICIAL? — https://doi.org/10.23939/sjs2024.02.001</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The problem of clarifying the correct use of the concepts of legal, law, and judicial for a clear purpose is currently in the field of interest of legal scholars, linguists, and terminologists. Communicators are also involved in the detailed study of this issue, for whom clarifying this issue is important and necessary for further media research of various kinds. The disagreement among scholars on the use of these concepts is explained, in our opinion, primarily by the not entirely clear establishment of the general term field in the domain of judicial («legal») science. The purpose of the research was to determine the correctness of word usage in the selfidentification of legal/law/judicial publications. In order to achieve this goal, we emphasize the need to fulfill the following tasks: – to distinguish self-titles in the description of legal/law/judicial publications; – to establish the linguistic features of the concepts of «legal», «law», «judicial» and the peculiarities ofscientific and practical discourse on this issue. As we have seen from the titles and descriptions of the publications, some of them contain the term «judicial» and others «legal» or «law». In the course of the study, we have identified the opinions of journalism scholars, philologists, and lawyers, both academics and practitioners, on the correctness of using these words in defining the intended purpose</w:t>
      </w:r>
    </w:p>
    <w:p>
      <w:pPr/>
      <w:r>
        <w:rPr>
          <w:b/>
        </w:rPr>
        <w:t>POSSIBLE 2024:</w:t>
      </w:r>
      <w:r>
        <w:t xml:space="preserve"> Exploring the Chat GPT's Impact and Prospects for Business Research Purposes — https://doi.org/10.1109/inocon60754.2024.10511483</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research provides a detailed analysis of publications related to the Chat GPT topic using data from the Scopus database. The main purpose of this research is to find research gaps within ChatGPT research, especially in business. This research content is divided into four key areas: publication and citation structure, past research topics, author co-citation analysis, and keyword co-occurrence analysis. The research finds that Chat GPT is actively explored in medicine, social science, computer science, and engineering. Most past research is not directly related to business, but it can support business continuity. The research notes a balanced contribution from authors and identifies "Artificial Intelligence" as a leading keyword. Countries like the United States, China, and India are major contributors. Using Latent Dirichlet Allocation (LDA), the study categorizes previous work into five areas: remote learning, AI-based customer support, Learning Management Systems, academic research roles, and AI data handling. The co-citation analysis shows that authors, specifically Wu J. and Radford A., have significantly impacted the Chat GPT publication. For keyword co-occurrence, "Artificial Intelligence" and "ChatGPT" are keywords that have a strong link. The keywords cluster are divided into technology (red) and human-centric (green) topics.</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methodological, well, national, foresight, tool;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pStyle w:val="Heading2"/>
      </w:pPr>
      <w:r>
        <w:t>581.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2024:</w:t>
      </w:r>
      <w:r>
        <w:t xml:space="preserve"> Emerging Biotechnologies in Europe: Foresight for Policy — https://doi.org/10.2760/4814109</w:t>
      </w:r>
    </w:p>
    <w:p>
      <w:pPr/>
      <w:r>
        <w:rPr>
          <w:b/>
        </w:rPr>
        <w:t>Shared claim-specific concepts:</w:t>
      </w:r>
      <w:r>
        <w:t xml:space="preserve"> foresight, addressing, international, challenges;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environmental, foresight, addressing, international, challenges;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possible, environmental, foresight, trends;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2024:</w:t>
      </w:r>
      <w:r>
        <w:t xml:space="preserve"> The use of injectable orthobiologics for knee osteoarthritis: A European ESSKA‐ORBIT consensus. Part 1—Blood‐derived products (platelet‐rich plasma) — https://doi.org/10.1002/ksa.12077</w:t>
      </w:r>
    </w:p>
    <w:p>
      <w:pPr/>
      <w:r>
        <w:rPr>
          <w:b/>
        </w:rPr>
        <w:t>Shared claim-specific concepts:</w:t>
      </w:r>
      <w:r>
        <w:t xml:space="preserve"> possible, statements, questions; EU scope visible. This is a provisional connection, not an outcome finding.</w:t>
      </w:r>
    </w:p>
    <w:p>
      <w:pPr>
        <w:pStyle w:val="SourceNote"/>
      </w:pPr>
      <w:r>
        <w:rPr>
          <w:b/>
        </w:rPr>
        <w:t>Available abstract (not full text):</w:t>
      </w:r>
      <w:r>
        <w:t xml:space="preserve"> PURPOSE: The aim of this European Society of Sports Traumatology, Knee Surgery and Arthroscopy (ESSKA) consensus is to provide recommendations based on evidence and expert opinion to improve indications, decision-making and administration-related aspects when using blood-derived orthobiologics (for simplicity indicated as PRP-platelet-rich plasma-with PRP being the most common product) for the management of knee osteoarthritis (OA). METHODS: Leading European expert clinicians and scientists were divided into a steering group, a rating group and a peer review group. The steering group prepared 28 question-statement sets divided into three sections: PRP rationale and indications, PRP preparation and characterisation and PRP protocol. The quality of the statements received grades of recommendation ranging from A (high-level scientific support) to B (scientific presumption), C (low-level scientific support) or D (expert opinion). The question-statement sets were then evaluated by the rating group, and the statements scored from 1 to 9 based on their degree of agreement with the statements produced by the steering group. Once a general consensus was reached between the steering and rating groups, the document was submitted to the peer review group who evaluated the geographic adaptability and approved the document. A final combined meeting of all the members of the consensus was hel</w:t>
      </w:r>
    </w:p>
    <w:p>
      <w:pPr/>
      <w:r>
        <w:rPr>
          <w:b/>
        </w:rPr>
        <w:t>POSSIBLE 2023:</w:t>
      </w:r>
      <w:r>
        <w:t xml:space="preserve"> Web based research in sexual medicine: a position statement of the European Society for Sexual Medicine — https://doi.org/10.1093/sexmed/qfad032</w:t>
      </w:r>
    </w:p>
    <w:p>
      <w:pPr/>
      <w:r>
        <w:rPr>
          <w:b/>
        </w:rPr>
        <w:t>Shared claim-specific concepts:</w:t>
      </w:r>
      <w:r>
        <w:t xml:space="preserve"> possible, statements, identified, researchers, challenges; EU scope visible. This is a provisional connection, not an outcome finding.</w:t>
      </w:r>
    </w:p>
    <w:p>
      <w:pPr>
        <w:pStyle w:val="SourceNote"/>
      </w:pPr>
      <w:r>
        <w:rPr>
          <w:b/>
        </w:rPr>
        <w:t>Available abstract (not full text):</w:t>
      </w:r>
      <w:r>
        <w:t xml:space="preserve"> Background: Although the use of the Web has brought major advances in every step of the research process, this also comes with several methodological challenges. Aim: The article presents the European Society for Sexual Medicine's position statements on key methodological concerns relative to Web-based research in sexual medicine. Methods: The authors conducted a systematic scoping review of articles using Web-based research methods in sexual medicine. For the creation of the statements, the authors processed the data from the methodology of the studies and formulated the final statements reaching 100% agreement in the group. Outcomes: European Society for Sexual Medicine statements were provided on the following domains: definition of the population of interest, selection of the population of interest, data collection quality, response rate, self-reported questionnaire, consent, and legal obligations. Results: Researchers should justify the relevance of the Internet population to the population of interest; should clearly describe how they identified study participants; should select and employ specific measures to avoid hoax; should explicitly describe the process of calculation of response and completion rates as well as the relative implications; should validate traditional sexual health questionnaires for online and, if possible, multilingual use; should not ignore consent</w:t>
      </w:r>
    </w:p>
    <w:p>
      <w:pPr>
        <w:pStyle w:val="Heading2"/>
      </w:pPr>
      <w:r>
        <w:t>582.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2026:</w:t>
      </w:r>
      <w:r>
        <w:t xml:space="preserve"> Influence of Drought Severity on Household Livelihood Strategies in Rachuonyo North Sub-County, Kenya — https://doi.org/10.37284/ajccrs.5.2.5920</w:t>
      </w:r>
    </w:p>
    <w:p>
      <w:pPr/>
      <w:r>
        <w:rPr>
          <w:b/>
        </w:rPr>
        <w:t>Shared claim-specific concepts:</w:t>
      </w:r>
      <w:r>
        <w:t xml:space="preserve"> drought, severity, increase, climate, them; EU scope not established. This is a provisional connection, not an outcome finding.</w:t>
      </w:r>
    </w:p>
    <w:p>
      <w:pPr>
        <w:pStyle w:val="SourceNote"/>
      </w:pPr>
      <w:r>
        <w:rPr>
          <w:b/>
        </w:rPr>
        <w:t>Available abstract (not full text):</w:t>
      </w:r>
      <w:r>
        <w:t xml:space="preserve"> Drought is a climate hazard that affects household livelihoods in rural areas where activities depend on rainfall. Studies show that when drought occurs, water becomes insufficient for livestock and crops, compelling households to cope with and adapt to its effects. However, no empirical studies have examined the influence of drought severity on household livelihood strategies. This study examined how drought severity influences household livelihood strategies, focusing on crop farming, livestock keeping, fishing, and trade. The study used Rogers's (1975) Protection Motivation Theory. The study used a mixed-methods, cross-sectional design with a quasi-longitudinal aspect, integrating qualitative and quantitative household survey data with temporal rainfall information to examine drought severity and household livelihood strategies over time. A multistage sampling procedure selected 384 household respondents from a target population of 39,927. The seven wards were treated as strata, and the sample was proportionately allocated to each ward according to the number of households. Systematic sampling was used to select households in each ward. We used purposive sampling to select KII and FGD participants. Qualitative data were analysed thematically, coding and organising them into themes, while quantitative data were analysed using cross-tabulation, chi-square, and linear regressio</w:t>
      </w:r>
    </w:p>
    <w:p>
      <w:pPr/>
      <w:r>
        <w:rPr>
          <w:b/>
        </w:rPr>
        <w:t>POSSIBLE 2026:</w:t>
      </w:r>
      <w:r>
        <w:t xml:space="preserve"> Towards an operational European Drought Impacts Database (EDID) — https://doi.org/10.5194/nhess-26-845-2026</w:t>
      </w:r>
    </w:p>
    <w:p>
      <w:pPr/>
      <w:r>
        <w:rPr>
          <w:b/>
        </w:rPr>
        <w:t>Shared claim-specific concepts:</w:t>
      </w:r>
      <w:r>
        <w:t xml:space="preserve"> drought, severity; EU scope visible. This is a provisional connection, not an outcome finding.</w:t>
      </w:r>
    </w:p>
    <w:p>
      <w:pPr>
        <w:pStyle w:val="SourceNote"/>
      </w:pPr>
      <w:r>
        <w:rPr>
          <w:b/>
        </w:rPr>
        <w:t>Available abstract (not full text):</w:t>
      </w:r>
      <w:r>
        <w:t xml:space="preserve"> Abstract. Drought impact information is essential to move from reactive management to a proactive approach. Data on drought impacts provide regional insight into vulnerability and support robust risk assessment and sustainable adaptation strategies. Drought impact data are also essential to build and validate models for advanced impact forecasting, including AI enhanced tools. While there is increasing consensus on the operational use of specific physical drought hazard indices, to date there is no generally accepted convention on drought impact data collection and use. Based on experience and content of several regional research databases, the development of a European Drought Impact Database (EDID) explicitly aims for operational application within the framework of the Copernicus European Drought Observatory. This article gives insight into the implementation of EDID, its structure and attributes, and provides an analysis of the content. Among the nine impacted systems, agriculture, public water supply and aquatic ecosystems contribute a majority of the impact records. Over the covered time period, impacts became more variable in the system they describe and recent years show some more extremely severe impacts according to a newly introduced severity score. Mapped at country scale, the impacts confirm previously identified European sectorial impact hotspots. The work and prod</w:t>
      </w:r>
    </w:p>
    <w:p>
      <w:pPr/>
      <w:r>
        <w:rPr>
          <w:b/>
        </w:rPr>
        <w:t>POSSIBLE 2026:</w:t>
      </w:r>
      <w:r>
        <w:t xml:space="preserve"> Assessing Crop Yield Variability Using Meteorological Drought Indices for Agricultural Drought Monitoring in Botswana — https://doi.org/10.3390/cli14040077</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Botswana’s semi-arid climate makes it vulnerable to climate change, particularly drought, which threatens agricultural productivity. This study assesses drought impact on Botswana’s agricultural sector using Climate Hazards Center Infrared Precipitation with Station (CHIRPS) rainfall data and Climate Hazards Center Infrared Temperature with Station (CHIRTS) temperature data (25 km) to compute the Standardized Precipitation Index (SPI), Standardized Temperature Condition Index (STCI) and Standardized Precipitation Evapotranspiration Index (SPEI) at seasonal/annual time scales (1, 3, 6 and 12 months). The indices are used to assess their ability to predict crop yields using national data during Botswana’s rainy season, while employing univariate and multivariate statistical models. Statistical models also linked historical drought patterns to yield variability with the Percentage Area Affected (PAA) by drought, identifying key predictors. A majority of the crops (sunflower, maize, sorghum and pulses) showed variability which was best explained by SPEI 6 more particularly under the PAA multivariate models, with the highest and moderate explanatory power (R2) found in sunflower (0.48) and maize (0.43). However, variability in millet was best explained by SPI-3, although the R2 was low (0.26). Other crops displayed positive coefficients within the models, which may be attributed to </w:t>
      </w:r>
    </w:p>
    <w:p>
      <w:pPr/>
      <w:r>
        <w:rPr>
          <w:b/>
        </w:rPr>
        <w:t>POSSIBLE 2026:</w:t>
      </w:r>
      <w:r>
        <w:t xml:space="preserve"> Crop-specific impacts of the 2023/2024 drought on Zambia’s agricultural production — https://doi.org/10.1016/j.cliser.2026.100710</w:t>
      </w:r>
    </w:p>
    <w:p>
      <w:pPr/>
      <w:r>
        <w:rPr>
          <w:b/>
        </w:rPr>
        <w:t>Shared claim-specific concepts:</w:t>
      </w:r>
      <w:r>
        <w:t xml:space="preserve"> drought, severity, production, agricultural, quantify, climate; EU scope not established. This is a provisional connection, not an outcome finding.</w:t>
      </w:r>
    </w:p>
    <w:p>
      <w:pPr>
        <w:pStyle w:val="SourceNote"/>
      </w:pPr>
      <w:r>
        <w:rPr>
          <w:b/>
        </w:rPr>
        <w:t>Available abstract (not full text):</w:t>
      </w:r>
      <w:r>
        <w:t xml:space="preserve"> The 2023/2024 El Niño event was one of the most significant climatic shocks to Zambia's agricultural sector, resulting in a severe mid-season drought across much of the country. This study quantifies crop-specific impacts of the drought on Zambia's agricultural production using district-level crop production and 30-year rainfall data used to construct the Standardized Precipitation Index (SPI). Exploiting spatial variation in the severity of the 2023/2024 drought, we estimate the effect of a one standard deviation rainfall deficit on crop yields and national production. The objective is to quantify how this single extreme event affected crop production in Zambia. Results reveal substantial heterogeneity in crop resilience. Among cereals and tubers, sorghum (9% yield reduction) and millet (12%) are more drought tolerant than maize (30%), rice (26%), and sweet potato (25%). Among pulses and oilseeds, sunflower (12%), cowpea (14%), common bean (15%), and groundnut (16%) show lower yield losses than soybean (21%) and Bambara nut (20%). We find significant heterogeneity in the effect of drought on cereal crop yield across agroecological zones, but less consistent heterogeneity for pulses. The results further indicate that approximately 76% of the observed 64% decline in national crop production value can be directly attributed to El Niño-induced drought conditions. We also show that</w:t>
      </w:r>
    </w:p>
    <w:p>
      <w:pPr/>
      <w:r>
        <w:rPr>
          <w:b/>
        </w:rPr>
        <w:t>POSSIBLE 2024:</w:t>
      </w:r>
      <w:r>
        <w:t xml:space="preserve"> Evaluating agricultural drought severity in Karnataka, India through integrated remote sensing indices — https://doi.org/10.19040/ecocycles.v10i2.477</w:t>
      </w:r>
    </w:p>
    <w:p>
      <w:pPr/>
      <w:r>
        <w:rPr>
          <w:b/>
        </w:rPr>
        <w:t>Shared claim-specific concepts:</w:t>
      </w:r>
      <w:r>
        <w:t xml:space="preserve"> drought, severity, agricultural, compared, climate; EU scope not established. This is a provisional connection, not an outcome finding.</w:t>
      </w:r>
    </w:p>
    <w:p>
      <w:pPr>
        <w:pStyle w:val="SourceNote"/>
      </w:pPr>
      <w:r>
        <w:rPr>
          <w:b/>
        </w:rPr>
        <w:t>Available abstract (not full text):</w:t>
      </w:r>
      <w:r>
        <w:t xml:space="preserve"> Agricultural drought significantly threatens Karnataka, India, where rain-fed agriculture is predominant. This study evaluates the spatio-temporal evolution of agricultural drought in Karnataka from 1986 to 2020 using the Advanced Drought Response Index (ADRI), which integrates the Vegetation Condition Index (VCI), Precipitation Condition Index (PCI), Soil Condition Index (SCI), and Temperature Condition Index (TCI). Data from NOAA, TerraClimate, and NASA POWER were processed using ArcGIS Pro. Key findings reveal that northern districts like Vijayapura, Chitradurga, and Gadag consistently experienced severe drought conditions. ADRI values fell below 20 on a scale of 0–100, indicating a 35% lower ADRI than the state average. Drought severity increased by an average of 40% during the summer months compared to the monsoon season. The lowest annual average ADRI was recorded in 1986 at 22.41, signifying extreme drought, while the highest was in 1992 at 28.38, indicating milder conditions. An overall decline of 15% in Monsoon ADRI values over the 35 years suggests worsening drought conditions during this critical agricultural season. These findings reveal Karnataka's escalating agricultural vulnerability to climate variations. Pinpointing the regions and seasons that are most affected provides valuable insights for policymakers. Implementing targeted interventions—such as drought-res</w:t>
      </w:r>
    </w:p>
    <w:p>
      <w:pPr/>
      <w:r>
        <w:rPr>
          <w:b/>
        </w:rPr>
        <w:t>POSSIBLE 2024:</w:t>
      </w:r>
      <w:r>
        <w:t xml:space="preserve"> Assessing the Impact of Agricultural Drought on Yield over Maize Growing Areas, Free State Province, South Africa, Using the SPI and SPEI — https://doi.org/10.3390/su16114703</w:t>
      </w:r>
    </w:p>
    <w:p>
      <w:pPr/>
      <w:r>
        <w:rPr>
          <w:b/>
        </w:rPr>
        <w:t>Shared claim-specific concepts:</w:t>
      </w:r>
      <w:r>
        <w:t xml:space="preserve"> drought, severity, production, agricultural, climate; EU scope not established. This is a provisional connection, not an outcome finding.</w:t>
      </w:r>
    </w:p>
    <w:p>
      <w:pPr>
        <w:pStyle w:val="SourceNote"/>
      </w:pPr>
      <w:r>
        <w:rPr>
          <w:b/>
        </w:rPr>
        <w:t>Available abstract (not full text):</w:t>
      </w:r>
      <w:r>
        <w:t xml:space="preserve"> Maize (Zea mays L.) is an essential crop in South Africa serving as a staple food; however, agricultural drought threatens its production, resulting in lower yields. This study aimed to assess the impact of agricultural drought on maize yield in the major areas (Bethlehem, Bloemfontein, and Bothaville) that produce maize in the Free State Province from 1990 to 2020. The study used the Standardized Precipitation Index (SPI) and Standardized Precipitation Evapotranspiration Index (SPEI) to examine drought occurrences and severity during the maize growing season (October–March). The Standardized Yield Residuals Series (SYRS), Crop Drought Resilient Factor (CDRF), Spearman’s Rank Correlation (rs), and yield loss rate were employed to emphasize agricultural drought impact on maize yield. The results based on the SPI and SPEI show that drought frequently occurred in Bethlehem, followed by Bloemfontein and Bothaville. Drought severity indicated that moderate droughts were prevalent in Bethlehem, while severe droughts were in all areas (Bethlehem, Bloemfontein, and Bothaville) and extreme droughts in Bloemfontein. The agricultural drought’s impact on maize varied across growth seasons and areas. Notably, the lowest SYRS value of −2.38 (1991/92) was observed in Bethlehem. An extremely strong significant correlation (rsSPEI-6 vs SYRS = 0.83, p = 1.07 × 10−8) was observed between the SPEI</w:t>
      </w:r>
    </w:p>
    <w:p>
      <w:pPr/>
      <w:r>
        <w:rPr>
          <w:b/>
        </w:rPr>
        <w:t>POSSIBLE 2023:</w:t>
      </w:r>
      <w:r>
        <w:t xml:space="preserve"> Drought Severity and Trends in a Mediterranean Oak Forest — https://doi.org/10.3390/hydrology10080167</w:t>
      </w:r>
    </w:p>
    <w:p>
      <w:pPr/>
      <w:r>
        <w:rPr>
          <w:b/>
        </w:rPr>
        <w:t>Shared claim-specific concepts:</w:t>
      </w:r>
      <w:r>
        <w:t xml:space="preserve"> drought, severity, current, climate; EU scope visible. This is a provisional connection, not an outcome finding.</w:t>
      </w:r>
    </w:p>
    <w:p>
      <w:pPr>
        <w:pStyle w:val="SourceNote"/>
      </w:pPr>
      <w:r>
        <w:rPr>
          <w:b/>
        </w:rPr>
        <w:t>Available abstract (not full text):</w:t>
      </w:r>
      <w:r>
        <w:t xml:space="preserve"> Drought is a significant natural hazard with widespread socioeconomic and environmental impacts. This study investigated the long-term drought characteristics in a Mediterranean oak forest ecosystem using the Standardized Precipitation Evapotranspiration Index (SPEI) at various time scales and seasons. The analysis was based on a long-term time series dataset obtained from a meteorological station located at the University Forest of Taxiarchis in Greece. The dataset encompassed a substantial time span of 47 years of continuous monitoring, from 1974 to 2020. To accomplish the goals of the current research, the SPEI was calculated for 3, 6, 12, and 24-month periods, and drought events were identified. The Mann-Kendall (M-K) test was used to analyze the trends in drought severity and evaluate the trends significance. The results showed that shorter time scales (SPEI3 and SPEI6) were more efficient for identifying short-term droughts, while longer time scales (SPEI12 and SPEI24) were better for identifying less frequent but longer-lasting drought episodes. The analysis consistently revealed positive trends across all seasons and time scales, indicating an overall transition towards wetter conditions. Nearly all the data series for SPEI12 and SPEI24 exhibited statistically significant upward trends (wetter conditions) at a 95% confidence level. However, more intense events were dete</w:t>
      </w:r>
    </w:p>
    <w:p>
      <w:pPr/>
      <w:r>
        <w:rPr>
          <w:b/>
        </w:rPr>
        <w:t>POSSIBLE 2023:</w:t>
      </w:r>
      <w:r>
        <w:t xml:space="preserve"> Space and Time Characteristics of Flash Drought Over the Central Europe — https://doi.org/10.5194/egusphere-egu23-443</w:t>
      </w:r>
    </w:p>
    <w:p>
      <w:pPr/>
      <w:r>
        <w:rPr>
          <w:b/>
        </w:rPr>
        <w:t>Shared claim-specific concepts:</w:t>
      </w:r>
      <w:r>
        <w:t xml:space="preserve"> drought, severity, production; EU scope visible. This is a provisional connection, not an outcome finding.</w:t>
      </w:r>
    </w:p>
    <w:p>
      <w:pPr>
        <w:pStyle w:val="SourceNote"/>
      </w:pPr>
      <w:r>
        <w:rPr>
          <w:b/>
        </w:rPr>
        <w:t>Available abstract (not full text):</w:t>
      </w:r>
      <w:r>
        <w:t xml:space="preserve"> Flash drought is a unique natural hazard due to its rapid rate of intensification with potentially detrimental effects on agriculture production. So far few work has been done to investigate the space and time behavior of flash droughts across Central Europe. In this study, we examine the space and time characteristics (Frequency, Rate of intensification, Severity, and Extent) of flash drought events in Central Europe between 1970 and 2020. The weekly averaged top layer (1-10cm) soil moisture (SM) data set of the Global Land Data Assimilation System (GLDAS) has been used as an indicator for identifying flash drought events. Here, we adopted a new definition for flash droughts by considering the intensity, duration, and persistence of flash drought. The results of this study reveal that the occurrence of flash droughts over Central Europe increased rapidly in the last two decades. The intensification rate and severity of flash drought show positive correlation. Moreover, the areal extent of flash drought events increased since 1970 and their centroid shifted towards the southern part of Central Europe. This study provides a better understanding of flash drought process and its dynamics over Central Europe.</w:t>
      </w:r>
    </w:p>
    <w:p>
      <w:pPr/>
      <w:r>
        <w:rPr>
          <w:b/>
        </w:rPr>
        <w:t>POSSIBLE 2023:</w:t>
      </w:r>
      <w:r>
        <w:t xml:space="preserve"> Drought hazards and stakeholder perception: Unraveling the interlinkages between drought severity, perceived impacts, preparedness, and management — https://doi.org/10.1007/s13280-023-01849-w</w:t>
      </w:r>
    </w:p>
    <w:p>
      <w:pPr/>
      <w:r>
        <w:rPr>
          <w:b/>
        </w:rPr>
        <w:t>Shared claim-specific concepts:</w:t>
      </w:r>
      <w:r>
        <w:t xml:space="preserve"> drought, severity, levels, climate; EU scope visible. This is a provisional connection, not an outcome finding.</w:t>
      </w:r>
    </w:p>
    <w:p>
      <w:pPr>
        <w:pStyle w:val="SourceNote"/>
      </w:pPr>
      <w:r>
        <w:rPr>
          <w:b/>
        </w:rPr>
        <w:t>Available abstract (not full text):</w:t>
      </w:r>
      <w:r>
        <w:t xml:space="preserve"> The future risk for droughts and water shortages calls for substantial efforts by authorities to adapt at local levels. Understanding their perception of drought hazards, risk and vulnerability can help to identify drivers of and barriers to drought risk planning and management in a changing climate at the local level. This paper presents a novel interdisciplinary drought case study in Sweden that integrates soft data from a nationwide survey among more than 100 local practitioners and hard data based on hydrological measurements to provide a holistic assessment of the links between drought severity and the perceived levels of drought severity, impacts, preparedness, and management for two consecutive drought events. The paper highlights challenges for drought risk planning and management in a changing climate at the local level and elaborates on how improved understanding of local practitioners to plan for climate change adaptation can be achieved.</w:t>
      </w:r>
    </w:p>
    <w:p>
      <w:pPr>
        <w:pStyle w:val="Heading2"/>
      </w:pPr>
      <w:r>
        <w:t>583.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r>
        <w:rPr>
          <w:b/>
        </w:rPr>
        <w:t>POSSIBLE 2025:</w:t>
      </w:r>
      <w:r>
        <w:t xml:space="preserve"> Cluster Analysis of the Transition to Climate Neutrality in the European Union — https://doi.org/10.1002/sd.70064</w:t>
      </w:r>
    </w:p>
    <w:p>
      <w:pPr/>
      <w:r>
        <w:rPr>
          <w:b/>
        </w:rPr>
        <w:t>Shared claim-specific concepts:</w:t>
      </w:r>
      <w:r>
        <w:t xml:space="preserve"> union, important, individual, aims, method, between;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European sustainability: ambitions and challenges — https://doi.org/10.24263/edsd-2024-6-3</w:t>
      </w:r>
    </w:p>
    <w:p>
      <w:pPr/>
      <w:r>
        <w:rPr>
          <w:b/>
        </w:rPr>
        <w:t>Shared claim-specific concepts:</w:t>
      </w:r>
      <w:r>
        <w:t xml:space="preserve"> union, first, climate-neutral, continent, greenhouse, gas; EU scope visible. This is a provisional connection, not an outcome finding.</w:t>
      </w:r>
    </w:p>
    <w:p>
      <w:pPr>
        <w:pStyle w:val="SourceNote"/>
      </w:pPr>
      <w:r>
        <w:rPr>
          <w:b/>
        </w:rPr>
        <w:t>Available abstract (not full text):</w:t>
      </w:r>
      <w:r>
        <w:t xml:space="preserve"> The European Union (EU) has been the global leader in sustainable development strategy and climate change mitigation for decades. Key strategic documents, which indicate dedicated environmentally friendly policies of the Union, include, e.g., Europe 2020 Strategy, the Strategy for Circular Economy, the European Green Deal (EGD), and Fit for 55 package. In terms of Europe 2020 strategy on smart, sustainable and inclusive growth, the EU reached over 20% reduction of greenhouse gas (GHG) emission (from 2010 to 2020). And in terms of EGD, the most ambitious goal was set to make Europe the first climate-neutral continent with zero net GHG emission by 2050. Open Russian aggression against Ukraine in Feb 2022 forced Europe to be ready for new challenges, including overcoming dependence on Russian energy resources. Answering these challenges, the EU adopted REPowerEU strategy to eliminate its dependence on Russian fossil fuels till 2030. The Union imposes economic sanctions on the Russian regime and provides powerful financial support to Ukraine. Keeping in mind a huge military machine of Russia and terrorist way of thinking of its leader it seems we still need much more international efforts to turn Europe back to a sustainable track of development.</w:t>
      </w:r>
    </w:p>
    <w:p>
      <w:pPr/>
      <w:r>
        <w:rPr>
          <w:b/>
        </w:rPr>
        <w:t>POSSIBLE 2024:</w:t>
      </w:r>
      <w:r>
        <w:t xml:space="preserve"> Climate Obstruction in the European Union — https://doi.org/10.1093/oso/9780197762042.003.0013</w:t>
      </w:r>
    </w:p>
    <w:p>
      <w:pPr/>
      <w:r>
        <w:rPr>
          <w:b/>
        </w:rPr>
        <w:t>Shared claim-specific concepts:</w:t>
      </w:r>
      <w:r>
        <w:t xml:space="preserve"> union, ambition, individual;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union, greenhouse, gas, emissions;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Internal Combustion Engines and Carbon-Neutral Fuels: A Perspective on Emission Neutrality in the European Union — https://doi.org/10.3390/en17051172</w:t>
      </w:r>
    </w:p>
    <w:p>
      <w:pPr/>
      <w:r>
        <w:rPr>
          <w:b/>
        </w:rPr>
        <w:t>Shared claim-specific concepts:</w:t>
      </w:r>
      <w:r>
        <w:t xml:space="preserve"> union, first, climate-neutral, continent, transport, aims; EU scope visible. This is a provisional connection, not an outcome finding.</w:t>
      </w:r>
    </w:p>
    <w:p>
      <w:pPr>
        <w:pStyle w:val="SourceNote"/>
      </w:pPr>
      <w:r>
        <w:rPr>
          <w:b/>
        </w:rPr>
        <w:t>Available abstract (not full text):</w:t>
      </w:r>
      <w:r>
        <w:t xml:space="preserve"> Nowadays, there is an intense debate in the European Union (EU) regarding the limits to achieve the European Green Deal, to make Europe the first climate-neutral continent in the world. In this context, there are also different opinions about the role that thermal engines should play. Furhermore, there is no clear proposal regarding the possibilities of the use of green hydrogen in the transport decarbonization process, even though it should be a key element. Thus, there are still no precise guidelines regarding the role of green hydrogen, with it being exclusively used as a raw material to produce E-fuels. This review aims to evaluate the possibilities of applying the different alternative technologies available to successfully complete the process already underway to achieve Climate Neutrality by about 2050, depending on the maturity of the technologies currently available, and those anticipated to be available in the coming decades.</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union, first, emissions, relationship, between;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Climate Obstruction across Europe — https://doi.org/10.1093/oso/9780197762042.001.0001</w:t>
      </w:r>
    </w:p>
    <w:p>
      <w:pPr/>
      <w:r>
        <w:rPr>
          <w:b/>
        </w:rPr>
        <w:t>Shared claim-specific concepts:</w:t>
      </w:r>
      <w:r>
        <w:t xml:space="preserve"> union, first, continent, emissions, including, between;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pStyle w:val="Heading2"/>
      </w:pPr>
      <w:r>
        <w:t>584.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2025:</w:t>
      </w:r>
      <w:r>
        <w:t xml:space="preserve"> An in-depth review on tannin sources, extraction methods, and industrial applications — https://doi.org/10.1007/s44187-025-00689-9</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Tannins are naturally occurring polyphenolic compounds that are widely distributed in a variety of plant parts, such as leaves, bark, fruits, and seeds. This review provides a comprehensive analysis of tannins, with a particular focus on their classification, historical context, chemical structure, extraction techniques, and diverse applications across industrial and biomedical fields. Tannins are typically categorized as either condensed or hydrolyzable, with each form exhibiting unique functional attributes and structural characteristics. The extraction of tannins has progressed from conventional water-based maceration and decoction to contemporary methods, including ultrasound-assisted, microwave-assisted, supercritical fluid, and enzyme-assisted extractions. Among these, nonthermal technologies such as ultrasound-assisted, enzyme-assisted and supercritical fluid extraction are particularly highlighted for their ability to preserve heat-sensitive tannin structures, reduce energy consumption and support eco-friendly processing. Tannins are utilized in leather tanning, food preservation, medicine, water treatment, corrosion inhibition, and the development of innovative materials, such as bio-based adhesives and packaging films. Condensed tannins show industrial promise due to antioxidant and antibacterial properties, while hydrolyzable tannins offer medicinal benefits such as </w:t>
      </w:r>
    </w:p>
    <w:p>
      <w:pPr/>
      <w:r>
        <w:rPr>
          <w:b/>
        </w:rPr>
        <w:t>POSSIBLE 2025:</w:t>
      </w:r>
      <w:r>
        <w:t xml:space="preserve"> Approaches and perspectives on the transition to the circular economy in the European Union — https://doi.org/10.3389/fenvs.2025.1533776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Introduction The transition to a circular economy is a key pillar of European sustainable development. However, in the current context, shaped by multiple crises and geopolitical conflicts, the efficiency and resilience of this transition are of particular concern. European policymakers and national authorities must adapt their approaches to mitigate risks posed by external factors while ensuring progress towards European sustainability goals. This study analyzes the transition to the European circular economy from 2010 to 2022, assessing key economic and environmental variables. Methods The study employs an econometric approach using panel data from the 27 EU Member States. A multiple linear regression model with fixed effects panel data is applied alongside spectral analysis and descriptive statistics to examine the relationships between private investment, gross value added, municipal waste recycling rates, recyclable material flows, and greenhouse gas emissions. These methods allow for an in-depth evaluation of the factors influencing the efficiency of the circular economy transition. Results Findings indicate that private investment and the integration of recyclable materials significantly enhance the efficiency of the circular economy. However, progress varies across Member States due to regional disparities, inadequate recycling infrastructure, and inefficient municipal </w:t>
      </w:r>
    </w:p>
    <w:p>
      <w:pPr/>
      <w:r>
        <w:rPr>
          <w:b/>
        </w:rPr>
        <w:t>POSSIBLE 2024:</w:t>
      </w:r>
      <w:r>
        <w:t xml:space="preserve"> Tracking Candidemia Trends and Antifungal Resistance Patterns across Europe: An In-Depth Analysis of Surveillance Systems and Surveillance Studies — https://doi.org/10.3390/jof10100685</w:t>
      </w:r>
    </w:p>
    <w:p>
      <w:pPr/>
      <w:r>
        <w:rPr>
          <w:b/>
        </w:rPr>
        <w:t>Shared claim-specific concepts:</w:t>
      </w:r>
      <w:r>
        <w:t xml:space="preserve"> methods, in-depth, system, trends; EU scope visible. This is a provisional connection, not an outcome finding.</w:t>
      </w:r>
    </w:p>
    <w:p>
      <w:pPr>
        <w:pStyle w:val="SourceNote"/>
      </w:pPr>
      <w:r>
        <w:rPr>
          <w:b/>
        </w:rPr>
        <w:t>Available abstract (not full text):</w:t>
      </w:r>
      <w:r>
        <w:t xml:space="preserve"> Background: The WHO fungal priority list classifies Candida species as critical and high-priority pathogens, and the WHO GLASS fungi initiative seeks to establish a standardised global framework for antifungal resistance monitoring. We aimed to review resistance rates and antifungal resistance patterns across European surveillance systems and studies in response to these recent calls for action. Methods: A systematic review of national and international surveillance systems and peer-reviewed surveillance studies available up to June 2024 was conducted. Descriptive and trend analyses were performed on surveillance data reporting resistance to different antifungals in Candida spp. Results: In total, 6 national surveillance systems and 28 studies from 13 countries provided candidemia resistance data, mostly about the C. albicans, C. glabrata and C. parapsilosis complex. Azole resistance was most frequently reported (6/6 surveillance systems and 27/28 studies) with the highest resistance rate, especially for C. glabrata, in Croatia (100%, 28/28 isolates) and Slovenia (85.7%, 82/96) and C. parapsilosis in Croatia (80.6%, 54/67) and Italy (72.6%, 106/146). Echinocandin and polyene resistance rates were nearly zero. The number of isolates included in the surveillance systems increased over the years, particularly for C. albicans (+40–60 isolates/year), C. glabrata, and C. parapsilosis</w:t>
      </w:r>
    </w:p>
    <w:p>
      <w:pPr/>
      <w:r>
        <w:rPr>
          <w:b/>
        </w:rPr>
        <w:t>POSSIBLE 2024:</w:t>
      </w:r>
      <w:r>
        <w:t xml:space="preserve"> Different Types of Questionnaires as a Tool in Placemaking Research — https://doi.org/10.1163/9789004691919_007</w:t>
      </w:r>
    </w:p>
    <w:p>
      <w:pPr/>
      <w:r>
        <w:rPr>
          <w:b/>
        </w:rPr>
        <w:t>Shared claim-specific concepts:</w:t>
      </w:r>
      <w:r>
        <w:t xml:space="preserve"> in-depth, questionnaire, process; EU scope not established. This is a provisional connection, not an outcome finding.</w:t>
      </w:r>
    </w:p>
    <w:p>
      <w:pPr>
        <w:pStyle w:val="SourceNote"/>
      </w:pPr>
      <w:r>
        <w:rPr>
          <w:b/>
        </w:rPr>
        <w:t>Available abstract (not full text):</w:t>
      </w:r>
      <w:r>
        <w:t xml:space="preserve"> Urban spaces require increasing their attractiveness by exploring the social and spatial implications of new lifestyles.Broad civic knowledge is the basis for placemaking to shape user-centred and inclusive spaces of everyday life.Gathering information on the sense of the place is crucial to finding out and understanding the place-related identity of its users to make the place more appealing and usable.The most popular survey tool is a questionnaire constructed as a series of questions and used for collecting information about a population's attributes, attitudes or actions.Administered in person or online, questionnaire surveys may provide broad coverage of urban communities -however, they require significantly large human resources to carry out.The survey based on personal contact with the respondent may limit time allocated to its implementation, thus affecting the sample selection.Also, the researcher's involvement in the questionnaire-filling process can be problematic if he or she reveals the Kimic et al. topic of interest and if the sequencing of questionnaire themes influences responses.Similarly, an online questionnaire may not reach some potential respondents due to their reduced access to the internet etc.These limitations may affect the results' reliability.Taking into account the above-mentioned aspects, the idea of this chapter is to present selected types of que</w:t>
      </w:r>
    </w:p>
    <w:p>
      <w:pPr/>
      <w:r>
        <w:rPr>
          <w:b/>
        </w:rPr>
        <w:t>POSSIBLE 2024:</w:t>
      </w:r>
      <w:r>
        <w:t xml:space="preserve"> Evaluation of the SARC-F Questionnaire as a Diagnostic Tool for Sarcopenia in Geriatric Age-group in India — https://doi.org/10.59556/japi.72.0574</w:t>
      </w:r>
    </w:p>
    <w:p>
      <w:pPr/>
      <w:r>
        <w:rPr>
          <w:b/>
        </w:rPr>
        <w:t>Shared claim-specific concepts:</w:t>
      </w:r>
      <w:r>
        <w:t xml:space="preserve"> materials, methods, questionnaire; EU scope visible. This is a provisional connection, not an outcome finding.</w:t>
      </w:r>
    </w:p>
    <w:p>
      <w:pPr>
        <w:pStyle w:val="SourceNote"/>
      </w:pPr>
      <w:r>
        <w:rPr>
          <w:b/>
        </w:rPr>
        <w:t>Available abstract (not full text):</w:t>
      </w:r>
      <w:r>
        <w:t xml:space="preserve"> INTRODUCTION: With medical science advancing in leaps and bounds, average lifespan is now trending upward, and we are now facing an increasing prevalence of diseases of the elderly, sarcopenia being one of them. Unfortunately, sarcopenia, especially in India, remains to be frequently overlooked, underdiagnosed, and largely understudied. One of the greatest hindrances to the diagnosis of sarcopenia is high costs and limited availability of diagnostic modalities such as magnetic resonance imaging (MRI) and dual energy X-ray absorptiometry (DEXA) scan. Accessible, feasible, and affordable means to diagnose sarcopenia is thus the need of the hour. MATERIALS AND METHODS: We performed a cross-sectional observational study among 300 patients aged 65 years or above (including both outpatient and inpatient departments) at MM Institute of Medical Sciences, Mullana between June 2021 and June 2022. Patients were evaluated as per the European Working Group for Sarcopenia in Older People (EWGSOP) algorithm using bioelectrical impedance analysis (BIA) and the results were compared with results of the SARC-F questionnaire. Statistical analyses were then carried out using IBM Statistical Package for the Social Sciences (SPSS) Statistics version 26. RESULTS: = 0.74). SARC-F showed a sensitivity of 73.2% and a specificity of 37.3% with a positive predictive value of 86.51% and a negative predicti</w:t>
      </w:r>
    </w:p>
    <w:p>
      <w:pPr>
        <w:pStyle w:val="Heading2"/>
      </w:pPr>
      <w:r>
        <w:t>585.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2026:</w:t>
      </w:r>
      <w:r>
        <w:t xml:space="preserve"> The limb-to-waist ratio: resolving the divergence between mortality and cardiovascular risk — https://doi.org/10.20517/2574-1209.2025.147</w:t>
      </w:r>
    </w:p>
    <w:p>
      <w:pPr/>
      <w:r>
        <w:rPr>
          <w:b/>
        </w:rPr>
        <w:t>Shared claim-specific concepts:</w:t>
      </w:r>
      <w:r>
        <w:t xml:space="preserve"> divergence, mortality, between; EU scope not established. This is a provisional connection, not an outcome finding.</w:t>
      </w:r>
    </w:p>
    <w:p>
      <w:pPr>
        <w:pStyle w:val="SourceNote"/>
      </w:pPr>
      <w:r>
        <w:rPr>
          <w:b/>
        </w:rPr>
        <w:t>Available abstract (not full text):</w:t>
      </w:r>
      <w:r>
        <w:t xml:space="preserve"> Aim: We aimed to resolve the paradoxical associations of limb circumference—inverse with mortality but positive with cardiovascular risk factors (CVRFs)—by systematically comparing the predictive value of the ratio of combined arm and thigh circumference (ATC) to waist circumference (WC) against that of the sum of ATC for mortality and key CVRFs. Methods: Our analysis utilized data from 17,276 U.S. participants in the 1999-2006 NHANES (National Health and Nutrition Examination Survey). We utilized Cox proportional hazards, generalized linear, and restricted cubic spline models, with comprehensive adjustment for confounders including adiposity. The outcomes assessed were all-cause and cardiovascular mortality, hypertension, diabetes, and resting tachycardia. Results: During median 18.04-year follow-up (3,927 deaths, 1,047 cardiovascular deaths), the highest versus lowest ATC/WC quartile showed consistently protective associations: all-cause mortality (hazard ratio (HR) = 0.47, 95% confidence interval (95%CI): 0.38-0.57), cardiovascular mortality (HR = 0.32, 0.21-0.49), hypertension (OR = 0.49, 0.41-0.59), diabetes (odds ratio (OR) = 0.26, 0.18-0.37), and resting tachycardia (OR = 0.28, 0.19-0.39; all P &lt; 0.001). Conversely, ATC exhibited adiposity-dependent paradoxical associations: protective for mortality but harmful for CVRFs when unadjusted for adiposity. After adiposity adj</w:t>
      </w:r>
    </w:p>
    <w:p>
      <w:pPr/>
      <w:r>
        <w:rPr>
          <w:b/>
        </w:rPr>
        <w:t>POSSIBLE 2026:</w:t>
      </w:r>
      <w:r>
        <w:t xml:space="preserve"> Predictive divergence in machine learning models for clinical mortality risk: A multicohort study of covid-19 patients — https://doi.org/10.1371/journal.pone.0344354</w:t>
      </w:r>
    </w:p>
    <w:p>
      <w:pPr/>
      <w:r>
        <w:rPr>
          <w:b/>
        </w:rPr>
        <w:t>Shared claim-specific concepts:</w:t>
      </w:r>
      <w:r>
        <w:t xml:space="preserve"> divergence, mortality, between, high; EU scope not established. This is a provisional connection, not an outcome finding.</w:t>
      </w:r>
    </w:p>
    <w:p>
      <w:pPr>
        <w:pStyle w:val="SourceNote"/>
      </w:pPr>
      <w:r>
        <w:rPr>
          <w:b/>
        </w:rPr>
        <w:t>Available abstract (not full text):</w:t>
      </w:r>
      <w:r>
        <w:t xml:space="preserve"> BACKGROUND: Machine learning (ML) algorithms are increasingly used in healthcare to support clinical decision-making. While models with similar overall performance are often considered interchangeable for deployment, they may produce divergent predictions, a phenomenon known as algorithmic multiplicity. In such cases, the choice of algorithm may introduce bias. This study investigates the impacts of algorithmic multiplicity in mortality prediction and assesses the influence of patient characteristics on model decisions. METHODS: A cohort of 4,337 adult patients (≥18 years) with RT-PCR-confirmed covid-19 from five tertiary care hospitals in Brazil was followed from March to August 2020. Five popular ML models for structured data were trained on demographic and laboratory data collected at early hospital admission to predict in-hospital mortality. Model performance, feature importance, and algorithmic prediction similarity were evaluated. Feature distributions were compared between patients correctly or incorrectly classified by all models using paired t-tests or Mann-Whitney U tests, as applicable, at the 5% significance level. Subgroup performance differences were assessed using 10-fold cross-validation applied to five k-means-delineated clusters, compared by one-way ANOVA. Within-cluster predictive divergence was assessed within a 95% confidence interval. RESULTS: All models a</w:t>
      </w:r>
    </w:p>
    <w:p>
      <w:pPr/>
      <w:r>
        <w:rPr>
          <w:b/>
        </w:rPr>
        <w:t>POSSIBLE 2026:</w:t>
      </w:r>
      <w:r>
        <w:t xml:space="preserve"> Mortality convergence and divergence across Hungarian districts: long-term age-specific dynamics and spatial polarization — https://doi.org/10.15196/rs160508</w:t>
      </w:r>
    </w:p>
    <w:p>
      <w:pPr/>
      <w:r>
        <w:rPr>
          <w:b/>
        </w:rPr>
        <w:t>Shared claim-specific concepts:</w:t>
      </w:r>
      <w:r>
        <w:t xml:space="preserve"> convergence, divergence, mortality, life, expectancy, age; EU scope visible. This is a provisional connection, not an outcome finding.</w:t>
      </w:r>
    </w:p>
    <w:p>
      <w:pPr>
        <w:pStyle w:val="SourceNote"/>
      </w:pPr>
      <w:r>
        <w:rPr>
          <w:b/>
        </w:rPr>
        <w:t>Available abstract (not full text):</w:t>
      </w:r>
      <w:r>
        <w:t xml:space="preserve"> Life expectancy has increased substantially across Europe in recent decades, but improvements within countries have often been uneven across regions.Evidence on the long-term subnational experiences of postcommunist countries remains limited.This study examines regional convergence in life expectancy at birth across Hungarian districts using σ-and β-convergence approaches from the 1980s to the early 2020s.σ-convergence is measured using the population-weighted standard deviation of life expectancy at birth.Changes in the standard deviation are decomposed into age-specific contributions of mortality (M) and population structure (P), separately for total, between-, and withinregion components.District-level disparity (N = 175) increased over time: the standard deviation doubled among women and exceeded early-1990s crisis levels among men.Divergence was concentrated above age 50, particularly at ages 65 and over, whereas mortality below age 50 showed convergence.β-convergence models reveal regional polarization at older ages, reflecting faster improvements in the capital region and distinct convergence dynamics in the former heavy-industry region.These findings indicate that mortality convergence can only be understood by accounting for both age-specific dynamics and spatial heterogeneity.Mortality convergence and divergence across Hungarian districts: long-term age-specific dynam</w:t>
      </w:r>
    </w:p>
    <w:p>
      <w:pPr/>
      <w:r>
        <w:rPr>
          <w:b/>
        </w:rPr>
        <w:t>POSSIBLE 2026:</w:t>
      </w:r>
      <w:r>
        <w:t xml:space="preserve"> Characterising mortality dynamics across countries and time using a multi-stage clustering approach — https://doi.org/10.48550/arxiv.2609.17268</w:t>
      </w:r>
    </w:p>
    <w:p>
      <w:pPr/>
      <w:r>
        <w:rPr>
          <w:b/>
        </w:rPr>
        <w:t>Shared claim-specific concepts:</w:t>
      </w:r>
      <w:r>
        <w:t xml:space="preserve"> set, convergence, divergence, mortality, between, over; EU scope visible. This is a provisional connection, not an outcome finding.</w:t>
      </w:r>
    </w:p>
    <w:p>
      <w:pPr>
        <w:pStyle w:val="SourceNote"/>
      </w:pPr>
      <w:r>
        <w:rPr>
          <w:b/>
        </w:rPr>
        <w:t>Available abstract (not full text):</w:t>
      </w:r>
      <w:r>
        <w:t xml:space="preserve"> Comparative analyses of mortality dynamics across countries have long shaped our understanding of mortality inequalities and patterns of divergence and convergence over time. However, most existing studies focus on either mortality differences across countries at a single point in time or on country trajectories, without considering both factors simultaneously. In this paper, we address this gap by introducing a multi-stage clustering framework, applied to 94 countries by sex over the period 1960-2019 using data from the World Population Prospects. Specifically, we model life-table probabilities of death using a time-dependent beta latent variable model and identify a small set of ``mortality states'' that characterise the mortality pattern of each country at any given point in time. We then cluster countries based on their sequences of mortality states. Our results reveal substantial heterogeneity in the timing and pace of transitions between mortality states, including a persistent East-West divide in Europe and distinctive Latin American patterns associated with elevated young-adult male mortality. Cross-country inequality increased for both sexes until the 1990s, before plateauing and subsequently declining. Our proposed multi-stage clustering framework provides an interpretable, time-explicit description of mortality dynamics that jointly captures within-country change and</w:t>
      </w:r>
    </w:p>
    <w:p>
      <w:pPr/>
      <w:r>
        <w:rPr>
          <w:b/>
        </w:rPr>
        <w:t>POSSIBLE 2026:</w:t>
      </w:r>
      <w:r>
        <w:t xml:space="preserve"> Demographic Divergence: The Legacy of the Opioid Epidemic — https://doi.org/10.3386/w35340</w:t>
      </w:r>
    </w:p>
    <w:p>
      <w:pPr/>
      <w:r>
        <w:rPr>
          <w:b/>
        </w:rPr>
        <w:t>Shared claim-specific concepts:</w:t>
      </w:r>
      <w:r>
        <w:t xml:space="preserve"> divergence, mortality, life, increase; EU scope not established. This is a provisional connection, not an outcome finding.</w:t>
      </w:r>
    </w:p>
    <w:p>
      <w:pPr>
        <w:pStyle w:val="SourceNote"/>
      </w:pPr>
      <w:r>
        <w:rPr>
          <w:b/>
        </w:rPr>
        <w:t>Available abstract (not full text):</w:t>
      </w:r>
      <w:r>
        <w:t xml:space="preserve"> We study how the opioid epidemic shaped local population dynamics in the United States.Exploiting variation in exposure that stems from Purdue Pharma's targeted marketing of OxyContin to high-cancer-mortality areas, we find that more exposed commuting zones experienced lower population growth.By 2020, a one-standard-deviation increase in exposure reduced population growth among individuals aged 18 to 64 by 2.4 percentage points.Direct mortality from druginduced deaths made only a limited contribution to these changes.Instead, population losses were primarily driven by migratory responses: exposure increased out-migration rates, especially among college-educated individuals.These responses are consistent with the opioid epidemic operating as a disamenity shock, deteriorating local quality of life.Working in the opposite direction, we also document a rise in fertility rates that, by 2020, partially counteracts these population losses.Our findings show that the opioid epidemic reshaped local demographic composition and contributed to the long-run divergence in population dynamics across U.S. commuting zones.</w:t>
      </w:r>
    </w:p>
    <w:p>
      <w:pPr/>
      <w:r>
        <w:rPr>
          <w:b/>
        </w:rPr>
        <w:t>POSSIBLE 2025:</w:t>
      </w:r>
      <w:r>
        <w:t xml:space="preserve"> Contextual differences in the student evaluation of teaching (SET) in Mexico: comparing education face to face and online classes between different faculties — https://doi.org/10.1504/ijmie.2025.148275</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2025:</w:t>
      </w:r>
      <w:r>
        <w:t xml:space="preserve"> Contextual differences in the student evaluation of teaching (SET) in Mexico: comparing education face to face and online classes between different faculties — https://doi.org/10.1504/ijmie.2025.10069564</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2025:</w:t>
      </w:r>
      <w:r>
        <w:t xml:space="preserve"> Divergence in genetic (co)variances and the alignment of gmax with phenotypic divergence — https://doi.org/10.1093/evolut/qpaf009</w:t>
      </w:r>
    </w:p>
    <w:p>
      <w:pPr/>
      <w:r>
        <w:rPr>
          <w:b/>
        </w:rPr>
        <w:t>Shared claim-specific concepts:</w:t>
      </w:r>
      <w:r>
        <w:t xml:space="preserve"> provide, divergence, between; EU scope not established. This is a provisional connection, not an outcome finding.</w:t>
      </w:r>
    </w:p>
    <w:p>
      <w:pPr>
        <w:pStyle w:val="SourceNote"/>
      </w:pPr>
      <w:r>
        <w:rPr>
          <w:b/>
        </w:rPr>
        <w:t>Available abstract (not full text):</w:t>
      </w:r>
      <w:r>
        <w:t xml:space="preserve"> To better understand the sources of biological diversity in nature, we need information on the mechanisms underlying population divergence. Biological systems with patterns of naturally occurring adaptive variation among populations can provide insight into the genetic architecture of diverging traits and the influence of genetic constraints on responses to selection. Using a system of reproductive character displacement in the North American mushroom-feeding fly Drosophila subquinaria, we assessed patterns of genetic (co)variance among a suite of chemical signaling traits and divergence in this pattern among populations. D. subquinaria exhibits stronger reproductive isolation against the closely related Drosophila recens in sympatry, where both female mating preferences and male chemical signaling traits have diverged from the ancestral allopatric populations. We collected 3 wild populations from each region and, in the lab, characterized the phenotypic divergence in these traits, as well as the additive genetic (co)variance structure (G-matrix), via replicate breeding designs. We found divergence between allopatric and sympatric D. subquinaria in the shape and size of the G-matrix, and that the leading axis of genetic variance (gmax) had changed in sympatry to come into alignment with the primary axis of phenotypic divergence between the sympatric and allopatric regions.</w:t>
      </w:r>
    </w:p>
    <w:p>
      <w:pPr/>
      <w:r>
        <w:rPr>
          <w:b/>
        </w:rPr>
        <w:t>POSSIBLE 2025:</w:t>
      </w:r>
      <w:r>
        <w:t xml:space="preserve"> Social Divergence in Hungary — https://doi.org/10.1007/978-3-031-94009-5_11</w:t>
      </w:r>
    </w:p>
    <w:p>
      <w:pPr/>
      <w:r>
        <w:rPr>
          <w:b/>
        </w:rPr>
        <w:t>Shared claim-specific concepts:</w:t>
      </w:r>
      <w:r>
        <w:t xml:space="preserve"> convergence, divergence, education; EU scope visible. This is a provisional connection, not an outcome finding.</w:t>
      </w:r>
    </w:p>
    <w:p>
      <w:pPr>
        <w:pStyle w:val="SourceNote"/>
      </w:pPr>
      <w:r>
        <w:rPr>
          <w:b/>
        </w:rPr>
        <w:t>Available abstract (not full text):</w:t>
      </w:r>
      <w:r>
        <w:t xml:space="preserve"> Although the EU is fundamentally an economic integration project, its social dimension has been important from the outset and has been further strengthened since 2017. However, during the EU’s eastern enlargements since 2004, social policy ambitions did not receive the attention they arguably merited. This partly explains why the subsequent two decades have been characterized by economic convergence alongside social divergence. This chapter demonstrates that employment and social policy constitute one of the areas where Hungarian domestic trends are most likely to diverge from broader European patterns. This divergence is evident in the weakening of social dialogue, the dismantling of the social safety net, prolonged wage restraint, and state redistribution policies that have tended to exacerbate rather than reduce inequalities. Additionally, insufficient investment in public education and public health starkly contrasts with the approaches adopted by most other Eastern member states. These developments not only reflect the policy priorities and performance of Hungarian governments but also underscore the limited effectiveness of the European Social Fund. Furthermore, the chapter shows that Fidesz-led Hungary has impeded common EU ambitions regarding labour and social affairs by not only attempting to thwart existing EU legislation but also actively obstructing most new EU init</w:t>
      </w:r>
    </w:p>
    <w:p>
      <w:pPr>
        <w:pStyle w:val="Heading2"/>
      </w:pPr>
      <w:r>
        <w:t>586.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2026:</w:t>
      </w:r>
      <w:r>
        <w:t xml:space="preserve"> Sources of European Union competition law — https://doi.org/10.24144/2307-3322.2026.93.2.3</w:t>
      </w:r>
    </w:p>
    <w:p>
      <w:pPr/>
      <w:r>
        <w:rPr>
          <w:b/>
        </w:rPr>
        <w:t>Shared claim-specific concepts:</w:t>
      </w:r>
      <w:r>
        <w:t xml:space="preserve"> article, presents, union, achieving, significant, role; EU scope visible. This is a provisional connection, not an outcome finding.</w:t>
      </w:r>
    </w:p>
    <w:p>
      <w:pPr>
        <w:pStyle w:val="SourceNote"/>
      </w:pPr>
      <w:r>
        <w:rPr>
          <w:b/>
        </w:rPr>
        <w:t>Available abstract (not full text):</w:t>
      </w:r>
      <w:r>
        <w:t xml:space="preserve"> This article presents a comprehensive and systematic study of the sources of European Union competition law as a dynamic, multi-level legal system shaped by profound economic, technological and geopolitical transformations. The authors proceed from the premise that contemporary EU competition law has ceased to be exclusively an instrument for ensuring the functioning of the internal market and increasingly performs a strategic role in achieving objectives of economic resilience, digital transformation, strategic autonomy and crisis management in conditions of global instability. The paper advances the thesis that the system of sources of EU competition law is becoming more complex and evolving, driven by an expansion of regulatory fields, the growing role of supranational institutions and the emergence of new regulatory instruments. The authors provide a detailed analysis of primary EU law instruments, above all the Treaty on European Union and the Treaty on the Functioning of the European Union, which enshrine the fundamental principles of competition, establish the Union’s exclusive competence in this area and create the normative foundation for the operation of the internal market. It is shown that norms of primary law possess direct effect and play a key role in the formation of a unified competition law regime. Special attention is devoted to the analysis of EU secondary l</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article, presents, essential, union, energy;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Left-wing terrorism in Europe. Past and present. — https://doi.org/10.5604/01.3001.0055.6423</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In the article, the author presents the genesis and development of one of the trends of terrorism, which in the literature has such terms as: left-wing, revolutionary, anarchist, Marxist terrorism and its development in Europe in the past and present. Additional attention is paid to the current activity of left-wing terrorists and the influence of this threat on the current security of Europe. In addition, the most important terrorist organizations of this trend that have operated in the past or are still active in Europe have been presented.</w:t>
      </w:r>
    </w:p>
    <w:p>
      <w:pPr/>
      <w:r>
        <w:rPr>
          <w:b/>
        </w:rPr>
        <w:t>POSSIBLE 2025:</w:t>
      </w:r>
      <w:r>
        <w:t xml:space="preserve"> The European legal dimension of environmental safety — https://doi.org/10.24144/2307-3322.2025.91.5.15</w:t>
      </w:r>
    </w:p>
    <w:p>
      <w:pPr/>
      <w:r>
        <w:rPr>
          <w:b/>
        </w:rPr>
        <w:t>Shared claim-specific concepts:</w:t>
      </w:r>
      <w:r>
        <w:t xml:space="preserve"> article, presents, aspects, support, union, climate; EU scope visible. This is a provisional connection, not an outcome finding.</w:t>
      </w:r>
    </w:p>
    <w:p>
      <w:pPr>
        <w:pStyle w:val="SourceNote"/>
      </w:pPr>
      <w:r>
        <w:rPr>
          <w:b/>
        </w:rPr>
        <w:t>Available abstract (not full text):</w:t>
      </w:r>
      <w:r>
        <w:t xml:space="preserve"> The article is dedicated to the analysis of contemporary international and European legislation in the field of environmental safety and protection. Given that Ukraine’s current European and Euro-Atlantic integration is determined by the process of Ukraine’s rapprochement with the European Union, the authors first consider issues of legal support for environmental safety at the level of approaches and principles for the formation of national and local policies, European standards and legal dimensions in the environmental sphere. The purpose of the article is to review European legislation on environmental safety, its impact on national environmental policies in the European Union, as well as the scientific views of Ukrainian and European scholars on the processes of approximating national legislation to European legislation in the field of ecology, with the aim of deepening understanding of current and recent changes to Ukrainian national legislation, legal guidelines and dimensions that represent European legal discourse as a whole. The authors draw attention to current international and European environmental legislation, the development of environmental safety standards, the introduction of economic mechanisms and liability for violations, as well as the consideration of environmental aspects in the future foreign policy of EU member states. The authors attempted to study ge</w:t>
      </w:r>
    </w:p>
    <w:p>
      <w:pPr/>
      <w:r>
        <w:rPr>
          <w:b/>
        </w:rPr>
        <w:t>POSSIBLE 2025:</w:t>
      </w:r>
      <w:r>
        <w:t xml:space="preserve"> Hydrogen as a Renewable Fuel of Non-Biological Origins in the European Union—The Emerging Market and Regulatory Framework — https://doi.org/10.3390/en18030617</w:t>
      </w:r>
    </w:p>
    <w:p>
      <w:pPr/>
      <w:r>
        <w:rPr>
          <w:b/>
        </w:rPr>
        <w:t>Shared claim-specific concepts:</w:t>
      </w:r>
      <w:r>
        <w:t xml:space="preserve"> article, hydrogen, fuel, support, union, climate; EU scope visible. This is a provisional connection, not an outcome finding.</w:t>
      </w:r>
    </w:p>
    <w:p>
      <w:pPr>
        <w:pStyle w:val="SourceNote"/>
      </w:pPr>
      <w:r>
        <w:rPr>
          <w:b/>
        </w:rPr>
        <w:t>Available abstract (not full text):</w:t>
      </w:r>
      <w:r>
        <w:t xml:space="preserve"> The European Union continues to lead global efforts toward climate neutrality by developing a cohesive regulatory and market framework for alternative fuels, including renewable hydrogen. This review article critically examines the recent evolution of the EU’s policy landscape specifically for hydrogen as a renewable fuel of non-biological origin (RFNBO), highlighting its growing importance in hard-to-abate sectors such as industry and transportation. We assess the interplay of market-based mechanisms (e.g., EU ETS II), direct mandates (e.g., FuelEU Maritime, RED III), and support auction-based measures (e.g., the European Hydrogen Bank) that collectively shape both the demand and the supply of hydrogen as RFNBO fuel. The article also addresses emerging cost, capacity, and technical barriers—ranging from constrained electrolyzer deployment to complex certification requirements—that hinder large-scale adoption and market rollout. The article aims to discuss advancing and changing regulatory and market environment for the development of infrastructure and market for hydrogen as RFNBO fuel in the EU in 2019–2024. Synthesizing current research and policy developments, we propose targeted recommendations, including enhanced cross-border coordination and capacity-based incentives, to accelerate investment and infrastructure development. This review informs policymakers, industry stak</w:t>
      </w:r>
    </w:p>
    <w:p>
      <w:pPr/>
      <w:r>
        <w:rPr>
          <w:b/>
        </w:rPr>
        <w:t>POSSIBLE 2025:</w:t>
      </w:r>
      <w:r>
        <w:t xml:space="preserve"> Development of the Hydrogen Market and Local Green Hydrogen Offtake in Africa — https://doi.org/10.3390/hydrogen6030043</w:t>
      </w:r>
    </w:p>
    <w:p>
      <w:pPr/>
      <w:r>
        <w:rPr>
          <w:b/>
        </w:rPr>
        <w:t>Shared claim-specific concepts:</w:t>
      </w:r>
      <w:r>
        <w:t xml:space="preserve"> article, hydrogen, energy; EU scope not established. This is a provisional connection, not an outcome finding.</w:t>
      </w:r>
    </w:p>
    <w:p>
      <w:pPr>
        <w:pStyle w:val="SourceNote"/>
      </w:pPr>
      <w:r>
        <w:rPr>
          <w:b/>
        </w:rPr>
        <w:t>Available abstract (not full text):</w:t>
      </w:r>
      <w:r>
        <w:t xml:space="preserve"> Creating a hydrogen market in Africa is a great opportunity to assist in the promotion of sustainable energy solutions and economic growth. This article addresses the legislation and regulations that need to be developed to facilitate growth in the hydrogen market and allow local green hydrogen offtake across the continent. By reviewing current policy and strategy within particular African countries and best practices globally from key hydrogen economies, the review establishes compelling issues, challenges, and opportunities unique to Africa. The study identifies the immense potential in Africa for renewable energy, and, in particular, for solar and wind, as the foundation for the production of green hydrogen. It examines how effective policy frameworks can establish a vibrant hydrogen economy by bridging infrastructural gaps, cost hurdles, and regulatory barriers. The paper also addresses how local offtake contracts for green hydrogen can be used to stimulate economic diversification, energy security, and sustainable development. Policy advice is provided to assist African authorities and stakeholders in the deployment of enabling regulatory frameworks and the mobilization of funds. The paper contributes to global hydrogen energy discussions by introducing Africa as an eligible stakeholder in the emerging hydrogen economy and outlining prospects for its inclusion into regiona</w:t>
      </w:r>
    </w:p>
    <w:p>
      <w:pPr/>
      <w:r>
        <w:rPr>
          <w:b/>
        </w:rPr>
        <w:t>POSSIBLE 2025:</w:t>
      </w:r>
      <w:r>
        <w:t xml:space="preserve"> Language Use in Courts under International Law: Thoughts on the Applicability of Article 9 of the European Charter for Regional or Minority Languages in Hungary — https://doi.org/10.62152/hjms.2025.gyl</w:t>
      </w:r>
    </w:p>
    <w:p>
      <w:pPr/>
      <w:r>
        <w:rPr>
          <w:b/>
        </w:rPr>
        <w:t>Shared claim-specific concepts:</w:t>
      </w:r>
      <w:r>
        <w:t xml:space="preserve"> article, author, presents, commitment, role; EU scope visible. This is a provisional connection, not an outcome finding.</w:t>
      </w:r>
    </w:p>
    <w:p>
      <w:pPr>
        <w:pStyle w:val="SourceNote"/>
      </w:pPr>
      <w:r>
        <w:rPr>
          <w:b/>
        </w:rPr>
        <w:t>Available abstract (not full text):</w:t>
      </w:r>
      <w:r>
        <w:t xml:space="preserve"> Based on Ludwig Wittgenstein’s idea (“The limits of my language mean the limits of my world”), this study examines a specific dimension of minority language use, namely the right to use one’s language in court. It points out that the survival of a minority language presupposes not only the existence of a community of speakers but also a conscious, institutionalized commitment to language policy on the part of the state. As a normative framework, it juxtaposes the provisions of Article 6 of the European Convention on Human Rights and Article 9 of the European Charter for Regional or Minority Languages and presents the linguistic characteristics of criminal, civil, and administrative proceedings. The study argues that the structural weaknesses of Article 9 of the Language Charter (the minimization of enforceable rights, territorial and numerical restrictions, and judicial discretion in ensuring rights) carry the risk of undermining the right to language use in court. Using the example of a case study—the Constitutional Court’s Decision 2/2021. (I. 7.) AB—the author argues that in the current political environment, constitutional courts and supreme courts have a key role to play in interpreting and effectively enforcing language rights as a “living right.”</w:t>
      </w:r>
    </w:p>
    <w:p>
      <w:pPr/>
      <w:r>
        <w:rPr>
          <w:b/>
        </w:rPr>
        <w:t>POSSIBLE 2025:</w:t>
      </w:r>
      <w:r>
        <w:t xml:space="preserve"> Dostoevsky's understanding of Russia's mission and its relationship to Europe — https://doi.org/10.33920/nik-02-2506-05</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The author of the article raises the question of how the Russian writer F. M. Dostoevsky assessed the specifics of Russia. The article presents the thoughts of Dostoevsky himself and their correlation with the thoughts of the writer's contemporaries and those who belong to the next generation of philosophers, first of all, Zenkovsky and Zinoviev. The article shows the complex fate of the dispute between Slavophilism and Westernism in Russia. The main conclusion of the article is related to the assertion that Dostoevsky, despite the presence of contradictions in his views, saw Russia's path as unique and unrepeatable and regarded it as important for Europe and for the world as a whole. The materials of the article can be useful in preparation for the disciplines "History of Literature", "History of Culture", and "Philosophy".</w:t>
      </w:r>
    </w:p>
    <w:p>
      <w:pPr>
        <w:pStyle w:val="Heading2"/>
      </w:pPr>
      <w:r>
        <w:t>587.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2026:</w:t>
      </w:r>
      <w:r>
        <w:t xml:space="preserve"> Reframing the Refugee Rentier State: Turkey in the European Refugee ‘Crisis’ — https://doi.org/10.3390/socsci15070457</w:t>
      </w:r>
    </w:p>
    <w:p>
      <w:pPr/>
      <w:r>
        <w:rPr>
          <w:b/>
        </w:rPr>
        <w:t>Shared claim-specific concepts:</w:t>
      </w:r>
      <w:r>
        <w:t xml:space="preserve"> seeks, itself, interactions, crisis; EU scope visible. This is a provisional connection, not an outcome finding.</w:t>
      </w:r>
    </w:p>
    <w:p>
      <w:pPr>
        <w:pStyle w:val="SourceNote"/>
      </w:pPr>
      <w:r>
        <w:rPr>
          <w:b/>
        </w:rPr>
        <w:t>Available abstract (not full text):</w:t>
      </w:r>
      <w:r>
        <w:t xml:space="preserve"> The refugee rentier state seeks to manipulate mass population movements to obtain economic and political/strategic ‘rents’, asserting itself in a way that challenges the premises of Global South marginality, disempowerment and exclusion within the international system. This article develops the concept of the refugee rentier state, which it understands as a political economy framework for analysing how host states transform refugee populations into sources of bargaining power within asymmetric systems of global governance, while showing how this “trading” feeds into economic vulnerabilities and exclusions associated with forced labour arrangements. It shows how refugee hosting can function as a strategic asset through which states extract economic and political/strategic rents from wealthier counterparts. Drawing on Turkey’s engagement with the European Union in the European refugee “crisis”, the article examines how refugee rentier strategies operate within, rather than outside, established migration governance regimes, giving rise to economic informality and partial labour market integration. In applying the rentier state model to EU–Turkey interactions, it situates refugee rentierism within the structural logic of EU migration externalisation and the institutional weaknesses of international refugee protection, while considering how they feed into the vulnerability of displa</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2025:</w:t>
      </w:r>
      <w:r>
        <w:t xml:space="preserve"> Polycrisis patterns: applying system archetypes to crisis interactions — https://doi.org/10.1017/sus.2025.21</w:t>
      </w:r>
    </w:p>
    <w:p>
      <w:pPr/>
      <w:r>
        <w:rPr>
          <w:b/>
        </w:rPr>
        <w:t>Shared claim-specific concepts:</w:t>
      </w:r>
      <w:r>
        <w:t xml:space="preserve"> interactions, crisis, ways; EU scope not established. This is a provisional connection, not an outcome finding.</w:t>
      </w:r>
    </w:p>
    <w:p>
      <w:pPr>
        <w:pStyle w:val="SourceNote"/>
      </w:pPr>
      <w:r>
        <w:rPr>
          <w:b/>
        </w:rPr>
        <w:t>Available abstract (not full text):</w:t>
      </w:r>
      <w:r>
        <w:t xml:space="preserve"> Abstract Non-technical summary: The world is facing multiple interconnected crises, from climate change and economic instability to social inequalities and geopolitical tensions. These crises do not occur in isolation; instead, they interact, reinforce each other, and create unexpected ripple effects – forming what is known as a polycrisis. Traditional ways of analysing problems often fail to grasp these interdependencies, making it difficult to find effective responses. We draw on system archetypes to describe and exemplify three polycrisis patterns. These provide a structured way to analyse how multiple crises unfold and interact, as well as insights into how to navigate such complexity. Technical summary: The concept of a polycrisis describes the complex interconnections between global issues, which can lead to unexpected emergent behaviours and the possible convergence of undesirable impacts. Understanding these dynamics is crucial for anticipating compounded effects and for identifying leverage points for effective intervention. We propose that system archetypes – generic structures in system dynamics that capture recurring patterns of behaviour – can serve as a useful analytical tool to study polycrises. Specifically, we reinterpret three key system archetypes in this context: Converging Constraints (based on the Limits to Growth system archetype), Deepening Divides (base</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r>
        <w:rPr>
          <w:b/>
        </w:rPr>
        <w:t>POSSIBLE 2024:</w:t>
      </w:r>
      <w:r>
        <w:t xml:space="preserve"> Green health: how to decarbonise global healthcare systems — https://doi.org/10.1186/s42055-024-00098-3</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Healthcare systems are major emitters of greenhouse gases that contribute to climate change. The resulting climate crisis harms human and planetary health and increasingly impacts lives on Earth. Because of their status as high emitters and their social role in society, healthcare systems have a clear obligation to decarbonise. This study investigates how healthcare systems worldwide can lower their greenhouse gas emissions and thereby contribute to global climate action. We performed a systematic literature review, searching PubMed, GreenFILE, Business Source Complete and CINAHL for relevant empirical studies, non-research papers and grey literature published between 1 January 2018 and 28 March 2023. The Greenhouse Gas Protocol applied to healthcare systems guided thematic and descriptive analyses to explore interventions targeted at scope 1, 2 and 3 emissions. The PRISMA guidelines were followed for reporting and synthesising the results. A total of 742 publications were initially identified, 230 of which were included in the systematic literature review, comprising 96 empirical studies, 132 non-research papers and two governmental reports. Numerous conventional and unique decarbonisation actions related to healthcare have been reported in the literature. Eight themes were identified: transportation, anaesthesia, energy, travel, supply chain, clinical practices, planetary hea</w:t>
      </w:r>
    </w:p>
    <w:p>
      <w:pPr/>
      <w:r>
        <w:rPr>
          <w:b/>
        </w:rPr>
        <w:t>POSSIBLE 2022:</w:t>
      </w:r>
      <w:r>
        <w:t xml:space="preserve"> Decarbonising Economies — https://doi.org/10.1017/9781108934039</w:t>
      </w:r>
    </w:p>
    <w:p>
      <w:pPr/>
      <w:r>
        <w:rPr>
          <w:b/>
        </w:rPr>
        <w:t>Shared claim-specific concepts:</w:t>
      </w:r>
      <w:r>
        <w:t xml:space="preserve"> ways; EU scope not established. This is a provisional connection, not an outcome finding.</w:t>
      </w:r>
    </w:p>
    <w:p>
      <w:pPr>
        <w:pStyle w:val="SourceNote"/>
      </w:pPr>
      <w:r>
        <w:rPr>
          <w:b/>
        </w:rPr>
        <w:t>Available abstract (not full text):</w:t>
      </w:r>
      <w:r>
        <w:t xml:space="preserve"> Based on an interdisciplinary investigation of future visions, scenarios, and case-studies of low carbon innovation taking place across economic domains, Decarbonising Economies analyses the ways in which questions of agency, power, geography and materiality shape the conditions of possibility for a low carbon future. It explores how and why the challenge of changing our economies are variously ascribed to a lack of finance, a lack of technology, a lack of policy and a lack of public engagement, and shows how the realities constraining change are more fundamentally tied to the inertia of our existing high carbon society and limited visions for what a future low carbon world might become. Through showcasing the first seeds of innovation seeking to enable transformative change, Decarbonising Economies will also chart a course for future research and policy action towards our climate goals. This title is also available as Open Access on Cambridge Core.</w:t>
      </w:r>
    </w:p>
    <w:p>
      <w:pPr/>
      <w:r>
        <w:rPr>
          <w:b/>
        </w:rPr>
        <w:t>POSSIBLE 2022:</w:t>
      </w:r>
      <w:r>
        <w:t xml:space="preserve"> Scope for EU–Japan cooperation in decarbonising the global LNG market — https://doi.org/10.26485/spe/2022/124/7</w:t>
      </w:r>
    </w:p>
    <w:p>
      <w:pPr/>
      <w:r>
        <w:rPr>
          <w:b/>
        </w:rPr>
        <w:t>Shared claim-specific concepts:</w:t>
      </w:r>
      <w:r>
        <w:t xml:space="preserve"> fully, decarbonise, likely, ways; EU scope visible. This is a provisional connection, not an outcome finding.</w:t>
      </w:r>
    </w:p>
    <w:p>
      <w:pPr>
        <w:pStyle w:val="SourceNote"/>
      </w:pPr>
      <w:r>
        <w:rPr>
          <w:b/>
        </w:rPr>
        <w:t>Available abstract (not full text):</w:t>
      </w:r>
      <w:r>
        <w:t xml:space="preserve"> Background: Global climate ambitions seem to be at odds with the future use of natural gas. However, the inability to fully electrify the demand for energy has forced developed economies to seek ways to decarbonise the gas industry. This article investigates the option to further use LNG terminals as a source of carbon-neutral energy supply for the EU and Japan, which together account for 50% of the global demand for LNG. Research purpose: The aim of this paper is to verify the potential pathways toward continued utilisation of the EU and Japanese LNG infrastructure in a low-carbon or even climate-neutral future. Methods: A literature review of different technologies that enable CO2-neutral gas production or imports is conducted to identify potential pathways for decarbonisation. A SWOT analysis of the two selected scenarios is then performed to present their upsides and downsides and to identify potential areas for cooperation. Finally, the costs associated with the two development paths are analysed to verify where the main challenges lie. Conclusions: The study confirms that the success of gas conversion facilities will rely heavily on technological advancements that would reduce the unit cost of natural gas processing. By contrast, biomethane imports will require operational support to effectively compete with other energy carriers. The author concludes that both gas decarb</w:t>
      </w:r>
    </w:p>
    <w:p>
      <w:pPr>
        <w:pStyle w:val="Heading2"/>
      </w:pPr>
      <w:r>
        <w:t>588.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2026:</w:t>
      </w:r>
      <w:r>
        <w:t xml:space="preserve"> The European Commission’s Commitment to Increasing the Social Legitimacy of the European Green Deal Strategy — https://doi.org/10.33067/se.1.2026.17</w:t>
      </w:r>
    </w:p>
    <w:p>
      <w:pPr/>
      <w:r>
        <w:rPr>
          <w:b/>
        </w:rPr>
        <w:t>Shared claim-specific concepts:</w:t>
      </w:r>
      <w:r>
        <w:t xml:space="preserve"> main, goal, strategic, concept, reasons, limited; EU scope visible. This is a provisional connection, not an outcome finding.</w:t>
      </w:r>
    </w:p>
    <w:p>
      <w:pPr>
        <w:pStyle w:val="SourceNote"/>
      </w:pPr>
      <w:r>
        <w:rPr>
          <w:b/>
        </w:rPr>
        <w:t>Available abstract (not full text):</w:t>
      </w:r>
      <w:r>
        <w:t xml:space="preserve"> The main goal of this paper is to explain the activities undertaken by the European Commission (EC), as a key political actor in the EU, to increase the social legitimacy of the European Green Deal (EGD) strategy among Europeans. The EGD, as a long-term strategy for the EU’s development until 2050, constitutes an economic and environmental project with a clear political and identity dimension. The authors argue that its aim is to build a new vision of a united Europe based on the values of sustainable development and climate neutrality. The analysis is based on the concept of social legitimacy and the theory of actor-centred constructivism, with a particular emphasis on the role of the EC as an entity that creates norms, narratives, and policy instruments. This article identifies the main reasons for the low level of social legitimacy of the EGD, which include concerns about the costs of transformation, the uneven distribution of its socio-economic effects, a lack of trust in public institutions, and limited transparency in communication. The empirical section discusses the instruments used by the EC to strengthen the legitimacy of the EGD, particularly the redistributive and investment mechanisms such as the Just Transition Fund and the Social Climate Fund, as well as the withdrawal from the most controversial sectoral reforms. The conclusions indicate that this strategy is se</w:t>
      </w:r>
    </w:p>
    <w:p>
      <w:pPr/>
      <w:r>
        <w:rPr>
          <w:b/>
        </w:rPr>
        <w:t>POSSIBLE 2025:</w:t>
      </w:r>
      <w:r>
        <w:t xml:space="preserve"> Legal, Ethical, and Social Issues of AI and Law Enforcement in Europe — https://doi.org/10.1017/9781009367783.022</w:t>
      </w:r>
    </w:p>
    <w:p>
      <w:pPr/>
      <w:r>
        <w:rPr>
          <w:b/>
        </w:rPr>
        <w:t>Shared claim-specific concepts:</w:t>
      </w:r>
      <w:r>
        <w:t xml:space="preserve"> main, goal, discuss; EU scope visible. This is a provisional connection, not an outcome finding.</w:t>
      </w:r>
    </w:p>
    <w:p>
      <w:pPr>
        <w:pStyle w:val="SourceNote"/>
      </w:pPr>
      <w:r>
        <w:rPr>
          <w:b/>
        </w:rPr>
        <w:t>Available abstract (not full text):</w:t>
      </w:r>
      <w:r>
        <w:t xml:space="preserve">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pPr/>
      <w:r>
        <w:rPr>
          <w:b/>
        </w:rPr>
        <w:t>POSSIBLE 2025:</w:t>
      </w:r>
      <w:r>
        <w:t xml:space="preserve"> THE ROLE OF STRATEGIC LEADERSHIP IN EMPOWERING STRATEGIC HRM TO ACHIEVE STRATEGIC GOALS: A STUDY ON PALESTINIAN PHARMACEUTICAL COMPANIES — https://openalex.org/W7216799856</w:t>
      </w:r>
    </w:p>
    <w:p>
      <w:pPr/>
      <w:r>
        <w:rPr>
          <w:b/>
        </w:rPr>
        <w:t>Shared claim-specific concepts:</w:t>
      </w:r>
      <w:r>
        <w:t xml:space="preserve"> main, achieve, strategic; EU scope not established. This is a provisional connection, not an outcome finding.</w:t>
      </w:r>
    </w:p>
    <w:p>
      <w:pPr>
        <w:pStyle w:val="SourceNote"/>
      </w:pPr>
      <w:r>
        <w:rPr>
          <w:b/>
        </w:rPr>
        <w:t>Available abstract (not full text):</w:t>
      </w:r>
      <w:r>
        <w:t xml:space="preserve"> This study aimed to analyze the role of strategic leadership in empowering Strategic Human Resource Management (SHRM) to achieve strategic objectives within Palestinian pharmaceutical companies, amid the political, economic, and administrative challenges facing this vital sector. The study adopted a descriptive-analytical approach and employed a questionnaire to collect data from a sample of 182 administrative employees working in pharmaceutical companies operating in Palestine. The research instrument was designed around four main dimensions of strategic leadership: engaging human resources in strategic planning, allocating resources and providing organizational support, building an empowerment-based institutional culture, and adopting a transformational/entrepreneurial leadership style. The results revealed that all dimensions of strategic leadership had a significant impact on the empowerment of SHRM. Moreover, the findings showed no statistically significant differences attributed to gender, educational qualification, or years of experience. The study emphasized the importance of aligning leadership practices with HR functions to enhance institutional performance, in line with contemporary literature on human capital as a strategic asset. Based on these findings, the study recommended the reinforcement of empowering leadership styles, greater involvement of human resources </w:t>
      </w:r>
    </w:p>
    <w:p>
      <w:pPr/>
      <w:r>
        <w:rPr>
          <w:b/>
        </w:rPr>
        <w:t>POSSIBLE 2025:</w:t>
      </w:r>
      <w:r>
        <w:t xml:space="preserve"> Lithuania's integration into Europe: Alternatives and choices — https://doi.org/10.15388/polit.1998.1.8</w:t>
      </w:r>
    </w:p>
    <w:p>
      <w:pPr/>
      <w:r>
        <w:rPr>
          <w:b/>
        </w:rPr>
        <w:t>Shared claim-specific concepts:</w:t>
      </w:r>
      <w:r>
        <w:t xml:space="preserve"> main, achieve, strategic, reasons, much, cannot; EU scope visible. This is a provisional connection, not an outcome finding.</w:t>
      </w:r>
    </w:p>
    <w:p>
      <w:pPr>
        <w:pStyle w:val="SourceNote"/>
      </w:pPr>
      <w:r>
        <w:rPr>
          <w:b/>
        </w:rPr>
        <w:t>Available abstract (not full text):</w:t>
      </w:r>
      <w:r>
        <w:t xml:space="preserve"> In the beginning of the article, the author postulates: "Lithuania's belonging to Europe is unquestionable". Thus, the main prospects for satisfying the national interests - namely, national security, economic welfare of the citizens, and maintenance of national identity - of Lithuania are tightly bound with the appertainance and further integration into the aforementioned area. However, G. Vitkus notifies, that in spite of the expressed wish of Lithuania saying that the country seeks entrance into European political, economic, and security organisations, in 1997, and particularly in summer 1997 in Madrid and in December in Luxembourg, it has finally become apparent that the delineated goals are not to be implemented easily. Nevertheless, the author claims that such a make-up of events is not to be viewed as a defeat. He says: "Postponement of the EU perspective, on the one hand, and ambiguity of the NATO perspective, on the other, have not only provided us with a chance to re-contemplate the vitality of our strategic choice, but has made us alert that Lithuania's integration into Europe cannot limit and confine itself to integration into these two structures. &lt;...&gt; Moreover, NATO and the EU membership ought to be taken not so much as goals but as a means in order to achieve higher goals - the implementation of Lithuania's national interests." The author argues that Lithuania, </w:t>
      </w:r>
    </w:p>
    <w:p>
      <w:pPr/>
      <w:r>
        <w:rPr>
          <w:b/>
        </w:rPr>
        <w:t>POSSIBLE 2024:</w:t>
      </w:r>
      <w:r>
        <w:t xml:space="preserve"> Value-related educational goals of primary school teachers: a comparative study in two European countries — https://doi.org/10.3389/fpsyg.2024.1458393</w:t>
      </w:r>
    </w:p>
    <w:p>
      <w:pPr/>
      <w:r>
        <w:rPr>
          <w:b/>
        </w:rPr>
        <w:t>Shared claim-specific concepts:</w:t>
      </w:r>
      <w:r>
        <w:t xml:space="preserve"> main, discuss, light; EU scope visible. This is a provisional connection, not an outcome finding.</w:t>
      </w:r>
    </w:p>
    <w:p>
      <w:pPr>
        <w:pStyle w:val="SourceNote"/>
      </w:pPr>
      <w:r>
        <w:rPr>
          <w:b/>
        </w:rPr>
        <w:t>Available abstract (not full text):</w:t>
      </w:r>
      <w:r>
        <w:t xml:space="preserve"> Schools serve as social institutions that convey values in the context of socialization and enculturation. Teachers are pivotal in this transmission process via their value-related educational goals (VrEGs), which outline how they would like to see their pupils in terms of values. What factors influence these VrEGs? We suggest that those vary on an individual level, but also correspond to the prevailing value orientations of the society. In our study we followed two main goals to test this thesis. Firstly, we examine the differences in VrEGs between teachers of two European countries: Switzerland (CH) and United Kingdom (UK). Secondly, we investigated the similarity of the teachers’ VrEGs with prevailing national value orientations from the specific countries. One hundred and fifty primary school teachers (108 CH, 42 UK) were asked about their VrEGs using an adapted version of Schwartz’s Portrait Values Questionnaire (PVQ-21). Data from the Human Value Scale (HVS) of the European Social Survey (ESS) was used for country-specific value orientations. Analyses of the value structures and the differences in value priorities showed that for the individuals from the two countries as well as for the teachers’ VrEGs from the two countries, significant differences exist in several value types. Teachers’ VrEGs in each country showed a high correlation with the corresponding national valu</w:t>
      </w:r>
    </w:p>
    <w:p>
      <w:pPr/>
      <w:r>
        <w:rPr>
          <w:b/>
        </w:rPr>
        <w:t>POSSIBLE 2024:</w:t>
      </w:r>
      <w:r>
        <w:t xml:space="preserve"> The European Union Development Policy and Achieving Sustainable Development Goals (SDGs) of the United Nations — https://doi.org/10.4018/979-8-3693-1742-6.ch020</w:t>
      </w:r>
    </w:p>
    <w:p>
      <w:pPr/>
      <w:r>
        <w:rPr>
          <w:b/>
        </w:rPr>
        <w:t>Shared claim-specific concepts:</w:t>
      </w:r>
      <w:r>
        <w:t xml:space="preserve"> main, discuss, achieve; EU scope visible. This is a provisional connection, not an outcome finding.</w:t>
      </w:r>
    </w:p>
    <w:p>
      <w:pPr>
        <w:pStyle w:val="SourceNote"/>
      </w:pPr>
      <w:r>
        <w:rPr>
          <w:b/>
        </w:rPr>
        <w:t>Available abstract (not full text):</w:t>
      </w:r>
      <w:r>
        <w:t xml:space="preserve"> The purpose of this study is to describe the European Union's (EU) developing approach and governance in the implementation of the sustainable development agenda of the United Nations (UN). UN's sustainable development goals are more vibrant to maintain peace and stability in the world. The EU's Global Gateway and Asia-Europe connectivity programme are supporting other nations to work on the SDGs. As a regional organisation, the EU shows enormous intention to eliminate poverty, malnutrition and famine, establish peace, respect for human rights and minority rights, and maintain global warming, biodiversity and the climate. Moreover, the EU also formed bilateral and multilateral level cooperation across the world for the establishment of democratic rule, peace, and prosperity. The EU's policy formulation keeps working on economic, social, and environmental development issues at the global level and supporting the UN mission across the world in different sectors. This research is based on qualitative analysis using primary and secondary literature. In addition, this study also uses the empirical method to discuss the main research gaps and answer major questions related to the SDGs. As a result, the EU has started significant work to achieve the objectives of the SDGs of the UN. The EU has also launched various development programs for the implementation of the SDGs in its member </w:t>
      </w:r>
    </w:p>
    <w:p>
      <w:pPr/>
      <w:r>
        <w:rPr>
          <w:b/>
        </w:rPr>
        <w:t>POSSIBLE 2024:</w:t>
      </w:r>
      <w:r>
        <w:t xml:space="preserve"> The European difficult goal of being strategically autonomous — https://doi.org/10.32796/cice.2024.107.7801</w:t>
      </w:r>
    </w:p>
    <w:p>
      <w:pPr/>
      <w:r>
        <w:rPr>
          <w:b/>
        </w:rPr>
        <w:t>Shared claim-specific concepts:</w:t>
      </w:r>
      <w:r>
        <w:t xml:space="preserve"> goal, strategic, autonomy, concept, focused, much; EU scope visible. This is a provisional connection, not an outcome finding.</w:t>
      </w:r>
    </w:p>
    <w:p>
      <w:pPr>
        <w:pStyle w:val="SourceNote"/>
      </w:pPr>
      <w:r>
        <w:rPr>
          <w:b/>
        </w:rPr>
        <w:t>Available abstract (not full text):</w:t>
      </w:r>
      <w:r>
        <w:t xml:space="preserve"> The issue of the “strategic autonomy of the European Union (EU)” is being subject to high interest within the EU policy circles. This term, originally propelled by France and mainly focused on defence, has evolved to include a much broader set of security considerations as the economy, the health or technology to just name a few. However, this concept still retains an important defence dimension. This paper deeply explores this issue, mainly in relation to the defence dimension, but looking at the organizational, industrial and technological aspects which are closely related, trying to identify the different constraints that may bound or endanger this autonomy.</w:t>
      </w:r>
    </w:p>
    <w:p>
      <w:pPr/>
      <w:r>
        <w:rPr>
          <w:b/>
        </w:rPr>
        <w:t>POSSIBLE 2024:</w:t>
      </w:r>
      <w:r>
        <w:t xml:space="preserve"> DYNAMICS OF THE EU STRATEGIC COMMUNICATIONS REGARDING THE EUROPEAN INTEGRATION OF UKRAINE — https://doi.org/10.24193/ojmne.2024.45.04</w:t>
      </w:r>
    </w:p>
    <w:p>
      <w:pPr/>
      <w:r>
        <w:rPr>
          <w:b/>
        </w:rPr>
        <w:t>Shared claim-specific concepts:</w:t>
      </w:r>
      <w:r>
        <w:t xml:space="preserve"> main, achieve, strategic; EU scope visible. This is a provisional connection, not an outcome finding.</w:t>
      </w:r>
    </w:p>
    <w:p>
      <w:pPr>
        <w:pStyle w:val="SourceNote"/>
      </w:pPr>
      <w:r>
        <w:rPr>
          <w:b/>
        </w:rPr>
        <w:t>Available abstract (not full text):</w:t>
      </w:r>
      <w:r>
        <w:t xml:space="preserve"> This research covers the analysis of changes in the strategic communications of the European Union regarding the European integration of Ukraine during 2000-2023. Specifically, it pays attention to the reactions of key EU officials to significant political events and foreign policy challenges. Having used the semantic analysis of official documents and speeches, the study presents the evolution of approaches and perspectives, revealing the hidden strategies, intentions, and ideological influences that shape the EU policy. The analysis emphasizes the growing importance of Ukraine in the strategic plans of the EU, while the geopolitical context significantly affects the European integration process. Examining the communication activity of the main EU institutions since 2022, the study has revealed specific messages regarding Ukraine's prospects for becoming a member of the EU, recognizing the successes in carrying out reforms and the country’s efforts to achieve the goals underlying its status as a candidate for membership.</w:t>
      </w:r>
    </w:p>
    <w:p>
      <w:pPr/>
      <w:r>
        <w:rPr>
          <w:b/>
        </w:rPr>
        <w:t>POSSIBLE 2024:</w:t>
      </w:r>
      <w:r>
        <w:t xml:space="preserve"> Achieving European Union strategic autonomy: circularity in critical raw materials value chains — https://doi.org/10.1093/ia/iiae127</w:t>
      </w:r>
    </w:p>
    <w:p>
      <w:pPr/>
      <w:r>
        <w:rPr>
          <w:b/>
        </w:rPr>
        <w:t>Shared claim-specific concepts:</w:t>
      </w:r>
      <w:r>
        <w:t xml:space="preserve"> achieve, strategic, autonomy, question, why, security; EU scope visible. This is a provisional connection, not an outcome finding.</w:t>
      </w:r>
    </w:p>
    <w:p>
      <w:pPr>
        <w:pStyle w:val="SourceNote"/>
      </w:pPr>
      <w:r>
        <w:rPr>
          <w:b/>
        </w:rPr>
        <w:t>Available abstract (not full text):</w:t>
      </w:r>
      <w:r>
        <w:t xml:space="preserve"> Abstract Why is it important to understand the potential of circular economy for security? With the green transition in full swing and vulnerabilities in value chains as a consequence of the COVID–19 pandemic and Russian aggression towards Ukraine, this question has never been more timely. Titanium metal constitutes a poignant case, as it is a critical raw material essential for the strategic civil aerospace and defence sectors. In addition, circular economy solutions constitute a viable solution to mitigate import dependencies in the case of this particular raw material. The European Union, with one of the largest aviation industries globally, is dependent on titanium imports from Russia and the United States. The latter, in turn, (re)imports titanium scrap from EU aviation manufacturing to increase material efficiency and reduce costs through recycling. Based on extensive stakeholder interviews across several countries and quantitative trade data, this article presents a first-time analysis of how, in the case of the titanium value chain, circular economy solutions can support the EU Open Strategic Autonomy (OSA) objectives, as enshrined in the 2023 Critical Raw Materials Act. We suggest that in order for the EU to achieve both the OSA and decarbonization objectives, it is essential to prioritize the establishment of recycling facilities as part of reshoring of the mid-value </w:t>
      </w:r>
    </w:p>
    <w:p>
      <w:pPr/>
      <w:r>
        <w:rPr>
          <w:b/>
        </w:rPr>
        <w:t>POSSIBLE 2023:</w:t>
      </w:r>
      <w:r>
        <w:t xml:space="preserve"> UKRAINE'S DIGITAL AUTONOMY ACHIEVING AS A STRATEGIC VECTOR FOR EU INTEGRATION — https://doi.org/10.56197/2786-5827/2023-2-1-3</w:t>
      </w:r>
    </w:p>
    <w:p>
      <w:pPr/>
      <w:r>
        <w:rPr>
          <w:b/>
        </w:rPr>
        <w:t>Shared claim-specific concepts:</w:t>
      </w:r>
      <w:r>
        <w:t xml:space="preserve"> main, need, strategic, autonomy, strengthening, security; EU scope visible. This is a provisional connection, not an outcome finding.</w:t>
      </w:r>
    </w:p>
    <w:p>
      <w:pPr>
        <w:pStyle w:val="SourceNote"/>
      </w:pPr>
      <w:r>
        <w:rPr>
          <w:b/>
        </w:rPr>
        <w:t>Available abstract (not full text):</w:t>
      </w:r>
      <w:r>
        <w:t xml:space="preserve"> Introduction. The article substantiates directions for achieving digital and technological autonomy of the Ukraine for integration with the EU in the context digital transformation of the EU's strategic priorities. The authors systematized the phases of adoption the strategic documents on EU digital autonomy. The components of European strategic autonomy were identified. The importance of the digital and technological sphere in strengthening the sustainability of the European economy was substantiated. The conceptual foundations for achieving digital autonomy in the EU are the factors that have led to the need to implement this priority in the strategic development of countries were identified. The main components of digital autonomy are highlighted, namely cybersecurity; awareness raising, digital skills acquisition; industrial policy, research, investment and supply chain strengthening; building alliances and promoting international cooperation. The obstacles to digital development in Ukraine in the context of military operations were identified. Possibilities of overcoming the threats to the formation of digital autonomy in Ukraine were identified and ways of consolidation with the European principles of digital space formation are outlined. Materials and methods. The purpose of the article was achieved using the methods of systematic, critical and scientific analysis, metho</w:t>
      </w:r>
    </w:p>
    <w:p>
      <w:pPr/>
      <w:r>
        <w:rPr>
          <w:b/>
        </w:rPr>
        <w:t>POSSIBLE 2023:</w:t>
      </w:r>
      <w:r>
        <w:t xml:space="preserve"> High speed rail as a strategic tool for achieving European Transport policy goals: smart, integrated and sustainable mobility — https://openalex.org/W7217390847</w:t>
      </w:r>
    </w:p>
    <w:p>
      <w:pPr/>
      <w:r>
        <w:rPr>
          <w:b/>
        </w:rPr>
        <w:t>Shared claim-specific concepts:</w:t>
      </w:r>
      <w:r>
        <w:t xml:space="preserve"> main, need, strategic, cannot; EU scope visible. This is a provisional connection, not an outcome finding.</w:t>
      </w:r>
    </w:p>
    <w:p>
      <w:pPr>
        <w:pStyle w:val="SourceNote"/>
      </w:pPr>
      <w:r>
        <w:rPr>
          <w:b/>
        </w:rPr>
        <w:t>Available abstract (not full text):</w:t>
      </w:r>
      <w:r>
        <w:t xml:space="preserve"> While infrastructure is the main prerequisite for a successful HSR system, regulation also plays an important role, and, over the past decade, the European Union interventions have been crucial for exploiting all the potential benefits offered by HSR services. Italy is a clear example of that. In Italy, in fact, the effects have been particularly positive in terms of increased traffic, reduced transport costs, flight substitution, and mitigation of the environmental impacts of transport, also thanks to the development of particularly efficient railway infrastructures, modern regulation systems, and competition between operators. EU and national governments should actively facilitate and stimulate HSR market development, eliminating any technical and regulatory barriers that could reduce the potential benefits of competition, with price reduction, quality enhancement, and organisational and technological innovations underlining the importance of the open market. An accelerated migration toward the ERTMS (European Rail Traffic Management System) is essential and strategic, considering the benefits that the system provides in terms of safety, improved interoperability, and increased performance, efficiency, and energy savings. The Connecting Europe Facility (CEF) budget should be rendered available for developing such implementation pilot studies, including the on-track and on-boa</w:t>
      </w:r>
    </w:p>
    <w:p>
      <w:pPr/>
      <w:r>
        <w:rPr>
          <w:b/>
        </w:rPr>
        <w:t>POSSIBLE 2023:</w:t>
      </w:r>
      <w:r>
        <w:t xml:space="preserve"> IMPLEMENTATION OF EUROPEAN PRINCIPLES IN STRATEGIC PLANNING OF POST-WAR RECOVERY OF UKRAINE — https://doi.org/10.56197/2786-5827/2023-2-2-2</w:t>
      </w:r>
    </w:p>
    <w:p>
      <w:pPr/>
      <w:r>
        <w:rPr>
          <w:b/>
        </w:rPr>
        <w:t>Shared claim-specific concepts:</w:t>
      </w:r>
      <w:r>
        <w:t xml:space="preserve"> main, goal, strategic, autonomy, strengthening, security; EU scope visible. This is a provisional connection, not an outcome finding.</w:t>
      </w:r>
    </w:p>
    <w:p>
      <w:pPr>
        <w:pStyle w:val="SourceNote"/>
      </w:pPr>
      <w:r>
        <w:rPr>
          <w:b/>
        </w:rPr>
        <w:t>Available abstract (not full text):</w:t>
      </w:r>
      <w:r>
        <w:t xml:space="preserve"> Introduction. The article defines the most important strategic planning principles of economic development in the EU and justification of the possibility of their implementation for the post-war recovery of Ukraine. Features are characterized and objects of influence (intervention) in the process of post-war reconstruction are determined. Obstacles to synchronizing strategic planning in Ukraine with European principles in conditions of military operations have been identified. Ways of consolidation with the European agenda have been determined, namely strengthening of cooperation in the field of green economy: decarbonization, waste management; digital development: cyber security; capacity building and acquisition of digital skills; harmonization of industrial policy, creation of alliances and promotion of international cooperation. Materials and methods. The goal of the article was achieved using the following methods: system analysis, content analysis, methods of scientific generalization, induction and deduction. Scientific publications and reports of international organizations in the relevant fields, normative legal acts, in particular regulations, work programs and documents of the European Commission, draft plans for the recovery of Ukraine, scientific works of foreign and Ukrainian researchers were used. Results and discussion. The article argues that the implementation</w:t>
      </w:r>
    </w:p>
    <w:p>
      <w:pPr>
        <w:pStyle w:val="Heading2"/>
      </w:pPr>
      <w:r>
        <w:t>589.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2025:</w:t>
      </w:r>
      <w:r>
        <w:t xml:space="preserve"> Political knowledge and perceptions of minority governments in Europe — https://doi.org/10.1017/s147567652510025x</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Minority governments are common across parliamentary systems, and a large body of literature has examined their stability and performance. Meanwhile, we know very little about how voters perceive this government type and whether they understand its political implications. We survey voters in Denmark, Germany, and Sweden, three European countries with varying degrees of exposure to minority governments, about their knowledge and perceptions of minority governments. We find that voters have knowledge levels comparable to those about the role of political parties, and that this is independent of the respective prevalence of minority governments in each country. Informed voters express stronger preferences for majority governments. However, minority governments are associated with specific positive representational traits, specifically with the impression that such governments listen more to the demands of all voters, and general perceptions are stronger for knowledgeable voters. The findings have implications for how elites can formulate arguments in favour or against minority governments that may resonate with voters.</w:t>
      </w:r>
    </w:p>
    <w:p>
      <w:pPr/>
      <w:r>
        <w:rPr>
          <w:b/>
        </w:rPr>
        <w:t>POSSIBLE 2024:</w:t>
      </w:r>
      <w:r>
        <w:t xml:space="preserve"> Important Drivers of European Monetary Integration ——The Game Between the German Central Government and the Bundesbank as an Example — https://doi.org/10.54254/2754-1169/68/20241337</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An independent central bank constitutes a veto actor in the political process itself and has the potential to limit the autonomy of the State (Government). In cases where the preferences of the state and the central bank diverge, the resulting authoritative actions will be influenced by the political structure of the respective country. Where changes in the domestic political system are difficult to achieve, the state can change the existing equilibrium between the central bank and the government by engaging in international regimes and international negotiations and evolving this equilibrium in the direction of greater state autonomy. This paper adopts a case study approach to propose a domestic political logic for international monetary policy choices by analyzing the relationship between international monetary co-operation, central bank independence and national autonomy, and uses the political game between the central central bank and the central government within Germany and the outcome to verify this view, thus providing a political science explanation for the relationship between German monetary politics and European monetary integration. The European Central Bank after the formation of the Union inherited the independence of the German central bank, and while assuming its responsibility for monetary stabilization and economic development, it gradually transcended the sc</w:t>
      </w:r>
    </w:p>
    <w:p>
      <w:pPr/>
      <w:r>
        <w:rPr>
          <w:b/>
        </w:rPr>
        <w:t>POSSIBLE 2023:</w:t>
      </w:r>
      <w:r>
        <w:t xml:space="preserve"> German Plans for Central Europe — https://doi.org/10.54171/2023.mg.gtocei_12</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German plans for Central Europe had already appeared in the 19th century. At the heart of the Mitteleuropa idea was the creation of an economic area under German leadership. In the literature, List is considered the father of the Mitteleuropa idea, the first systematic developer of the integration of Central and Eastern Europe under German leadership. His work ʻDas nationale System der politischen Ökonomie’ [The National System of Political Economy], in which he scientifically summarised and systematised his previous writings, was published in May 1841. In this work, List expressed his views in defense of political unity and national economy and against the teaching of Adam Smith’s school. List first advocated the realisation of a continental alliance against the English hegemony, and then, when the USA advanced, he believed that the English should also join the alliance. He wanted to promote the development of the economic region, by developing the railway and waterway network. Another famous German developer of the Mitteleuropa concepts is Friedrich Naumann. Within his work, the books and articles dealing with Mitteleuropa form a closed whole. These writings of his are closely related. Their time of origin also shows unity. Naumann elaborated his plan for Central Europe in his main work ‘Mitteleuropa’ published in November 1915. Central Europe was not to be a new state, but a</w:t>
      </w:r>
    </w:p>
    <w:p>
      <w:pPr/>
      <w:r>
        <w:rPr>
          <w:b/>
        </w:rPr>
        <w:t>POSSIBLE 2023:</w:t>
      </w:r>
      <w:r>
        <w:t xml:space="preserve"> Germanys Rearmament Plan: A Problem of Bureaucracy — https://doi.org/10.54254/2753-7064/4/20220630</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conflict in Ukraine that started on February 24th, 2022, had a transformative effect on the status of European security policy, with the most prominent outcome being Germanys break with its pacifist tradition and its policy of disarmament. The German governments plan to rebuild the Bundeswehr by raising its defense spending to 2% of its GDP, alongside the injection of a 100-billion-euro fund into its armed forces, was seen by many as the first step for Germany to a leading role in the new European Security Policy. However, increased funding is unlikely to be the deciding factor in whether Germany can successfully rearm, as the Bundeswehr is well funded in comparison to other standing armies of European states in similar economic circumstances. The main obstacle standing in the way of a successful German rearmament is Germanys bureaucracy. The Federal Office of Bundeswehr Equipment, Information Technology, and In-Service Support," or the BAAINBw, responsible for procurement of materials for the Bundeswehr, is fully anarchistic and understaffed. Germanys path to a reformed military thus hinges on whether the German government can successfully reform the BAAINBw into a more efficient federal agency.</w:t>
      </w:r>
    </w:p>
    <w:p>
      <w:pPr/>
      <w:r>
        <w:rPr>
          <w:b/>
        </w:rPr>
        <w:t>POSSIBLE 2023:</w:t>
      </w:r>
      <w:r>
        <w:t xml:space="preserve"> Representative government in south Germany and the myth of the Sonderweg — https://doi.org/10.31235/osf.io/tcwzs</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Bavaria and Württemberg were two German states in which estates-based representative government survived the early modern period, which has traditionally been considered the period when representative institutions were supposedly in decline. I will show that these two states were among those European states which preserved their representative institutions and avoided becoming “absolutist.” Germany shared a heritage of medieval constitutionalism with the other countries of Western Europe. In the early modern period, the estates of Brandenburg and East Prussia, both ruled by the Hohenzollerns, were among the strongest in Europe. I will put the developments in the south German states into a wider German and European perspective. I believe that the path of constitutional development taken by the south German states, and the other states including Prussia, showed that Germany in its entirety did in fact follow a path not that much different from the other European states, in contradiction to the theory that Germany developed differently from them, in a more absolutist and authoritarian direction.</w:t>
      </w:r>
    </w:p>
    <w:p>
      <w:pPr/>
      <w:r>
        <w:rPr>
          <w:b/>
        </w:rPr>
        <w:t>POSSIBLE 2023:</w:t>
      </w:r>
      <w:r>
        <w:t xml:space="preserve"> Unequal Responsiveness and Government Partisanship in Northwest Europe — https://doi.org/10.1017/9781009428682.003</w:t>
      </w:r>
    </w:p>
    <w:p>
      <w:pPr/>
      <w:r>
        <w:rPr>
          <w:b/>
        </w:rPr>
        <w:t>Shared claim-specific concepts:</w:t>
      </w:r>
      <w:r>
        <w:t xml:space="preserve"> government, before, all, germany; EU scope visible. This is a provisional connection, not an outcome finding.</w:t>
      </w:r>
    </w:p>
    <w:p>
      <w:pPr>
        <w:pStyle w:val="SourceNote"/>
      </w:pPr>
      <w:r>
        <w:rPr>
          <w:b/>
        </w:rPr>
        <w:t>Available abstract (not full text):</w:t>
      </w:r>
      <w:r>
        <w:t xml:space="preserve"> This paper pools datasets on policy responsiveness to public opinion in Germany, the Netherlands, Norway, and Sweden. Following the empirical strategy set out by Gilens (2012), we show that the policy outputs correspond much better to the preferences of affluent citizens than to the preferences of low- and middle-income citizens in all four countries. We proceed to explore how government partisanship conditions unequal responsiveness. In so doing, we distinguish between economic/welfare issues and other issues and we also distinguish between the period before 1998 and the period since 1998. Our findings suggest that policymaking under Left-leaning governments was relatively more responsive to low- and middle-income citizens in the economic/welfare domain before 1998, but this was not true for other policy domains before 1998 and it is no longer true for the economic/welfare domain. We conclude with some general reflections on the implications of our empirical findings for the literature on mechanisms of unequal representation in liberal democracies.</w:t>
      </w:r>
    </w:p>
    <w:p>
      <w:pPr/>
      <w:r>
        <w:rPr>
          <w:b/>
        </w:rPr>
        <w:t>POSSIBLE 2023:</w:t>
      </w:r>
      <w:r>
        <w:t xml:space="preserve"> The Role of German Economy in Europe — https://doi.org/10.54254/2753-7048/24/20230686</w:t>
      </w:r>
    </w:p>
    <w:p>
      <w:pPr/>
      <w:r>
        <w:rPr>
          <w:b/>
        </w:rPr>
        <w:t>Shared claim-specific concepts:</w:t>
      </w:r>
      <w:r>
        <w:t xml:space="preserve"> german, before, germany; EU scope visible. This is a provisional connection, not an outcome finding.</w:t>
      </w:r>
    </w:p>
    <w:p>
      <w:pPr>
        <w:pStyle w:val="SourceNote"/>
      </w:pPr>
      <w:r>
        <w:rPr>
          <w:b/>
        </w:rPr>
        <w:t>Available abstract (not full text):</w:t>
      </w:r>
      <w:r>
        <w:t xml:space="preserve"> This paper details the role that Germany and the German economy have played in Europe over time. The timeline is divided into three parts, namely the period of World War II, the period before and after German reunification, and the German economy today, and each timeline is analyzed in the context of Germany, Europe’s overall history, and the world situation at the time, with different examples and comparative analyses of individual country situations. The main reason why this article was able to get at what kind of role Germany plays in Europe is because of the gradual conclusions drawn through comparisons with the economic development of different but contemporaneous countries and Germany’s own GDP growth. In every period of Europe’s development, the German economy has had a greater influence and guidance on Europe as a whole and on some countries, and in most cases has played a dominant, leading role, despite the blows and impacts of World War II on the development of the economy.</w:t>
      </w:r>
    </w:p>
    <w:p>
      <w:pPr/>
      <w:r>
        <w:rPr>
          <w:b/>
        </w:rPr>
        <w:t>POSSIBLE 2022:</w:t>
      </w:r>
      <w:r>
        <w:t xml:space="preserve"> National Recovery and Resilience Plan: Germany — https://doi.org/10.6092/issn.1561-8048/15651</w:t>
      </w:r>
    </w:p>
    <w:p>
      <w:pPr/>
      <w:r>
        <w:rPr>
          <w:b/>
        </w:rPr>
        <w:t>Shared claim-specific concepts:</w:t>
      </w:r>
      <w:r>
        <w:t xml:space="preserve"> german, government, electricity, germany; EU scope visible. This is a provisional connection, not an outcome finding.</w:t>
      </w:r>
    </w:p>
    <w:p>
      <w:pPr>
        <w:pStyle w:val="SourceNote"/>
      </w:pPr>
      <w:r>
        <w:rPr>
          <w:b/>
        </w:rPr>
        <w:t>Available abstract (not full text):</w:t>
      </w:r>
      <w:r>
        <w:t xml:space="preserve"> By helping to give birth to the establishment of NextGenerationEU and the Recovery and Resilience Facility, the German government made a U-turn in relation to the Covid-19 pandemic compared with its earlier austerity approach in the management of the Euro crisis. Opposition to the new European debt and transfer instruments has been silent and political leaders have integrated the additional grants into their planning processes concerning changing the country’s energy supply and expanding digitalisation. While the Recovery and Resilience Plan was assessed positively, some preconditions for implementing it still seem to be missing, such as better electricity and high-capacity broadband networks. The process of transforming the German economy structurally to be greener and more digitalised has, however, neglected the social implications. While a minor proportion of the RRP will be spent on strengthening social resilience, many vulnerable groups are not in the focus of the state’s activities. The EU’s conclusions in the 2019 Country Specific Recommendations are treated rather in economic than in social terms. A sustainable new growth model would need to tackle also long-standing problems such as the high external surplus, the low public investment rate, income inequality and the relatively high at-risk-of-poverty rate.</w:t>
      </w:r>
    </w:p>
    <w:p>
      <w:pPr/>
      <w:r>
        <w:rPr>
          <w:b/>
        </w:rPr>
        <w:t>POSSIBLE 2022:</w:t>
      </w:r>
      <w:r>
        <w:t xml:space="preserve"> The politics of government reorganization in Western Europe — https://doi.org/10.1111/gove.12670</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The reorganization of governments is crucial for parties to express their policy preferences once they reach office. Yet these activities are not confined to the direct aftermath of general elections or to wide‐ranging structural reforms. Instead, governments reorganize and adjust their machinery of government all the time. This paper aims to assess these structural choices with a particular focus at the core of the state, comparing four Western European democracies (Germany, France, the Netherlands, and United Kingdom) from 1980 to 2013. Our empirical analysis shows that stronger shifts in cabinets' ideological profiles in the short‐ and long‐term as well as the units' proximity to political executives yield significant effects. In contrast, Conservative governments, commonly regarded as key promoters of reorganizing governments, are not significant for the likelihood of structural change. We discuss the effects of this politics of government reorganization for different research debates assessing the inner workings of governments.</w:t>
      </w:r>
    </w:p>
    <w:p>
      <w:pPr/>
      <w:r>
        <w:rPr>
          <w:b/>
        </w:rPr>
        <w:t>POSSIBLE 2022:</w:t>
      </w:r>
      <w:r>
        <w:t xml:space="preserve"> Introduction: Secret Services and the Arms Trade in German-Speaking Europe — https://doi.org/10.1353/gych.2022.0000</w:t>
      </w:r>
    </w:p>
    <w:p>
      <w:pPr/>
      <w:r>
        <w:rPr>
          <w:b/>
        </w:rPr>
        <w:t>Shared claim-specific concepts:</w:t>
      </w:r>
      <w:r>
        <w:t xml:space="preserve"> german, government, even, before, all, germany; EU scope visible. This is a provisional connection, not an outcome finding.</w:t>
      </w:r>
    </w:p>
    <w:p>
      <w:pPr>
        <w:pStyle w:val="SourceNote"/>
      </w:pPr>
      <w:r>
        <w:rPr>
          <w:b/>
        </w:rPr>
        <w:t>Available abstract (not full text):</w:t>
      </w:r>
      <w:r>
        <w:t xml:space="preserve"> IntroductionSecret Services and the Arms Trade in German-Speaking Europe William Glenn Gray (bio) and Thomas Schlemmer (bio) At the time of this writing, in the early months of 2022, an impassioned debate swept Germany concerning the prospect of military exports to Ukraine. The "traffic light" governing coalition in Berlin, uniting the Social Democratic Party (SPD), Greens, and the Free Democratic Party (FDP), initially turned down Kyiv's request to supply lethal weapons; it even barred Estonia from reexporting D-30 howitzers left over from East Germany's Cold War stocks. Explaining the decision, Chancellor Olaf Scholz (SPD) invoked Germany's long-standing policy of barring weapons exports to conflict zones. "Our restrictive position is well known and is rooted in history," remarked Foreign Minister Annalena Baerbock (Greens) in Kyiv in mid-January.1 The federal government knew it had public opinion on its side. Three weeks before Russian President Vladimir Putin sent his soldiers marching into Ukraine, a representative opinion poll showed 71 percent of respondents rejecting German weapons shipments to Ukraine; only 20 percent were in favor.2 The results were in keeping with the dominant German self-understanding since the fall of the Berlin Wall and the collapse of the Soviet Union, namely, that the Federal Republic of Germany (FRG) was a civilian power, perhaps even a force f</w:t>
      </w:r>
    </w:p>
    <w:p>
      <w:pPr>
        <w:pStyle w:val="Heading2"/>
      </w:pPr>
      <w:r>
        <w:t>590.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2024:</w:t>
      </w:r>
      <w:r>
        <w:t xml:space="preserve"> A new approach for national-scale Building Energy Models based on Energy Performance Certificates in European countries: The case of Spain — https://doi.org/10.1016/j.heliyon.2024.e25473</w:t>
      </w:r>
    </w:p>
    <w:p>
      <w:pPr/>
      <w:r>
        <w:rPr>
          <w:b/>
        </w:rPr>
        <w:t>Shared claim-specific concepts:</w:t>
      </w:r>
      <w:r>
        <w:t xml:space="preserve"> case, energy, based, four; EU scope visible. This is a provisional connection, not an outcome finding.</w:t>
      </w:r>
    </w:p>
    <w:p>
      <w:pPr>
        <w:pStyle w:val="SourceNote"/>
      </w:pPr>
      <w:r>
        <w:rPr>
          <w:b/>
        </w:rPr>
        <w:t>Available abstract (not full text):</w:t>
      </w:r>
      <w:r>
        <w:t xml:space="preserve"> Urban Building Energy Models (UBEMs) are useful instruments to know the energy consumption of building stocks at urban and national levels. UBEMs can be classified into different types and subtypes. The current detailed physics-based bottom-up UBEMs at a national scale play a crucial role in assessing the energy efficiency of national building stocks and defining improvement strategies. These models heavily rely on archetypes and energy simulations, demanding significant computational resources. We propose here a new type of national-scale detailed physics-based UBEM based on Energy Performance Certificates (EPCs), and other open big data, which has the advantage that it can be automatically updated, in a short time, and with standard computer means. In this paper, we define the methodology to build this new type of national-scale EPC-based UBEM. We have checked that the model for the case of Spain can be automatically generated and updated in less than 6 h with a standard computer, and it generates results that match official data in more than 98 % for four indicators. The generated model contains information about 10,939,801 buildings in Spain, out of which 1,202,708 have EPCs. The model allows us to map and analyse the buildings in the country by integrating multiple variables of different nature, such as geographical (Autonomous Community, municipality, type of municipality</w:t>
      </w:r>
    </w:p>
    <w:p>
      <w:pPr/>
      <w:r>
        <w:rPr>
          <w:b/>
        </w:rPr>
        <w:t>POSSIBLE 2024:</w:t>
      </w:r>
      <w:r>
        <w:t xml:space="preserve"> Ranking the Barriers to the Energy Upgrading of Buildings Using the Best-Worst Method — https://doi.org/10.3390/su162210143</w:t>
      </w:r>
    </w:p>
    <w:p>
      <w:pPr/>
      <w:r>
        <w:rPr>
          <w:b/>
        </w:rPr>
        <w:t>Shared claim-specific concepts:</w:t>
      </w:r>
      <w:r>
        <w:t xml:space="preserve"> energy, based; EU scope visible. This is a provisional connection, not an outcome finding.</w:t>
      </w:r>
    </w:p>
    <w:p>
      <w:pPr>
        <w:pStyle w:val="SourceNote"/>
      </w:pPr>
      <w:r>
        <w:rPr>
          <w:b/>
        </w:rPr>
        <w:t>Available abstract (not full text):</w:t>
      </w:r>
      <w:r>
        <w:t xml:space="preserve"> The global need to reduce energy demand has led European governments to accelerate their endeavors to achieve their targets regarding nearly zero-energy buildings. Despite the implementation of funding initiatives for the energy upgrading of buildings in EU member states and other European countries, research has shown that the absorption rates of the offered funds remain low. This research aims to assess the significance of the barriers to improving the energy efficiency of Greece’s building stock. This is achieved by ranking the identified barriers using the best-worst method (BWM). The innovation provided by this study is that the data obtained are based on the experience of three categories of stakeholders, including professionals in the field, i.e., engineers and skilled workers, and homeowners. The results show that all three groups are discouraged from performing the energy upgrading of buildings due to economic barriers but also technological barriers related to a lack of training in the use of and slow development of related new technologies.</w:t>
      </w:r>
    </w:p>
    <w:p>
      <w:pPr/>
      <w:r>
        <w:rPr>
          <w:b/>
        </w:rPr>
        <w:t>POSSIBLE 2024:</w:t>
      </w:r>
      <w:r>
        <w:t xml:space="preserve"> A Case Study on Electric Vehicles as Nationwide Battery Storage to Meet Slovenia’s Final Energy Consumption with Solar Energy — https://doi.org/10.3390/en17112733</w:t>
      </w:r>
    </w:p>
    <w:p>
      <w:pPr/>
      <w:r>
        <w:rPr>
          <w:b/>
        </w:rPr>
        <w:t>Shared claim-specific concepts:</w:t>
      </w:r>
      <w:r>
        <w:t xml:space="preserve"> case, final, energy, based; EU scope visible. This is a provisional connection, not an outcome finding.</w:t>
      </w:r>
    </w:p>
    <w:p>
      <w:pPr>
        <w:pStyle w:val="SourceNote"/>
      </w:pPr>
      <w:r>
        <w:rPr>
          <w:b/>
        </w:rPr>
        <w:t>Available abstract (not full text):</w:t>
      </w:r>
      <w:r>
        <w:t xml:space="preserve"> Despite the global importance of solar energy, its variability requires energy storage to balance production during peak and off-peak periods. Moreover, the transport sector is undergoing a global transition from internal combustion engines to electric vehicles. Since vehicles are idle 95% of the time, electric vehicle batteries, when connected to a grid, can effectively regulate intermittent photovoltaics using vehicle-to-grid technology. This conceptual study investigates the feasibility of a nationwide energy infrastructure that relies solely on solar energy, replacing other electricity sources, such as solid fuels, petroleum products, and natural gas, and utilizes electric vehicles as the sole battery energy storage system. This study aims to demonstrate the significant potential and benefits of such collaboration. The theoretical study combines historical data, assumptions, and conditions to build a simulation model that is modelled similarly as in previous conceptual studies of nationwide energy systems based solely on photovoltaics and electric vehicles, referenced in this article. In Slovenia, the total surface size suitable for the installation of photovoltaic systems is estimated to be 280 km2. The calculations show that a surface size of 217 km2 for photovoltaic systems can produce enough energy to cover Slovenia’s entire energy demand, Slovenia’s final energy consum</w:t>
      </w:r>
    </w:p>
    <w:p>
      <w:pPr/>
      <w:r>
        <w:rPr>
          <w:b/>
        </w:rPr>
        <w:t>POSSIBLE 2023:</w:t>
      </w:r>
      <w:r>
        <w:t xml:space="preserve"> Future sea level rise dominates changes in worst case extreme sea levels along the global coastline by 2100 — https://doi.org/10.1088/1748-9326/acb504</w:t>
      </w:r>
    </w:p>
    <w:p>
      <w:pPr/>
      <w:r>
        <w:rPr>
          <w:b/>
        </w:rPr>
        <w:t>Shared claim-specific concepts:</w:t>
      </w:r>
      <w:r>
        <w:t xml:space="preserve"> worst, case, increase; EU scope visible. This is a provisional connection, not an outcome finding.</w:t>
      </w:r>
    </w:p>
    <w:p>
      <w:pPr>
        <w:pStyle w:val="SourceNote"/>
      </w:pPr>
      <w:r>
        <w:rPr>
          <w:b/>
        </w:rPr>
        <w:t>Available abstract (not full text):</w:t>
      </w:r>
      <w:r>
        <w:t xml:space="preserve"> Abstract We provide the magnitude of a worst case scenario for extreme sea levels (ESLs) along the global coastline by 2100. This worst case scenario for ESLs is calculated as a combination of sea surface height associated with storm surge and wave (100 year return period, the 95th percentile), high tide (the 95th percentile) and a low probability sea level rise scenario (the 95th percentile). Under these conditions, end-of-21st century ESLs have a 5% chance of exceeding 4.2 m (global coastal average), compared to 2.6 m during the baseline period (1980–2014). By 2100 almost 45% of the global coastline would experience ESLs above the global mean of 4.2 m, with up to 9–10 m for the East China Sea, Japan and North European coastal areas. Up to 86% of coastal locations would face ESLs above 3 m (100 year return period) by 2100, compared to 33% currently. Up to 90% of increases in magnitude of ESLs are driven by future sea level rise, compare to 10% associated with changes in storm surges and waves. By 2030–2040 the present-day 100 year return period for ESLs would be experienced at least once a year in tropical areas. This 100-fold increase in frequency will take place on all global coastlines by 2100.</w:t>
      </w:r>
    </w:p>
    <w:p>
      <w:pPr/>
      <w:r>
        <w:rPr>
          <w:b/>
        </w:rPr>
        <w:t>POSSIBLE 2023:</w:t>
      </w:r>
      <w:r>
        <w:t xml:space="preserve"> Energy security of the European Union and corruption in Central Asia as the main challenges for the European sustainable energy future — https://doi.org/10.1186/s13705-023-00406-3</w:t>
      </w:r>
    </w:p>
    <w:p>
      <w:pPr/>
      <w:r>
        <w:rPr>
          <w:b/>
        </w:rPr>
        <w:t>Shared claim-specific concepts:</w:t>
      </w:r>
      <w:r>
        <w:t xml:space="preserve"> case, they, energy; EU scope visible. This is a provisional connection, not an outcome finding.</w:t>
      </w:r>
    </w:p>
    <w:p>
      <w:pPr>
        <w:pStyle w:val="SourceNote"/>
      </w:pPr>
      <w:r>
        <w:rPr>
          <w:b/>
        </w:rPr>
        <w:t>Available abstract (not full text):</w:t>
      </w:r>
      <w:r>
        <w:t xml:space="preserve"> Abstract Background The main goal of the paper is to define, analyze and assess the basic security, development and institutional challenges faced by the Central Asian countries after 2022. Following the Covid-19 pandemic, and with the outbreak of the Ukrainian crisis, Europe faced the need to find other sources of energy supply outside the Russian Federation. The Central Asian region is rich in energy resources and is therefore of special importance, but at the same time it is also a region of special geopolitical interest of often conflicting parties - the region for which there are limited information and insufficient academic literature about development, various aspects of security, internal specificities and future challenges. Methods The research included qualitative and quantitative analyses carried out for Kazakhstan, the Kyrgyz Republic, Turkmenistan, Uzbekistan and Tajikistan. Data processing was performed on the basis of 16 selected indicators in the fields of economy, energy, governance and climate change, for the time period from 2011 to 2021. Data processing was performed using the correlation and regression analysis (ANOVA). Results The results showed that energy policy and corruption represent one of the biggest problems faced by the countries of Central Asia, which strongly affects the energy security and sustainable development, not only of the countries of C</w:t>
      </w:r>
    </w:p>
    <w:p>
      <w:pPr/>
      <w:r>
        <w:rPr>
          <w:b/>
        </w:rPr>
        <w:t>POSSIBLE 2022:</w:t>
      </w:r>
      <w:r>
        <w:t xml:space="preserve"> Worst Cases and Reality — https://doi.org/10.1353/apr.2022.0008</w:t>
      </w:r>
    </w:p>
    <w:p>
      <w:pPr/>
      <w:r>
        <w:rPr>
          <w:b/>
        </w:rPr>
        <w:t>Shared claim-specific concepts:</w:t>
      </w:r>
      <w:r>
        <w:t xml:space="preserve"> worst, case, increase, based, four; EU scope visible. This is a provisional connection, not an outcome finding.</w:t>
      </w:r>
    </w:p>
    <w:p>
      <w:pPr>
        <w:pStyle w:val="SourceNote"/>
      </w:pPr>
      <w:r>
        <w:rPr>
          <w:b/>
        </w:rPr>
        <w:t>Available abstract (not full text):</w:t>
      </w:r>
      <w:r>
        <w:t xml:space="preserve"> Worst Cases and Reality Walter C. Clemens Jr. (bio) Samuel F. Wells. Fearing the Worst: How Korea Transformed the Cold War. New York: Columbia University Press, 2020. Charles J. Hanley. Ghost Flames: Life and Death in a Hidden War, Korea 1950–1953. New York: PublicAffairs, 2020. Based mainly on official documents and scholarly writings, fearing the Worst reviews the Korean War mainly from the perspective of governments. Ghost Flames views the war as experienced by twenty individuals. It is based on interviews and private papers as well as archival documents and reports by the South Korean Truth and Reconciliation Commission. Taken together, these two books provide a top-down and bottom-up picture of terrible events that still haunt and ricochet in world affairs. Actions derive from perceptions and hopes that produce beliefs or, at least, working assumptions. Sometimes reality intrudes to challenge or reinforce those assumptions. All the major powers from the late 1940s to the early 1950s were like blind people bumping into one another in a forest. The Truman administration believed that Stalin and Mao Zedong were close partners determined to spread communism. Not until war began did Washington see North Korea as a threat to peace and stability. American leaders in 1949 and 1950 said that the US defense perimeter excluded Taiwan and the Republic of Korea (ROK). The United States</w:t>
      </w:r>
    </w:p>
    <w:p>
      <w:pPr/>
      <w:r>
        <w:rPr>
          <w:b/>
        </w:rPr>
        <w:t>POSSIBLE 2022:</w:t>
      </w:r>
      <w:r>
        <w:t xml:space="preserve"> Minimization of the Worst Case Average Energy Consumption in UAV-Assisted IoT Networks — https://doi.org/10.1109/jiot.2022.3150419</w:t>
      </w:r>
    </w:p>
    <w:p>
      <w:pPr/>
      <w:r>
        <w:rPr>
          <w:b/>
        </w:rPr>
        <w:t>Shared claim-specific concepts:</w:t>
      </w:r>
      <w:r>
        <w:t xml:space="preserve"> worst, case, energy; EU scope not established. This is a provisional connection, not an outcome finding.</w:t>
      </w:r>
    </w:p>
    <w:p>
      <w:pPr>
        <w:pStyle w:val="SourceNote"/>
      </w:pPr>
      <w:r>
        <w:rPr>
          <w:b/>
        </w:rPr>
        <w:t>Available abstract (not full text):</w:t>
      </w:r>
      <w:r>
        <w:t xml:space="preserve"> The Internet of Things (IoT) brings connectivity to a massive number of devices that demand energy-efficient solutions to deal with limited battery capacities, uplink-dominant traffic, and channel impairments. In this work, we explore the use of Unmanned Aerial Vehicles (UAVs) equipped with configurable antennas as a flexible solution for serving low-power IoT networks. We formulate an optimization problem to set the position and antenna beamwidth of the UAV, and the transmit power of the IoT devices subject to average-Signal-to-average-Interference-plus-Noise Ratio Quality of Service (QoS) constraints. We minimize the worst-case average energy consumption of the latter, thus, targeting the fairest allocation of the energy resources. The problem is non-convex and highly non-linear; therefore, we re-formulate it as a series of three geometric programs that can be solved iteratively. Results reveal the benefits of planning the network compared to a random deployment in terms of reducing the worst-case average energy consumption. Furthermore, we show that the target average-Signal-to-average-Interference-plus-Noise Ratio is limited by the number of IoT devices, and highlight the dominant impact of the UAV hovering height when serving wider areas. Our proposed algorithm outperforms other optimization benchmarks in terms of minimizing the average energy consumption at the most energ</w:t>
      </w:r>
    </w:p>
    <w:p>
      <w:pPr/>
      <w:r>
        <w:rPr>
          <w:b/>
        </w:rPr>
        <w:t>POSSIBLE 2022:</w:t>
      </w:r>
      <w:r>
        <w:t xml:space="preserve"> Design and performance predictions of plus energy neighbourhoods – Case studies of demonstration projects in four different European climates — https://doi.org/10.1016/j.enbuild.2022.112447</w:t>
      </w:r>
    </w:p>
    <w:p>
      <w:pPr/>
      <w:r>
        <w:rPr>
          <w:b/>
        </w:rPr>
        <w:t>Shared claim-specific concepts:</w:t>
      </w:r>
      <w:r>
        <w:t xml:space="preserve"> worst, case, energy, based, four; EU scope visible. This is a provisional connection, not an outcome finding.</w:t>
      </w:r>
    </w:p>
    <w:p>
      <w:pPr>
        <w:pStyle w:val="SourceNote"/>
      </w:pPr>
      <w:r>
        <w:rPr>
          <w:b/>
        </w:rPr>
        <w:t>Available abstract (not full text):</w:t>
      </w:r>
      <w:r>
        <w:t xml:space="preserve"> The article presents the design of four plus energy neighbourhood demonstration projects located in different climate zones in Europe. The demo projects are a part of the Horizon 2020 project ‘syn.ikia’, which aims to enable the development of sustainable plus energy neighbourhoods in different climates and contexts. In this article, we describe the active and passive building strategies and analyse the robustness of the designs with respect to different scenarios of climate change, user behaviour, and energy flexibility. Analyses were performed based on the primary energy balance, including space heating and cooling, ventilation, domestic hot water, and lighting. The performance predictions indicate that all demonstration projects may attain the plus energy balance according to the syn.ikia definition. This was achieved with high performing envelopes, efficient HVAC systems, and onsite renewable energy systems to cover the energy demand. The analysis shows that there is a significant potential for increased self-consumption of photovoltaic energy by adjusting the heating schedules and including electric vehicle charging. Testing of the designs with respect to varying climates and user-behaviours showed that there could be an increased risk of overheating, and that some of the designs may not achieve the positive energy balance in case of ‘worst case’ user behaviour scenarios.</w:t>
      </w:r>
    </w:p>
    <w:p>
      <w:pPr/>
      <w:r>
        <w:rPr>
          <w:b/>
        </w:rPr>
        <w:t>POSSIBLE 2022:</w:t>
      </w:r>
      <w:r>
        <w:t xml:space="preserve"> Analysing the real-world fuel and energy consumption of conventional and electric cars in Europe — https://doi.org/10.1016/j.enconman.2022.116161</w:t>
      </w:r>
    </w:p>
    <w:p>
      <w:pPr/>
      <w:r>
        <w:rPr>
          <w:b/>
        </w:rPr>
        <w:t>Shared claim-specific concepts:</w:t>
      </w:r>
      <w:r>
        <w:t xml:space="preserve"> worst, case, energy; EU scope visible. This is a provisional connection, not an outcome finding.</w:t>
      </w:r>
    </w:p>
    <w:p>
      <w:pPr>
        <w:pStyle w:val="SourceNote"/>
      </w:pPr>
      <w:r>
        <w:rPr>
          <w:b/>
        </w:rPr>
        <w:t>Available abstract (not full text):</w:t>
      </w:r>
      <w:r>
        <w:t xml:space="preserve"> The transport sector constitutes one of the main sources of greenhouse gas emissions in the European Union. Although the literature is rich in studies assessing the factors influencing energy consumption in real world driving, few analyse the divergence between certified and real-world consumption on a fleet level and annual temporal resolution. The present work builds on the findings of previous studies to provide a complete simulation-based approach for fleet-level projections in real-world scenarios. A tailored simulation framework for fleet-wide analysis has been updated and validated extensively for current vehicle configurations. In addition to modelling, the analysis used data describing real-world conditions and vehicle characteristics representative of the European passenger car fleet and operation profile. Validation demonstrates good accuracy in simulating the vehicle measured consumption values with a near-zero mean error when simulating laboratory and on-road measurements. The impact of the certification procedure was quantified at 6% for both the combustion engine and battery electric vehicles. The influence of real-world factors such as traffic, ambient temperature and cabin air conditioning was quantified, and the results show a greater energy impact in the cold than in warm conditions. Different operating conditions were simulated to investigate the model’s cap</w:t>
      </w:r>
    </w:p>
    <w:p>
      <w:pPr/>
      <w:r>
        <w:rPr>
          <w:b/>
        </w:rPr>
        <w:t>POSSIBLE 2022:</w:t>
      </w:r>
      <w:r>
        <w:t xml:space="preserve"> Energy communities as demand-side innovators? Assessing the potential of European cases to reduce demand and foster flexibility — https://doi.org/10.1016/j.erss.2022.102848</w:t>
      </w:r>
    </w:p>
    <w:p>
      <w:pPr/>
      <w:r>
        <w:rPr>
          <w:b/>
        </w:rPr>
        <w:t>Shared claim-specific concepts:</w:t>
      </w:r>
      <w:r>
        <w:t xml:space="preserve"> case, increase, energy, based; EU scope visible. This is a provisional connection, not an outcome finding.</w:t>
      </w:r>
    </w:p>
    <w:p>
      <w:pPr>
        <w:pStyle w:val="SourceNote"/>
      </w:pPr>
      <w:r>
        <w:rPr>
          <w:b/>
        </w:rPr>
        <w:t>Available abstract (not full text):</w:t>
      </w:r>
      <w:r>
        <w:t xml:space="preserve"> Energy communities (ECs) are widely recognised for their potential to generate renewable energy. By contrast, the capacity of ECs to reduce energy demand and foster flexibility has attracted little attention to date, despite their theoretical potential to do so. To address this gap, we apply three perspectives – social representations theory, actor-network theory, and business models – to the analysis of nine case studies based in six European countries (Germany, Italy, Slovenia, Sweden, Netherlands, and United Kingdom). The core of the article comprises analysis of the nine cases from each perspective. Our results highlight the (un)intended effects of ECs on the energy representations of members; the configurational work required by focal actors to assemble new socio-technical configurations; and the value creation and capture opportunities open to ECs in the creation of novel business models; These factors in turn impact whether and how ECs achieve demand reduction and flexibility. We summarise and discuss these results in a process of meta-theoretical triangulation to produce a multifaceted and relational account of the potential of ECs to develop demand-side solutions. This leads us to conclude that ECs have a distinct capacity to develop demand-side solutions, rooted in the creation of innovative socio-technical configurations; and that this distinct capacity of ECs has th</w:t>
      </w:r>
    </w:p>
    <w:p>
      <w:pPr/>
      <w:r>
        <w:rPr>
          <w:b/>
        </w:rPr>
        <w:t>POSSIBLE 2022:</w:t>
      </w:r>
      <w:r>
        <w:t xml:space="preserve"> Technology Road-Mapping of Final-Energy Generator Technologies, for the Industrial Sector, in Developed European Economies — https://doi.org/10.12700/aph.19.4.2022.4.4</w:t>
      </w:r>
    </w:p>
    <w:p>
      <w:pPr/>
      <w:r>
        <w:rPr>
          <w:b/>
        </w:rPr>
        <w:t>Shared claim-specific concepts:</w:t>
      </w:r>
      <w:r>
        <w:t xml:space="preserve"> energy, based, developed; EU scope visible. This is a provisional connection, not an outcome finding.</w:t>
      </w:r>
    </w:p>
    <w:p>
      <w:pPr>
        <w:pStyle w:val="SourceNote"/>
      </w:pPr>
      <w:r>
        <w:rPr>
          <w:b/>
        </w:rPr>
        <w:t>Available abstract (not full text):</w:t>
      </w:r>
      <w:r>
        <w:t xml:space="preserve"> The goal of this paper is to investigate the details of final-energy generation technologies for industrial energy systems.Currently, sustainable development, environmental aspects and economy are of paramount importance and these technologies play a very significant role in all of them.Moreover, the unpredictability of political, ecological and economic conditions poses a significant uncertainty for companies dealing with these products.To address this problem, a technology road-mapping framework was developed to facilitate the understanding of the environmental and technological maturity effects on these products, from the supplier companies' point of view.In the frame of this investigation, the macro-and micro-environments were examined, then summarized, with the resulting opportunities and threats for the manufacturing firms.Based on the concluding roadmap, mid-and long-term trends can be identified, which are then available to support company-specific research.</w:t>
      </w:r>
    </w:p>
    <w:p>
      <w:pPr>
        <w:pStyle w:val="Heading2"/>
      </w:pPr>
      <w:r>
        <w:t>591.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2026:</w:t>
      </w:r>
      <w:r>
        <w:t xml:space="preserve"> Exploring European Memory of the 1897 Lattimer Massacre with Predictive AI — https://doi.org/10.1007/s10761-026-00818-9</w:t>
      </w:r>
    </w:p>
    <w:p>
      <w:pPr/>
      <w:r>
        <w:rPr>
          <w:b/>
        </w:rPr>
        <w:t>Shared claim-specific concepts:</w:t>
      </w:r>
      <w:r>
        <w:t xml:space="preserve"> following, sources, conditions; EU scope visible. This is a provisional connection, not an outcome finding.</w:t>
      </w:r>
    </w:p>
    <w:p>
      <w:pPr>
        <w:pStyle w:val="SourceNote"/>
      </w:pPr>
      <w:r>
        <w:rPr>
          <w:b/>
        </w:rPr>
        <w:t>Available abstract (not full text):</w:t>
      </w:r>
      <w:r>
        <w:t xml:space="preserve"> Abstract Some historical archaeologists work in places colonized by countries whose language is other than that spoken by the researcher. Many of these projects have not consulted the relevant foreign-language literature, which could provide additional context for interpreting their findings. Predictive AI offers the unique advantage of rapidly accessing, translating, and synthesizing foreign language sources that may otherwise remain inaccessible due to language barriers. The following is an example of a little known international labor tragedy that occurred in northeastern Pennsylvania in 1897, when immigrant coal miners went on strike for better pay and working conditions. At least 19 men were killed and 38 wounded, and most of the victims were citizens of the Austro-Hungarian Empire. Much of the incident and its aftermath have been reconstructed using English-language newspapers, court records, and oral histories. Due to language barriers, scholars have not examined how the victims' home countries recorded and perceived the incident. Using predictive AI enables researchers to create workable translations of these perspectives with a level of speed and scale previously unattainable, broadening the historical context of this incident. This approach provides an example for others whose work spans international boundaries and languages.</w:t>
      </w:r>
    </w:p>
    <w:p>
      <w:pPr/>
      <w:r>
        <w:rPr>
          <w:b/>
        </w:rPr>
        <w:t>POSSIBLE 2026:</w:t>
      </w:r>
      <w:r>
        <w:t xml:space="preserve"> Source code for "How Much EEG Is Needed for Deep Learning with Convolutional Neural Networks? Predicting the Benefit from Additional Data" — https://doi.org/10.5281/zenodo.18403059</w:t>
      </w:r>
    </w:p>
    <w:p>
      <w:pPr/>
      <w:r>
        <w:rPr>
          <w:b/>
        </w:rPr>
        <w:t>Shared claim-specific concepts:</w:t>
      </w:r>
      <w:r>
        <w:t xml:space="preserve"> following, sources, within; EU scope visible. This is a provisional connection, not an outcome finding.</w:t>
      </w:r>
    </w:p>
    <w:p>
      <w:pPr>
        <w:pStyle w:val="SourceNote"/>
      </w:pPr>
      <w:r>
        <w:rPr>
          <w:b/>
        </w:rPr>
        <w:t>Available abstract (not full text):</w:t>
      </w:r>
      <w:r>
        <w:t xml:space="preserve"> This source code enables the reproduction of all results in the paper, including the generation of training data subsets, the fitting of different learning curve models, and the prediction for larger datasets. For details about the method, please refer to the following publication: Seibel et al. (2026) How Much EEG Is Needed for Deep Learning with Convolutional Neural Networks? Predicting the Benefit from Additional Data. Journal of Neural Engineering, https://doi.org/10.1088/1741-2552/ae453d When using the code or the data, please cite the corresponding paper. Thank you. Acknowledgments and Funding Sources The research was supported by the Free State of Thuringia grant ThiMEDOP (2018 IZN 0004) with funds from the European Union (EFRE), the German Federal Ministry of Education and Research (BMBF) grants AVATAR and AVATAR-Transfer (16KISA024 and 16KIS2583, funded by the European Union - NextGenerationEU), by the Carl Zeiss Stiftung under the CZS Breakthroughs programme within the ”PollenNet” project (Grant number: P2022-08-006), and the German Academic Exchange Service (DAAD PPP 57599925).</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r>
        <w:rPr>
          <w:b/>
        </w:rPr>
        <w:t>POSSIBLE 2024:</w:t>
      </w:r>
      <w:r>
        <w:t xml:space="preserve"> TOPAS-CH4: a service for methane monitoring, source attribution and emission reduction over Europe — https://doi.org/10.5194/egusphere-egu24-8844</w:t>
      </w:r>
    </w:p>
    <w:p>
      <w:pPr/>
      <w:r>
        <w:rPr>
          <w:b/>
        </w:rPr>
        <w:t>Shared claim-specific concepts:</w:t>
      </w:r>
      <w:r>
        <w:t xml:space="preserve"> predicted, following, sources, identify; EU scope visible. This is a provisional connection, not an outcome finding.</w:t>
      </w:r>
    </w:p>
    <w:p>
      <w:pPr>
        <w:pStyle w:val="SourceNote"/>
      </w:pPr>
      <w:r>
        <w:rPr>
          <w:b/>
        </w:rPr>
        <w:t>Available abstract (not full text):</w:t>
      </w:r>
      <w:r>
        <w:t xml:space="preserve">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within, aim, conditions;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following, sources, within, aim, define;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solar, energy, conditions;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Prospects for the use of artificial intelligence to predict the spread of tuberculosis infection in the WHO European Region — https://doi.org/10.30978/tb2023-2-86</w:t>
      </w:r>
    </w:p>
    <w:p>
      <w:pPr/>
      <w:r>
        <w:rPr>
          <w:b/>
        </w:rPr>
        <w:t>Shared claim-specific concepts:</w:t>
      </w:r>
      <w:r>
        <w:t xml:space="preserve"> following, identify, conditions; EU scope visible. This is a provisional connection, not an outcome finding.</w:t>
      </w:r>
    </w:p>
    <w:p>
      <w:pPr>
        <w:pStyle w:val="SourceNote"/>
      </w:pPr>
      <w:r>
        <w:rPr>
          <w:b/>
        </w:rPr>
        <w:t>Available abstract (not full text):</w:t>
      </w:r>
      <w:r>
        <w:t xml:space="preserve"> Objective — to analyze the prospects of using artificial intelligence and neural networks to create a geospa­tial model of TB transmission and forecast its spread in the WHO European Region using available analytical databases. Materials and methods. The research was carried out for the period October 2022 — March 2023. Digital access to the following full-text and abstract databases was used as the main source of research: the EBSCO Information Base Package, the world’s largest single abstract and scientific metric platform Scopus, the freely accessible search system Google Scholar, MEDLINE with Full Text, Dyna Med Plus, EBSCO eBooks Clinical Collection, the abstract and scientific metric database of scientific publications of the Thomson Reuters Web of Science Core Collection WoS, statistical data from the Ministry of Health of Ukraine and the Public Health Center, SCIE, SSCI, the online database of the National Scientific Medical Library of Ukraine, AHCI. Results and discussion. Migration processes in Europe still remain a global trend and create difficulties for countries that receive migrants. Adverse living conditions, close contact, poor nutrition, mental and physical stress are what refugees and migrants face. The combination of these risk factors and insufficient access to health services increases the vulnerability of refugees to TB infection. In addition, a delay in </w:t>
      </w:r>
    </w:p>
    <w:p>
      <w:pPr/>
      <w:r>
        <w:rPr>
          <w:b/>
        </w:rPr>
        <w:t>POSSIBLE 2023:</w:t>
      </w:r>
      <w:r>
        <w:t xml:space="preserve"> Correcting Subseasonal Forecast Errors with an Explainable ANN to Understand Misrepresented Sources of Predictability of European Summer Temperatures — https://doi.org/10.1175/aies-d-22-0047.1</w:t>
      </w:r>
    </w:p>
    <w:p>
      <w:pPr/>
      <w:r>
        <w:rPr>
          <w:b/>
        </w:rPr>
        <w:t>Shared claim-specific concepts:</w:t>
      </w:r>
      <w:r>
        <w:t xml:space="preserve"> predicted, following, sources, conditions, reasons, need; EU scope visible. This is a provisional connection, not an outcome finding.</w:t>
      </w:r>
    </w:p>
    <w:p>
      <w:pPr>
        <w:pStyle w:val="SourceNote"/>
      </w:pPr>
      <w:r>
        <w:rPr>
          <w:b/>
        </w:rPr>
        <w:t>Available abstract (not full text):</w:t>
      </w:r>
      <w:r>
        <w:t xml:space="preserve"> Abstract Subseasonal forecasts are challenging for numerical weather prediction (NWP) and machine learning models alike. Forecasting 2-m temperature (t2m) with a lead time of 2 or more weeks requires a forward model to integrate multiple complex interactions, like oceanic and land surface conditions leading to predictable weather patterns. NWP models represent these interactions imperfectly, meaning that in certain conditions, errors accumulate and model predictability deviates from real predictability, often for poorly understood reasons. To advance that understanding, this paper corrects conditional errors in NWP forecasts with an artificial neural network (ANN). The ANN postprocesses ECMWF extended-range summer temperature forecasts by learning to correct the ECMWF-predicted probability that monthly t2m in western and central Europe exceeds the climatological median. Predictors are objectively selected from ECMWF forecasts themselves, and from states at initialization, i.e., the ERA5 reanalysis. The latter allows the ANN to account for sources of predictability that are biased in the NWP model itself. We attribute ANN corrections with two explainable artificial intelligence (AI) tools. This reveals that certain erroneous forecasts relate to tropical western Pacific Ocean sea surface temperatures at initialization. We conjecture that the atmospheric teleconnection following t</w:t>
      </w:r>
    </w:p>
    <w:p>
      <w:pPr>
        <w:pStyle w:val="Heading2"/>
      </w:pPr>
      <w:r>
        <w:t>592.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Analyzing Well-Being Models: Their Evolution, Limitations, and Future Pathways — https://openalex.org/W7220250897</w:t>
      </w:r>
    </w:p>
    <w:p>
      <w:pPr/>
      <w:r>
        <w:rPr>
          <w:b/>
        </w:rPr>
        <w:t>Shared claim-specific concepts:</w:t>
      </w:r>
      <w:r>
        <w:t xml:space="preserve"> analyzing, pathways, original; EU scope not established. This is a provisional connection, not an outcome finding.</w:t>
      </w:r>
    </w:p>
    <w:p>
      <w:pPr>
        <w:pStyle w:val="SourceNote"/>
      </w:pPr>
      <w:r>
        <w:rPr>
          <w:b/>
        </w:rPr>
        <w:t>Available abstract (not full text):</w:t>
      </w:r>
      <w:r>
        <w:t xml:space="preserve"> This article critically examines the evolution, limitations, and future trajectories of well-being models from antiquity to contemporary discourse. Employing interdisciplinary synthesis and comparative analysis, the study traces well-being conceptualizations from Aristotelian eudaimonia and hedonic traditions through Enlightenment utilitarianism to modern frameworks including Ryff's Psychological Well-Being, Seligman's PERMA model, Self-Determination Theory, and ecological models. A central argument advanced is that dominant Western paradigms exhibit systematic biases—individualism, cultural reductionism, measurement fetishism, and commercial appropriation—that undermine their universal applicability. The article provides an original, mandatory deep analysis of the Islamic well-being paradigm grounded in Falāḥ, sakīnah, tazkiyah al-nafs, and Maqāṣid al-Sharīʿah, incorporating Qur'anic textual evidence and classical scholarship from Al-Ghazālī, Ibn Khaldūn, Shāh Walīullāh, and Ibn Taymiyyah. Methodological critiques address Western-centrism, digital-age mental health challenges, inequality, and ethical concerns surrounding happiness commodification. Future pathways propose holistic, cross-cultural, spiritually integrated models and policy frameworks for sustainable well-being. The article concludes with original theoretical contributions synthesizing Eastern and Western epistemo</w:t>
      </w:r>
    </w:p>
    <w:p>
      <w:pPr/>
      <w:r>
        <w:rPr>
          <w:b/>
        </w:rPr>
        <w:t>POSSIBLE 2025:</w:t>
      </w:r>
      <w:r>
        <w:t xml:space="preserve"> ‘They Take Our Healthcare’: Health and Attitudes towards Immigration in Europe — https://doi.org/10.1177/00104140251342932</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pPr/>
      <w:r>
        <w:rPr>
          <w:b/>
        </w:rPr>
        <w:t>POSSIBLE 2025:</w:t>
      </w:r>
      <w:r>
        <w:t xml:space="preserve"> Navigating the Crossroads: Analyzing China’s Middle East Policy in the Palestinian-Israeli Conflict Context — https://doi.org/10.1177/23477989241311334</w:t>
      </w:r>
    </w:p>
    <w:p>
      <w:pPr/>
      <w:r>
        <w:rPr>
          <w:b/>
        </w:rPr>
        <w:t>Shared claim-specific concepts:</w:t>
      </w:r>
      <w:r>
        <w:t xml:space="preserve"> analyzing, crossroads; EU scope not established. This is a provisional connection, not an outcome finding.</w:t>
      </w:r>
    </w:p>
    <w:p>
      <w:pPr>
        <w:pStyle w:val="SourceNote"/>
      </w:pPr>
      <w:r>
        <w:rPr>
          <w:b/>
        </w:rPr>
        <w:t>Available abstract (not full text):</w:t>
      </w:r>
      <w:r>
        <w:t xml:space="preserve"> Since the founding of the People’s Republic of China, its Middle East policy has undergone three stages: initial rise, elevated influence, and adjustment. With the outbreak of a new round of the Palestinian-Israeli conflict on October 7, 2023, the geopolitical landscape in the Middle East has significantly shifted, marked by deepening divisions within the Arab world, challenges to US strategy, and the expansion of China’s diplomatic space. This study explores how these changes impact China’s Middle East policy and analyzes how China responds to emerging challenges, including rising geopolitical risks, obstacles to bilateral economic cooperation, shifts in international public opinion, and the sustainability of its “balanced diplomacy” approach. China aims to maintain a balance between Palestine and Israel, promote regional stability, and advance economic cooperation. However, in light of new regional dynamics, this study proposes that China needs to adjust its policy by strengthening its engagement with international responsibilities, ensuring security and economic cooperation in parallel, and increasing foreign aid and public diplomacy. Moreover, China should innovate its public opinion management and information dissemination strategies to navigate the complex media environment. By analyzing these issues, this article will examine the direction of China’s Middle East policy a</w:t>
      </w:r>
    </w:p>
    <w:p>
      <w:pPr/>
      <w:r>
        <w:rPr>
          <w:b/>
        </w:rPr>
        <w:t>POSSIBLE 2025:</w:t>
      </w:r>
      <w:r>
        <w:t xml:space="preserve"> Economic Diplomacy at the Crossroads of Digitalization and Sustainability: A New Era of Policy Diversification — https://doi.org/10.2478/picbe-2025-0087</w:t>
      </w:r>
    </w:p>
    <w:p>
      <w:pPr/>
      <w:r>
        <w:rPr>
          <w:b/>
        </w:rPr>
        <w:t>Shared claim-specific concepts:</w:t>
      </w:r>
      <w:r>
        <w:t xml:space="preserve"> analyzing, shaped, crossroads; EU scope not established. This is a provisional connection, not an outcome finding.</w:t>
      </w:r>
    </w:p>
    <w:p>
      <w:pPr>
        <w:pStyle w:val="SourceNote"/>
      </w:pPr>
      <w:r>
        <w:rPr>
          <w:b/>
        </w:rPr>
        <w:t>Available abstract (not full text):</w:t>
      </w:r>
      <w:r>
        <w:t xml:space="preserve"> Abstract Economic diplomacy is now at the forefront of global policymaking, increasingly shaped by digital transformation and sustainability. In recent years, the United States has experienced significant changes driven by the contrasting approaches of the Trump and Biden administrations. Trump prioritized trade protectionism, deregulation, and technological advancement, while Biden focused on multilateral cooperation, sustainability, and Artificial Intelligence governance. With Trump’s return to office in 2025, economic diplomacy has shifted toward deregulated digital policies and a potential retreat from sustainability commitments. Existing research emphasizes the growing influence of digital platforms on public sentiment, yet many studies have focused on elections, overlooking the impact of key political events. This study addresses that gap by analyzing social media reactions to Trump’s 2025 inauguration, through a comprehensive sentiment analysis, using Machine Learning models. The results showed positive sentiments, surpassing negative and neutral reactions. Compared to election-period sentiment, the inauguration sparked more positive reactions, reflecting both symbolic optimism and expectations for economic and technological growth, while negative sentiments mainly focused on environmental concerns, revealing ongoing debates about the trade-offs between deregulation and </w:t>
      </w:r>
    </w:p>
    <w:p>
      <w:pPr/>
      <w:r>
        <w:rPr>
          <w:b/>
        </w:rPr>
        <w:t>POSSIBLE 2025:</w:t>
      </w:r>
      <w:r>
        <w:t xml:space="preserve"> Health in the climate crossroads : exploring the integration of health in climate policy and practice in Canada — https://openalex.org/W7116218288</w:t>
      </w:r>
    </w:p>
    <w:p>
      <w:pPr/>
      <w:r>
        <w:rPr>
          <w:b/>
        </w:rPr>
        <w:t>Shared claim-specific concepts:</w:t>
      </w:r>
      <w:r>
        <w:t xml:space="preserve"> four, crossroads; EU scope not established. This is a provisional connection, not an outcome finding.</w:t>
      </w:r>
    </w:p>
    <w:p>
      <w:pPr>
        <w:pStyle w:val="SourceNote"/>
      </w:pPr>
      <w:r>
        <w:rPr>
          <w:b/>
        </w:rPr>
        <w:t>Available abstract (not full text):</w:t>
      </w:r>
      <w:r>
        <w:t xml:space="preserve"> This doctoral thesis critically investigates the integration of health into climate adaptation policy and practice within the Canadian context. Through four empirical chapters, three of which have a particular focus on municipalities in British Columbia, it explores how health is understood, planned for, and acted upon in relation to climate change. This work is grounded in an analysis of interviews, planning documents, survey data, and a regional case study. Chapter 2 presents qualitative findings from interviews with local government leaders, examining their perceptions of climate-related health risks and their experiences with adaptation. It highlights governance gaps and calls for more multi-sectoral collaboration. Chapter 3 analyzes municipal climate action plans across British Columbia to assess how health is incorporated. While health risks are often acknowledged, the study finds limited integration of health systems or consideration of health co-benefits. The chapter recommends advancing a “Health in All Climate Policies” approach to strengthen cross-sector collaboration and public health responsiveness. In Chapter 4, survey data reveal that 23% of Canadians report experiencing physical health impacts from extreme weather events. Additionally, the survey shows that attitudes towards adaptation are influenced by a complex interplay of risk perception, health awareness, c</w:t>
      </w:r>
    </w:p>
    <w:p>
      <w:pPr/>
      <w:r>
        <w:rPr>
          <w:b/>
        </w:rPr>
        <w:t>POSSIBLE 2025:</w:t>
      </w:r>
      <w:r>
        <w:t xml:space="preserve"> Peer Review at the Crossroads — https://doi.org/10.31235/osf.io/b2ra3_v2</w:t>
      </w:r>
    </w:p>
    <w:p>
      <w:pPr/>
      <w:r>
        <w:rPr>
          <w:b/>
        </w:rPr>
        <w:t>Shared claim-specific concepts:</w:t>
      </w:r>
      <w:r>
        <w:t xml:space="preserve"> four, crossroads, high; EU scope not established. This is a provisional connection, not an outcome finding.</w:t>
      </w:r>
    </w:p>
    <w:p>
      <w:pPr>
        <w:pStyle w:val="SourceNote"/>
      </w:pPr>
      <w:r>
        <w:rPr>
          <w:b/>
        </w:rPr>
        <w:t>Available abstract (not full text):</w:t>
      </w:r>
      <w:r>
        <w:t xml:space="preserve"> Peer review has long been regarded as a cornerstone of scholarly communication, ensuring high quality and credibility of published research. However, its institutionalization in the mid-20th century contrasts sharply with the 300-year history of academic journals. By the early 21st century, there emerged an opinion that the conventional model of peer review faces systematic challenges, including inefficiency, bias, and institutional inertia. The study aims to synthesize the evolution, practices, and outcomes of both conventional and innovative peer review models in scholarly publishing. Through a mixed-methods approach combining interpretative literature review and process modeling (BPMN), it identifies four frameworks: pre-publication peer review, registered reports, modular publishing, and the Publish-Review-Curate (PRC) model. While the PRC model, which integrates preprints with post-publication review, demonstrates advantages in transparency and accessibility, no single approach emerges as universally ideal. The choice of model depends on disciplinary context, resource availability, and institutional priorities. The analysis underscores the need for adaptable platforms that enable hybrid workflows, balancing rigor with inclusivity. Future research must address empirical gaps in evaluating these innovations, particularly their long-term impact on equity and epistemic norms.</w:t>
      </w:r>
    </w:p>
    <w:p>
      <w:pPr/>
      <w:r>
        <w:rPr>
          <w:b/>
        </w:rPr>
        <w:t>POSSIBLE 2025:</w:t>
      </w:r>
      <w:r>
        <w:t xml:space="preserve"> Peer Review at the Crossroads — https://doi.org/10.31235/osf.io/b2ra3_v3</w:t>
      </w:r>
    </w:p>
    <w:p>
      <w:pPr/>
      <w:r>
        <w:rPr>
          <w:b/>
        </w:rPr>
        <w:t>Shared claim-specific concepts:</w:t>
      </w:r>
      <w:r>
        <w:t xml:space="preserve"> four, crossroads, high; EU scope not established. This is a provisional connection, not an outcome finding.</w:t>
      </w:r>
    </w:p>
    <w:p>
      <w:pPr>
        <w:pStyle w:val="SourceNote"/>
      </w:pPr>
      <w:r>
        <w:rPr>
          <w:b/>
        </w:rPr>
        <w:t>Available abstract (not full text):</w:t>
      </w:r>
      <w:r>
        <w:t xml:space="preserve"> Peer review has long been regarded as a cornerstone of scholarly communication, ensuring high quality and credibility of published research. However, its institutionalization in the mid-20th century contrasts sharply with the 300-year history of academic journals. By the early 21st century, there emerged an opinion that the conventional model of peer review faces systematic challenges, including inefficiency, bias, and institutional inertia. The study aims to synthesize the evolution, practices, and outcomes of both conventional and innovative peer review models in scholarly publishing. Through a mixed-methods approach combining interpretative literature review and process modeling (Business Process Model and Notation – BPMN), it identifies four frameworks: pre-publication peer review, registered reports, modular publishing, and the Publish-Review-Curate (PRC) model. While the PRC model, which integrates preprints with post-publication review, demonstrates advantages in transparency and accessibility, no single approach emerges as universally ideal. The choice of model depends on disciplinary context, resource availability, and institutional priorities. The analysis underscores the need for adaptable platforms that enable hybrid workflows, balancing rigor with inclusivity. Future research must address empirical gaps in evaluating these innovations, particularly their long-term </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four, pathways, until;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A diagnostic intercomparison of modeled ozone dry deposition over North America and Europe using AQMEII4 regional-scale simulations — https://doi.org/10.5194/acp-25-12629-2025</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This study analyzes ozone (O3) dry deposition fluxes and velocities (Vd) from twelve regional-scale simulations that were performed over North America and Europe in Phase 4 of the Air Quality Model Evaluation International Initiative (AQMEII4). AQMEII4 collected grid-aggregated and land use (LU)-specific O3 Vd and effective conductances and fluxes for the four major dry deposition pathways. Consistent with recent findings in the AQMEII4 point model intercomparison study, analysis of the grid-aggregated fields shows that grid models with similar Vd can exhibit significant differences in the absolute and relative contributions of the different depositional pathways. Analysis of LU-specific Vd and effective conductances reveals a general increase in model spread compared to grid-aggregated values. This indicates that an analysis of only grid-aggregated deposition diagnostics can mask process-specific differences that exist between schemes. An analysis of AQMEII4 LU distributions across models revealed substantial differences in the spatial patterns and abundance of certain LU categories over both domains, especially for non-forest partially vegetated categories such as agricultural areas, shrubland, and grassland. We demonstrate that these differences can significantly contribute to or even drive differences in LU-specific dry deposition fluxes which can increase the variability i</w:t>
      </w:r>
    </w:p>
    <w:p>
      <w:pPr/>
      <w:r>
        <w:rPr>
          <w:b/>
        </w:rPr>
        <w:t>POSSIBLE 2024:</w:t>
      </w:r>
      <w:r>
        <w:t xml:space="preserve"> Pathways toward sustainable aviation: Analyzing emissions from air operations in Europe to support policy initiatives — https://doi.org/10.1016/j.tra.2024.104121</w:t>
      </w:r>
    </w:p>
    <w:p>
      <w:pPr/>
      <w:r>
        <w:rPr>
          <w:b/>
        </w:rPr>
        <w:t>Shared claim-specific concepts:</w:t>
      </w:r>
      <w:r>
        <w:t xml:space="preserve"> analyzing, pathways, high, present, industry; EU scope visible. This is a provisional connection, not an outcome finding.</w:t>
      </w:r>
    </w:p>
    <w:p>
      <w:pPr>
        <w:pStyle w:val="SourceNote"/>
      </w:pPr>
      <w:r>
        <w:rPr>
          <w:b/>
        </w:rPr>
        <w:t>Available abstract (not full text):</w:t>
      </w:r>
      <w:r>
        <w:t xml:space="preserve"> Reducing aviation emissions has become a global priority, leading policymakers and industry stakeholders to commit to the achievement of net-zero carbon emissions. Reaching this ambitious goal requires quickly devising and promoting effective policies and measures. Emission levels are heavily influenced by the technological and operational efficiency of airlines and airports. Accordingly, understanding the main patterns underlying aviation emissions is fundamental for evaluating aviation efficiency, ultimately informing the adoption of appropriate policy interventions. In this context, the present study assessed the fuel efficiency and emission patterns of intra-European and intercontinental flights to and from Europe. We estimated the fuel efficiency and carbon intensity of different mission lengths and flight stages using a tool developed by the European Environment Agency and leveraging an extensive flight-level dataset. Our results highlight several critical areas that require policy intervention. First, we found that a relatively high proportion of overall emissions is due to landing and take-off procedures as well as on-ground activities. These emissions tend to be concentrated at major airports due to layout complexities and congestion, necessitating improvements in surface operations at the individual airport and system-wide levels. Second, regional routes represent the</w:t>
      </w:r>
    </w:p>
    <w:p>
      <w:pPr>
        <w:pStyle w:val="Heading2"/>
      </w:pPr>
      <w:r>
        <w:t>593.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2025:</w:t>
      </w:r>
      <w:r>
        <w:t xml:space="preserve"> LOW-CARBON SOLUTIONS INTRODUCED IN EUROPEAN CITIES AS PART OF CLIMATE CHANGE ADAPTATION — https://doi.org/10.5604/01.3001.0055.5451</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Contemporary societies are facing progressive climate change due to economic development. Forthis reason, the authorities of leading European cities are implementing policies and strategies toprepare urban organisms for climate change and to counteract it. Given the topicality of the issue,this article presents and evaluates low-carbon measures taken in selected European cities in thecontext of climate change adaptation. The analysis covers publications/strategies on climate changeadaptation adopted in Berlin, Copenhagen, Oslo, Prague and Wrocław, and explores air qualitytrends in selected cities. The results indicate a systematic improvement in air quality in all the citiesanalysed, particularly in terms of the reduction of particulate matter and nitrogen oxides. Thegreatest progress has been made in Copenhagen and Oslo, which are consistently pursuing climateneutrality goals, while Wrocław and Prague still have higher emission levels, although positivedownward trends are observed. The analysis confirms that the effectiveness of low-carbon policiesdepends on their integrated nature, covering the energy, transport and spatial sectors, as well as onthe active involvement of local communities. The results of the study emphasise the importance ofcooperation between cities in implementing the objectives of the European Green Deal and strivingto achieve climate neutrality by 2050.</w:t>
      </w:r>
    </w:p>
    <w:p>
      <w:pPr/>
      <w:r>
        <w:rPr>
          <w:b/>
        </w:rPr>
        <w:t>POSSIBLE 2025:</w:t>
      </w:r>
      <w:r>
        <w:t xml:space="preserve"> Modeling of Hydrodynamic Processes of the Estuaries of the European Part of the Russian Arctic under Possible Climate Changes — https://doi.org/10.1134/s0097807824701434</w:t>
      </w:r>
    </w:p>
    <w:p>
      <w:pPr/>
      <w:r>
        <w:rPr>
          <w:b/>
        </w:rPr>
        <w:t>Shared claim-specific concepts:</w:t>
      </w:r>
      <w:r>
        <w:t xml:space="preserve"> part, climate, use; EU scope visible. This is a provisional connection, not an outcome finding.</w:t>
      </w:r>
    </w:p>
    <w:p>
      <w:pPr>
        <w:pStyle w:val="SourceNote"/>
      </w:pPr>
      <w:r>
        <w:rPr>
          <w:b/>
        </w:rPr>
        <w:t>Available abstract (not full text):</w:t>
      </w:r>
      <w:r>
        <w:t xml:space="preserve"> Abstract Possible scenarios of climate change impact on hydrodynamic processes in the estuaries of the Northern Dvina, Onega, and Pechora are considered. For this purpose, hydrodynamic models of estuarine areas previously developed by the authors in the STREAM 2D, HEC-RAS, and Delft3D software packages were used, for which various variants of sea level changes obtained from the global climate models GFDL-ESM2M, IPSL-CM5A-LR, HadGEM2-ES, MIROC-ESM-CHEM were set as the lower boundary condition. As the upper boundary conditions, water discharges in the outlet sections of river basins, calculated using the ECOMAG runoff formation model for conditions of changed climate, based on the data of the same climate models were set. Based on ensemble simulations, two main trends in changes in estuarine hydrodynamic factors were identified and analyzed: the sea level rise and the river runoff decrease. Scenarios of spring floods and summer–autumn low water seasons corresponding to different combinations of boundary conditions for the historical period are modeled, as well as for the most probable and most unfavorable hydrometeorological conditions of the mid-21st century. Possible changes in the flow characteristics and their impact on various aspects of hydroecological safety and the use of water resources in the estuarial areas under the study have been analyzed.</w:t>
      </w:r>
    </w:p>
    <w:p>
      <w:pPr/>
      <w:r>
        <w:rPr>
          <w:b/>
        </w:rPr>
        <w:t>POSSIBLE 2025:</w:t>
      </w:r>
      <w:r>
        <w:t xml:space="preserve"> Climate Change 2022: Impacts, Adaptation and Vulnerability — https://doi.org/10.1163/9789004322714_cclc_2022-0258-0930</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Summary for policymakers Technical summary Part I. Setting the Stage for Impact, Adaptation, and Vulnerability Assessment: 1. Overview 2. Methods and tools 3. Development and application of scenarios in Climate Change Impact, Adaptation, and Vulnerability Assessment Part II. Sectors and Systems: Impacts, Adaptation, and Vulnerability: 4. Hydrology and water resources 5. Natural and managed ecosystems 6. Coastal zones and marine ecosystems 7. Energy, industry, and settlements 8. Financial services 9. Human health Part III. Regional Analyses: Impacts, Adaptation, and Vulnerability: 10. Africa 11. Asia 12. Australasia 13. Europe 14. Latin America 15. North America 16. Polar regions (Arctic and Antarctic) 17. Small island states Part IV. Global Issues and Synthesis: 18. Adaptation to climate change in the context of sustainable development and equity 19. Synthesis and integration of impacts, adaptation, and vulnerability Index.</w:t>
      </w:r>
    </w:p>
    <w:p>
      <w:pPr/>
      <w:r>
        <w:rPr>
          <w:b/>
        </w:rPr>
        <w:t>POSSIBLE 2025:</w:t>
      </w:r>
      <w:r>
        <w:t xml:space="preserve"> Optimizing ATM and ATC Procedures for Mitigating CO2 and Non-CO2 Emissions: The Role of Climate Impact Metrics — https://doi.org/10.20944/preprints202510.0967.v1</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This paper presents a comprehensive multidisciplinary review of recent advancements about the aviation emissions modeling methodologies and the related mitigation strategies through optimized in-flight operational procedures. With reference to the Terminal Manoeuvring Area (TMA), it critically examines current and emerging strategies, particularly those enabled by GNSS-based capabilities and Performance Based Navigation (PBN), to enhance aircraft efficiency and reduce fuel consumption and associated chemical emissions. The study also explores the state-of-the-art methodologies for modeling both CO₂ and non-CO₂ emissions and addresses the problem of contrails formation, highlighting the main relevant aspects that can be useful for the definition of future mitigation strategies. Furthermore, it analyzes evolving optimization techniques aimed at real-time 4D trajectory planning able to take into account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reported;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2024:</w:t>
      </w:r>
      <w:r>
        <w:t xml:space="preserve"> Changes in climate indicators of degradation of UNESCO cultural heritage sites in the European part of Russia — https://doi.org/10.21638/spbu07.2024.306</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Cultural heritage sites are under threat of destruction due to the impact of climate change and related hazards such as rainstorms, floods, droughts. High vulnerability to natural disasters and important historical and socio-cultural value require special attention to World Heritage properties. The goal of the work is to assess the impact of climate on the destruction of building materials of UNESCO cultural heritage sites for four cities in the European part of Russia (Derbent, Kazan, Petrozavodsk and Pskov). The work uses daily data on air temperature and precipitation for the period 1961–2020. Five indices were used to assess the impact of frost (days with air temperatures below 0°C and minus 5°C, freeze-thaw cycles, Wet-frost index and frost decay exposure index) and two indices of extreme air temperatures and precipitation (percentage of days with maximum air temperature higher 90th percentile and number of days with precipitation above 99th percentile). In addition, changes in the indices between two climatic periods, 1961–1990 and 1991–2020, were estimated. The results showed a reduction in the risk of damage to cultural heritage sites by low air temperatures, while the frequency of freeze-thaw cycles increased in the northern regions against the backdrop of rising surface air temperatures. The change in extreme temperatures and precipitation has a positive trend, which </w:t>
      </w:r>
    </w:p>
    <w:p>
      <w:pPr/>
      <w:r>
        <w:rPr>
          <w:b/>
        </w:rPr>
        <w:t>POSSIBLE 2024:</w:t>
      </w:r>
      <w:r>
        <w:t xml:space="preserve"> Predicting the effect of climate change and management on net carbon sequestration in the forest ecosystems of the European part of Russia with the complex of models — https://doi.org/10.1016/j.ecolmodel.2024.110835</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The future of the Portuguese (SW Europe) most vulnerable coastal areas under climate change – Part I: Performance evaluation and shoreline evolution from a downscaled bias corrected wave climate ensemble — https://doi.org/10.1016/j.oceaneng.2024.117661</w:t>
      </w:r>
    </w:p>
    <w:p>
      <w:pPr/>
      <w:r>
        <w:rPr>
          <w:b/>
        </w:rPr>
        <w:t>Shared claim-specific concepts:</w:t>
      </w:r>
      <w:r>
        <w:t xml:space="preserve"> part, climate, plans; EU scope visible. This is a provisional connection, not an outcome finding.</w:t>
      </w:r>
    </w:p>
    <w:p>
      <w:pPr>
        <w:pStyle w:val="SourceNote"/>
      </w:pPr>
      <w:r>
        <w:rPr>
          <w:b/>
        </w:rPr>
        <w:t>Available abstract (not full text):</w:t>
      </w:r>
      <w:r>
        <w:t xml:space="preserve"> Some of the most disruptive effects of climate change are projected to be felt along the coastlines. The combined effects of future changes in water levels and wave climate along coastal areas constitute one of the most serious threats to their sustainable evolution, compromising critical infrastructures, resources, ecosystems, and communities. Understanding long-term changes in coastal areas remains challenging, however, due to their multivariate and multi-time-and-space-scale nature. In this study, we propose an innovative methodology for a complete vulnerability assessment of sandy low-lying coastal areas, based on dynamic, ensemble-based projections from the Coupled Model Intercomparison Project phase 5 (CMIP5). In the current Part I study, the effects of sea level rise (SLR) and nearshore wave climate changes on future shoreline evolution are assessed at five key-locations along the Portuguese coastline. Longshore sediment transport (LST) projections are computed, and sedimentary imbalances are quantified. Overall, robust shoreline retreat of up to 300 m is projected, especially along the Portuguese northern and central coastal areas, with continued erosion driven mainly by sediment imbalance and SLR. The projected decrease in future nearshore wave energy is responsible for a slight alleviation in erosion trends, up to 6.33%, whereas the increase of northerly incoming wave</w:t>
      </w:r>
    </w:p>
    <w:p>
      <w:pPr>
        <w:pStyle w:val="Heading2"/>
      </w:pPr>
      <w:r>
        <w:t>594.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2026:</w:t>
      </w:r>
      <w:r>
        <w:t xml:space="preserve"> A new investigation of the Permian Leman Sandstone Formation: suitability for underground hydrogen storage in the Rough field, Southern North Sea, UK — https://doi.org/10.1144/geoenergy2025-035</w:t>
      </w:r>
    </w:p>
    <w:p>
      <w:pPr/>
      <w:r>
        <w:rPr>
          <w:b/>
        </w:rPr>
        <w:t>Shared claim-specific concepts:</w:t>
      </w:r>
      <w:r>
        <w:t xml:space="preserve"> suitability, north, despite, importance; EU scope not established. This is a provisional connection, not an outcome finding.</w:t>
      </w:r>
    </w:p>
    <w:p>
      <w:pPr>
        <w:pStyle w:val="SourceNote"/>
      </w:pPr>
      <w:r>
        <w:rPr>
          <w:b/>
        </w:rPr>
        <w:t>Available abstract (not full text):</w:t>
      </w:r>
      <w:r>
        <w:t xml:space="preserve"> The Rough field in the Southern Permian Basin was originally a producing gas field, later repurposed for natural gas storage and now a target to be the largest hydrogen storage site in the UK. Despite this, few past studies have investigated the facies and mineralogy present in the sandstone reservoir, which is imperative to ascertain its suitability for hydrogen storage. We present new petrographic and facies characterizations of the Permian Leman Sandstone Formation, using core from the Rough field. Our detailed analyses include core logging, SEM-EDX and XRD analyses. This research provides a new reservoir characterization and introduces novel reservoir facies classifications supported by detailed petrography. We identify four facies associations – aeolian, fluvial, sheetflood and floodplain – and find that each facies within the reservoir possesses different minerology. Certain minerals within these facies have the potential to react with hydrogen in some way, causing the potential production of hydrogen sulfide, dissolution and reprecipitation of carbonate minerals and clay mineral transformations. These reactions are dependent on mineralogy and abundance, which varies throughout the mixed heterogeneous facies. After evaluating the petrography and potential mineral reactions, we conclude that the Rough field has potential to be a suitable hydrogen storage site, but there is</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2025:</w:t>
      </w:r>
      <w:r>
        <w:t xml:space="preserve"> Climate-induced habitat suitability modelling for pelagic fish in European seas — https://doi.org/10.3389/fmars.2025.1501751</w:t>
      </w:r>
    </w:p>
    <w:p>
      <w:pPr/>
      <w:r>
        <w:rPr>
          <w:b/>
        </w:rPr>
        <w:t>Shared claim-specific concepts:</w:t>
      </w:r>
      <w:r>
        <w:t xml:space="preserve"> environmental, suitability, north, baltic, seas, all; EU scope visible. This is a provisional connection, not an outcome finding.</w:t>
      </w:r>
    </w:p>
    <w:p>
      <w:pPr>
        <w:pStyle w:val="SourceNote"/>
      </w:pPr>
      <w:r>
        <w:rPr>
          <w:b/>
        </w:rPr>
        <w:t>Available abstract (not full text):</w:t>
      </w:r>
      <w:r>
        <w:t xml:space="preserve"> Pelagic fish species, including Clupea harengus (Atlantic herring), Scomber scombrus (Atlantic mackerel) and Dicentrarchus labrax (European seabass), are integral to the ecological stability of European marine ecosystems. This study employs a mechanistic niche modelling approach to predict the distribution of these key pelagic species in European seas and to assess the impact of predicted changes in climate conditions on their suitable habitat range. By using fuzzy logic principles and mathematical descriptions of species’ niches, we analysed responses to changing temperature and salinity using climate prediction data from six Shared Socioeconomic Pathways (SSP) scenarios, predicting habitat suitability from the present (2010-2019) until 2100. Under the worst-case temperature climate scenario, all three species exhibited a consistent northward shift of suitable habitats by 2100. Specifically, the suitable habitat for C. harengus, S. scombrus and D. labrax is projected to shift approximately 638 km, 799 km and 13 km north, respectively. The independent contributions of temperature and salinity indicate a distinction in habitat suitability between northern European waters and the Mediterranean Sea, with higher suitability scores in the north. For example, by 2100, the habitat suitability index for non-spawning Atlantic herring in the North Atlantic Ocean is projected to be 0.63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environmental, north, despite;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Assessment of the climatic suitability for invasive agricultural insect pests in a warming Europe based on Köppen-Geiger classification — https://doi.org/10.1127/entomologia/3551</w:t>
      </w:r>
    </w:p>
    <w:p>
      <w:pPr/>
      <w:r>
        <w:rPr>
          <w:b/>
        </w:rPr>
        <w:t>Shared claim-specific concepts:</w:t>
      </w:r>
      <w:r>
        <w:t xml:space="preserve"> suitability, species, importance; EU scope visible. This is a provisional connection, not an outcome finding.</w:t>
      </w:r>
    </w:p>
    <w:p>
      <w:pPr>
        <w:pStyle w:val="SourceNote"/>
      </w:pPr>
      <w:r>
        <w:rPr>
          <w:b/>
        </w:rPr>
        <w:t>Available abstract (not full text):</w:t>
      </w:r>
      <w:r>
        <w:t xml:space="preserve"> Climate change can modify suitable areas for the establishment of harmful insect species in Europe, thus leading to a geographical shift of pest establishment areas.This paper aims to analyse the potential impact of future climate change on the climatic suitability areas of 14 invasive agricultural insect species in Europe.The approach is based on pest occurrence data and Köppen-Geiger (KG) climate classification.Depending on data availability, occurrence data were extracted from one/two types of open-access datasets, and the sensitivity of the results to different pest occurrence datasets was analysed.The KG maps under present (1991-2020) climate conditions and three future (2071-2099) climate change scenarios ('low-emissions', 'middle-of-the-road', 'high-emissions') were used successively to identify the KG classes where each pest was recorded present.These classes were then used to determine the potential climatic suitability of Europe for each insect species under current and future climate conditions, and identify possible shifts in suitable areas resulting from climate change.Results show that overall, the climatic suitability areas are likely to expand in Europe for most of the 14 insect species due to future climate change, and that the increase level would be higher under the 'high-emissions' and 'middle-of-the-road' scenarios than under the 'low-emissions' scenario.In</w:t>
      </w:r>
    </w:p>
    <w:p>
      <w:pPr/>
      <w:r>
        <w:rPr>
          <w:b/>
        </w:rPr>
        <w:t>POSSIBLE 2025:</w:t>
      </w:r>
      <w:r>
        <w:t xml:space="preserve"> Expanding habitat suitability under changing climate and land use may drive rapid expansion of Russell’s viper (Daboia russelii) in Bangladesh — https://doi.org/10.3897/herpetozoa.38.e143411</w:t>
      </w:r>
    </w:p>
    <w:p>
      <w:pPr/>
      <w:r>
        <w:rPr>
          <w:b/>
        </w:rPr>
        <w:t>Shared claim-specific concepts:</w:t>
      </w:r>
      <w:r>
        <w:t xml:space="preserve"> increasing, environmental, suitability, species, despite, important; EU scope not established. This is a provisional connection, not an outcome finding.</w:t>
      </w:r>
    </w:p>
    <w:p>
      <w:pPr>
        <w:pStyle w:val="SourceNote"/>
      </w:pPr>
      <w:r>
        <w:rPr>
          <w:b/>
        </w:rPr>
        <w:t>Available abstract (not full text):</w:t>
      </w:r>
      <w:r>
        <w:t xml:space="preserve"> Eco-climatic and other environmental gradients significantly influence the geographic distribution of reptiles. In Bangladesh, the known range of Russell’s viper (Daboia russelii) has expanded extensively in recent decades. Using species distribution modelling, we analysed habitat suitability, dispersal pathways, interspecific competition, and population dynamics to explore the drivers behind this phenomenon. Our findings indicate a five-fold increase in climatically suitable area (76,716 km²) since 2015, attributed to higher cold-season temperatures and increased dry-season precipitation, facilitating the viper’s spread into previously unoccupied regions. The rapid dispersal of these snakes may have benefited from the strong currents of rivers, channels and seasonal waterways, and flat floodplain terrain. Additionally, the extension of agricultural and grassy habitats in new regions has provided abundant rodent prey and minimal predator or competitor pressures, creating ideal conditions for population growth. We also observed a female-biased population structure and large clutch sizes which may have further accelerated reproduction, contributed to rapid population expansion. In rural Bangladesh, where clinicians face multiple problems with the management of Russell’s viper envenoming, increasingly frequent human encounters with this highly dangerous snake have caused great pub</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suitability, species, important, importance, addresses;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Understanding and addressing shortfalls in European wild bee data — https://doi.org/10.1016/j.biocon.2024.110455</w:t>
      </w:r>
    </w:p>
    <w:p>
      <w:pPr/>
      <w:r>
        <w:rPr>
          <w:b/>
        </w:rPr>
        <w:t>Shared claim-specific concepts:</w:t>
      </w:r>
      <w:r>
        <w:t xml:space="preserve"> species, despite, major, important, addresses;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Future malaria environmental suitability in Africa is sensitive to hydrology — https://doi.org/10.1126/science.adk8755</w:t>
      </w:r>
    </w:p>
    <w:p>
      <w:pPr/>
      <w:r>
        <w:rPr>
          <w:b/>
        </w:rPr>
        <w:t>Shared claim-specific concepts:</w:t>
      </w:r>
      <w:r>
        <w:t xml:space="preserve"> environmental, suitability, important; EU scope not established. This is a provisional connection, not an outcome finding.</w:t>
      </w:r>
    </w:p>
    <w:p>
      <w:pPr>
        <w:pStyle w:val="SourceNote"/>
      </w:pPr>
      <w:r>
        <w:rPr>
          <w:b/>
        </w:rPr>
        <w:t>Available abstract (not full text):</w:t>
      </w:r>
      <w:r>
        <w:t xml:space="preserve"> spp. malaria parasites and the lack of availability of surface water for vector breeding. Previous Africa-wide assessments have tended to solely represent surface water using precipitation, ignoring many important hydrological processes. Here, we applied a validated and weighted ensemble of global hydrological and climate models to estimate present and future areas of hydroclimatic suitability for malaria transmission. With explicit surface water representation, we predict a net decrease in areas suitable for malaria transmission from 2025 onward, greater sensitivity to future greenhouse gas emissions, and different, more complex, malaria transmission patterns. Areas of malaria transmission that are projected to change are smaller than those estimated by precipitation-based estimates but are associated with greater changes in transmission season lengths.</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conversely, all, species, importance;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Fertility Control for Wildlife: A European Perspective — https://doi.org/10.3390/ani13030428</w:t>
      </w:r>
    </w:p>
    <w:p>
      <w:pPr/>
      <w:r>
        <w:rPr>
          <w:b/>
        </w:rPr>
        <w:t>Shared claim-specific concepts:</w:t>
      </w:r>
      <w:r>
        <w:t xml:space="preserve"> increasing, environmental, species; EU scope visible. This is a provisional connection, not an outcome finding.</w:t>
      </w:r>
    </w:p>
    <w:p>
      <w:pPr>
        <w:pStyle w:val="SourceNote"/>
      </w:pPr>
      <w:r>
        <w:rPr>
          <w:b/>
        </w:rPr>
        <w:t>Available abstract (not full text):</w:t>
      </w:r>
      <w:r>
        <w:t xml:space="preserve"> Trends of human population growth and landscape development in Europe show that wildlife impacts are escalating. Lethal methods, traditionally employed to mitigate these impacts, are often ineffective, environmentally hazardous and face increasing public opposition. Fertility control is advocated as a humane tool to mitigate these impacts. This review describes mammalian and avian wildlife contraceptives' effect on reproduction of individuals and populations, delivery methods, potential costs and feasibility of using fertility control in European contexts. These contexts include small, isolated wildlife populations and situations in which lethal control is either illegal or socially unacceptable, such as urban settings, national parks and areas where rewilding occurs. The review highlights knowledge gaps, such as impact of fertility control on recruitment, social and spatial behaviour and on target and non-target species, provides a decision framework to assist decisions about the potential use of wildlife fertility control, and suggests eight reasons for Europe to invest in this area. Although developing and registering contraceptives in Europe will have substantial costs, these are relatively small when compared to wildlife's economic and environmental impact. Developing safe and effective contraceptives will be essential if European countries want to meet public demand for m</w:t>
      </w:r>
    </w:p>
    <w:p>
      <w:pPr/>
      <w:r>
        <w:rPr>
          <w:b/>
        </w:rPr>
        <w:t>POSSIBLE 2023:</w:t>
      </w:r>
      <w:r>
        <w:t xml:space="preserve"> Conservation easements – project selection criteria for quarries in Europe — https://doi.org/10.3389/fcosc.2023.1304712</w:t>
      </w:r>
    </w:p>
    <w:p>
      <w:pPr/>
      <w:r>
        <w:rPr>
          <w:b/>
        </w:rPr>
        <w:t>Shared claim-specific concepts:</w:t>
      </w:r>
      <w:r>
        <w:t xml:space="preserve"> conversely, environmental, all, species, ecological; EU scope visible. This is a provisional connection, not an outcome finding.</w:t>
      </w:r>
    </w:p>
    <w:p>
      <w:pPr>
        <w:pStyle w:val="SourceNote"/>
      </w:pPr>
      <w:r>
        <w:rPr>
          <w:b/>
        </w:rPr>
        <w:t>Available abstract (not full text):</w:t>
      </w:r>
      <w:r>
        <w:t xml:space="preserve"> Private sector support is essential to achieve the EU Green Deal's biodiversity goals, given that a significant portion of Natura 2000 and potential restoration sites are privately owned (European Commission, kein Datum).The extractive industry is a prime example of how private business impacts biodiversity policy implementation.Historically, European land has often been altered or degraded by agriculture, forestry, and other land uses. While resource extraction can lead to further destruction, well-managed former quarries and reclamation sites can provide vital habitats for endangered species, including those adjacent to Natura 2000 sites. This presents an opportunity to rehabilitate habitats that have suffered significant loss (European Commission, 2019).New, enhanced reporting requirements will intensify public scrutiny of private firms' biodiversity impact, demanding inventive and proactive approaches to harmonise resource extraction with nature preservation. Conversely, voluntary efforts to maximise long-term biodiversity value in quarries could spawn new business models by leveraging current and future fiscal incentives linked to nature restoration and promoting biodiversity-friendly land use.It's relevant to explore how the extractive industry can proactively surpass legal norms for net biodiversity gains. A dual case-both communicative and financial-is essential to pers</w:t>
      </w:r>
    </w:p>
    <w:p>
      <w:pPr>
        <w:pStyle w:val="Heading2"/>
      </w:pPr>
      <w:r>
        <w:t>595.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national, identify, significant;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Essays on fiscal policy — https://doi.org/10.82444/warw.33725077</w:t>
      </w:r>
    </w:p>
    <w:p>
      <w:pPr/>
      <w:r>
        <w:rPr>
          <w:b/>
        </w:rPr>
        <w:t>Shared claim-specific concepts:</w:t>
      </w:r>
      <w:r>
        <w:t xml:space="preserve"> fiscal, based; EU scope visible. This is a provisional connection, not an outcome finding.</w:t>
      </w:r>
    </w:p>
    <w:p>
      <w:pPr>
        <w:pStyle w:val="SourceNote"/>
      </w:pPr>
      <w:r>
        <w:rPr>
          <w:b/>
        </w:rPr>
        <w:t>Available abstract (not full text):</w:t>
      </w:r>
      <w:r>
        <w:t xml:space="preserve"> High levels of either public debt or wealth inequality are detrimental to social and economic stability. At a time when reducing public debt and decreasing wealth inequality have become important policy priorities, the question arises about whether these two goals stand in con ict. With this in mind, Chapter 1 assesses the effects of public debt on wealth inequality based on an analytically tractable model of heterogeneous agents. Its scope, in particular, is to investigate whether a reduction of public debt or of budget deficits in general might amplify or not the levels of wealth inequality. In answering this question, we explore a novel channel where, for example, a reduction in budget deficits amplifies wealth inequality due to the change in factor prices, and in particular that of interest rates. Therefore, and besides that our research is the first to explore this type of question, our main contribution is that we show how a change in public debt can affect wealth inequality in an implicit way through the change in factor incomes - that is, the general equilibrium effects. In Chapter 2, on the other hand, we study the design of policies within an endogenous growth model of incomplete markets and partial commitment. Markets are incomplete in two dimensions, the government cannot insure itself from the presence of aggregate risk, and the accumulation of human capital is sub</w:t>
      </w:r>
    </w:p>
    <w:p>
      <w:pPr/>
      <w:r>
        <w:rPr>
          <w:b/>
        </w:rPr>
        <w:t>POSSIBLE 2025:</w:t>
      </w:r>
      <w:r>
        <w:t xml:space="preserve"> Theoretical Foundations — https://doi.org/10.4324/9781003694625_ch14</w:t>
      </w:r>
    </w:p>
    <w:p>
      <w:pPr/>
      <w:r>
        <w:rPr>
          <w:b/>
        </w:rPr>
        <w:t>Shared claim-specific concepts:</w:t>
      </w:r>
      <w:r>
        <w:t xml:space="preserve"> analyse, theoretical, based; EU scope not established. This is a provisional connection, not an outcome finding.</w:t>
      </w:r>
    </w:p>
    <w:p>
      <w:pPr>
        <w:pStyle w:val="SourceNote"/>
      </w:pPr>
      <w:r>
        <w:rPr>
          <w:b/>
        </w:rPr>
        <w:t>Available abstract (not full text):</w:t>
      </w:r>
      <w:r>
        <w:t xml:space="preserve"> The four TPACK course (re)design professional development modules developed in the MARCH ET project are based on five theoretical foundations. Understanding these theoretical foundations helps us comprehend the modules’ course design and the considerations that go into choosing it. The first theoretical foundation is ‘social constructivism,’ which is an approach to good teaching and learning. The second theoretical foundation is the pedagogical design of the modules, which is based on an old but still very useful ‘pedagogical model’ developed by Van Gelder (1970) , referred to in Dutch as the didactische analyse model (DA model). The third theoretical foundation is the revised Bloom’s Taxonomy (Anderson &amp; Krathwohl, 2001) for defining learning outcomes (often called ‘learning objectives’). The fourth theoretical foundation is Biggs ‘constructive alignment’ of learning outcomes, the learning process and assessments ( Biggs, 2003 ), a widely accepted principle of pedagogically sound course design. The fifth and final foundation is the ‘action research’ approach. It is used as a reflection method by the participants in their own teaching practice.</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theoretical, foresight, well, both;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objective, analyse, foresight, long-term, indicators, significant;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Strategic foresight framework for addressing agency in sustainability transitions: a co-creation approach — https://doi.org/10.3389/frsus.2025.1507708</w:t>
      </w:r>
    </w:p>
    <w:p>
      <w:pPr/>
      <w:r>
        <w:rPr>
          <w:b/>
        </w:rPr>
        <w:t>Shared claim-specific concepts:</w:t>
      </w:r>
      <w:r>
        <w:t xml:space="preserve"> theoretical, foresight, preparation, identify, both; EU scope visible. This is a provisional connection, not an outcome finding.</w:t>
      </w:r>
    </w:p>
    <w:p>
      <w:pPr>
        <w:pStyle w:val="SourceNote"/>
      </w:pPr>
      <w:r>
        <w:rPr>
          <w:b/>
        </w:rPr>
        <w:t>Available abstract (not full text):</w:t>
      </w:r>
      <w:r>
        <w:t xml:space="preserve"> This paper presents a novel methodological approach that integrates strategic foresight with sustainability transitions frameworks to explore how different forms of agency shape transition pathways. The research methodology employed include the development of foresight scenarios addressing sustainability, the X-curve framework for mapping possible transition pathways for a sustainable EU 2050, and agency analysis to identify strategic areas of interventions and understanding systemic policy mixes over time. This work was performed in the context of the preparation of the European Commission’s Annual Strategic Foresight Report 2023. Additionally, through empirical application across three distinct contexts, this paper demonstrates how strategic foresight can generate actionable knowledge for sustainability transitions while maintaining methodological rigor. The study advances the theoretical understanding of agency in sustainability transitions by showing how different actors can be strategically engaged through interventions aimed at shaping, navigating, and orchestrating transition pathways over time. Our findings reveal that successful transitions require balancing the agency of established institutional actors with emerging stakeholders who may lack formal authority but bring crucial perspectives and capabilities. The study emphasizes the importance of agency of multiple act</w:t>
      </w:r>
    </w:p>
    <w:p>
      <w:pPr/>
      <w:r>
        <w:rPr>
          <w:b/>
        </w:rPr>
        <w:t>POSSIBLE 2024:</w:t>
      </w:r>
      <w:r>
        <w:t xml:space="preserve"> Theoretical Framework for Analysing Regional Economic Governance: A Comparative Study of African Blocs, — https://doi.org/10.5281/zenodo.18929910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 "background":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"purpose and objectives":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"methodology":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"key insights": "The framework reveals that a significant theme across blocs is the disjuncture between rhetorical commitments to gender mainstreaming in treaties and the marginalisation of women from core economic decision-making roles. A key analytical finding</w:t>
      </w:r>
    </w:p>
    <w:p>
      <w:pPr/>
      <w:r>
        <w:rPr>
          <w:b/>
        </w:rPr>
        <w:t>POSSIBLE 2024:</w:t>
      </w:r>
      <w:r>
        <w:t xml:space="preserve"> Understanding Foresight‐Policy Interactions: The Role of Institutionalization — https://doi.org/10.1002/ffo2.197</w:t>
      </w:r>
    </w:p>
    <w:p>
      <w:pPr/>
      <w:r>
        <w:rPr>
          <w:b/>
        </w:rPr>
        <w:t>Shared claim-specific concepts:</w:t>
      </w:r>
      <w:r>
        <w:t xml:space="preserve"> foresight, both, based; EU scope not established. This is a provisional connection, not an outcome finding.</w:t>
      </w:r>
    </w:p>
    <w:p>
      <w:pPr>
        <w:pStyle w:val="SourceNote"/>
      </w:pPr>
      <w:r>
        <w:rPr>
          <w:b/>
        </w:rPr>
        <w:t>Available abstract (not full text):</w:t>
      </w:r>
      <w:r>
        <w:t xml:space="preserve"> ABSTRACT Public administration in governments strives to develop forward‐looking capacities. Foresight has come to the fore as a set of practices that is mobilized to counter political myopia. Despite this increasing interest in governmental foresight, research suggests that diverging institutional practices, organizational structures, and epistemic cultures between foresight practices and policy‐making result in loose coupling. This article aims to contribute to understanding these complicated foresight‐policy interactions. To this end, we draw on findings from public administration scholarship. The concept of institutionalization is employed to analyze how foresight aligns with working practices and routines in government. Based on an in‐depth case study on the institutionalization of foresight practices within the German Federal Government, we demonstrate that scrutinizing the multiple dimensions of institutionalization helps not only to understand where and why loose ends occur but also provides new insights into some of the causes of the lacking impact. The article does not aim to provide an easy fix. Instead, we want to sensitize foresight practitioners, reduce both disappointment and overstating regarding the role of foresight in policy‐making, and provide a nuanced understanding of foresight practices in government.</w:t>
      </w:r>
    </w:p>
    <w:p>
      <w:pPr/>
      <w:r>
        <w:rPr>
          <w:b/>
        </w:rPr>
        <w:t>POSSIBLE 2024:</w:t>
      </w:r>
      <w:r>
        <w:t xml:space="preserve"> Navigating New Horizons: A global foresight report on planetary health and human wellbeing — https://doi.org/10.59117/20.500.11822/45890</w:t>
      </w:r>
    </w:p>
    <w:p>
      <w:pPr/>
      <w:r>
        <w:rPr>
          <w:b/>
        </w:rPr>
        <w:t>Shared claim-specific concepts:</w:t>
      </w:r>
      <w:r>
        <w:t xml:space="preserve"> foresight, well, long-term, both, positive, negative; EU scope not established. This is a provisional connection, not an outcome finding.</w:t>
      </w:r>
    </w:p>
    <w:p>
      <w:pPr>
        <w:pStyle w:val="SourceNote"/>
      </w:pPr>
      <w:r>
        <w:rPr>
          <w:b/>
        </w:rPr>
        <w:t>Available abstract (not full text):</w:t>
      </w:r>
      <w:r>
        <w:t xml:space="preserve"> To help navigate current and future uncertainty and disruptive change, while effectively delivering on its mandate, UNEP has been implementing an institutionalized approach to strategic foresight and horizon scanning with the view to developing an anticipatory and future-oriented culture. This mirrors the growing interest and demand for foresight that is also reinforced by the United Nations reform agenda and the Secretary-General’s report on ‘Our Common Agenda’, which calls for all UN agencies, as well as all UN member states, to engage foresight practices more deeply and apply the derived insights to address global systemic risks. This process has culminated in the development of the present report “Navigating New Horizons – A Global Foresight Report on Planetary Health and Human Wellbeing”, produced by UNEP in collaboration with the International Science Council. The report calls for the world to pay heed and respond to a range of emerging challenges that could disrupt planetary health and wellbeing. It presents insights on eight critical global shifts that are accelerating the triple planetary crisis of climate change, biodiversity and nature loss and pollution and waste. Eighteen signals of change – identified by hundreds of global experts and distilled through regional and stakeholder consultations that included youth – offer a glimpse into potential disruptions, both pos</w:t>
      </w:r>
    </w:p>
    <w:p>
      <w:pPr>
        <w:pStyle w:val="Heading2"/>
      </w:pPr>
      <w:r>
        <w:t>596.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2026:</w:t>
      </w:r>
      <w:r>
        <w:t xml:space="preserve"> Framing the Climate Crisis in European Media: A Comparative Study of Five Major News Outlets — https://doi.org/10.5281/zenodo.22795894</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study examines how five major national news outlets in EU member states framed climate change between 2022 and 2025, a period shaped by Russia’s invasion of Ukraine, implementation of the European Green Deal, and growing political contestation over the pace of the green transition. Drawing on Entman’s framing theory, comparative media-systems research, and critical discourse analysis (CDA), it analyses a purposive corpus of 112 articles from Der Spiegel, Le Monde, La Repubblica, Gazeta Wyborcza, and El País. Each article was assigned one primary frame and, where applicable, one secondary frame. Across the corpus, national sovereignty was the most frequent primary frame (39 of 112 articles), although patterns varied substantially by outlet: Gazeta Wyborcza was distinctive for its emphasis on just transition, while El País was the only outlet in which scientific urgency was the leading primary frame. The article introduces the Energy Security Bridge-Delay Framework, which distinguishes energy-security discourse that accelerates decarbonisation (Bridge), temporarily accommodates fossil-fuel use within a defined transition pathway (Transitional), or justifies indefinite postponement (Delay). A 21-article CDA sub-sample examines these categories in greater depth. The findings indicate that energy-security discourse is not inherently supportive of or hostile to climate transitio</w:t>
      </w:r>
    </w:p>
    <w:p>
      <w:pPr/>
      <w:r>
        <w:rPr>
          <w:b/>
        </w:rPr>
        <w:t>POSSIBLE 2026:</w:t>
      </w:r>
      <w:r>
        <w:t xml:space="preserve"> Socio-technical Imaginaries and Citizen Engagement in the Energy Transition: Perspectives from Five Renewable Energy Community Ecosystems in the European Union — https://doi.org/10.6093/2723-9608/12365</w:t>
      </w:r>
    </w:p>
    <w:p>
      <w:pPr/>
      <w:r>
        <w:rPr>
          <w:b/>
        </w:rPr>
        <w:t>Shared claim-specific concepts:</w:t>
      </w:r>
      <w:r>
        <w:t xml:space="preserve"> five, energy; EU scope visible. This is a provisional connection, not an outcome finding.</w:t>
      </w:r>
    </w:p>
    <w:p>
      <w:pPr>
        <w:pStyle w:val="SourceNote"/>
      </w:pPr>
      <w:r>
        <w:rPr>
          <w:b/>
        </w:rPr>
        <w:t>Available abstract (not full text):</w:t>
      </w:r>
      <w:r>
        <w:t xml:space="preserve"> Renewable Energy Communities (RECs) are key to EU energy transitions, but their development depends not only on technical or economic factors, but also on local sociotechnical imaginaries. Based on five case studies, this research shows how visions of justice, participation, and territory shape RECs, highlighting the need for context-sensitive policies.</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2025:</w:t>
      </w:r>
      <w:r>
        <w:t xml:space="preserve"> Perceptions of homosexuality in Nigeria : A phenomenological study of five Nigerians in Finland — https://openalex.org/W7115245172</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Individuals migrating from developing countries to Western societies may experience shifts in their beliefs and attitudes toward homosexual people. Limited studies have focused on migrants’ perceptions after relocating from one country to another, particularly from a social exclusion lens. Therefore, this study sought to investigate migrant perception both during their time living in Nigeria and after moving to Finland through a qualitative approach, focusing on the perspectives of Nigerians residing in Finland. The sample consists of five individuals who represent a range of education, interests, and employment backgrounds. The qualitative data was collected from the interview sessions, and this study revealed that Nigerians living in Finland have a better understanding of Homosexuality. This study showed that the perception of Nigerians of homosexual people have changed after relocating to Finland. This study also revealed factors related to the social exclusion of homosexual people in Nigeria, such as culture, religion, policy, and law. It can be concluded that there is a change in perception, beliefs, and attitudes towards homosexual people. It is recommended that there is a need to organize seminars or workshops and sensitization programs that would foster understanding and empathy to promote the rights of people to be able to live freely as human irrespective of the ident</w:t>
      </w:r>
    </w:p>
    <w:p>
      <w:pPr/>
      <w:r>
        <w:rPr>
          <w:b/>
        </w:rPr>
        <w:t>POSSIBLE 2025:</w:t>
      </w:r>
      <w:r>
        <w:t xml:space="preserve"> Abandoning renewable energy projects in Europe and South America: An emerging consideration in the recycling of energy landscapes — https://doi.org/10.1016/j.esd.2025.101676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Landscape legacies of conventional energy development are vast. Mines, well fields, power plants, sub-stations, refineries, and disposal sites have been accumulating for more than a century. We know these energy landscapes exist, but we are uncertain what to do with them once their initial function is completed. Can they be used for any future purpose; that is, can they be “recycled”? As we gradually shift to renewable energy resources for all the benefits they promise, we are becoming aware that we will be facing similar end-of-life questions about the unique landscapes they are creating. What is their landscape legacy? This paper expands on growing attention to recycling conventional energy landscapes by introducing the circumstances regarding renewable energy landscapes. It addresses the first stages in consideration of these questions as they pertain to the abandonment of renewable energy infrastructures in Europe and South America. Based on reconstructive and comparative analysis of examples of abandoned wind farms, we found that there are barriers to formal decommissioning of these facilities, leaving recycling options as open questions. The main conclusion is that abandoned wind farms are consequences of gaps and weaknesses in the regulations on decommissioning of renewable energy infrastructures, in particular in case of installations abandoned before reaching their ope</w:t>
      </w:r>
    </w:p>
    <w:p>
      <w:pPr/>
      <w:r>
        <w:rPr>
          <w:b/>
        </w:rPr>
        <w:t>POSSIBLE 2025:</w:t>
      </w:r>
      <w:r>
        <w:t xml:space="preserve"> A computational analysis of the media coverage of the European Parliament's ‘green' Designation on sustainable energy and climate change — https://doi.org/10.1016/j.enpol.2025.114592</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Energy is pivotal to the sustainable development agenda for 2030. In this context, nuclear energy emerges as a potential solution for renewable energy development and carbon dioxide mitigation. However, the Russian invasion of Ukraine in 2022 exacerbated global energy concerns, leading to a surge in fuel prices and an economic slowdown, prompting the European Parliament to designate nuclear energy investments as "green." Despite the potential of nuclear energy in advancing sustainability goals, public perception, influenced by historical negative narratives and media coverage, remains a challenge. This article examines the impact of the European Parliament's decision on the news flow and coverage about sustainability, climate change, and nuclear energy in the global media. By analysing seven months of global news coverage, a total of 7822 news stories in English were selected. Through descriptive analysis and unsupervised topic modelling Latent Dirichlet Allocation (LDA) machine learning techniques, this study explores trends in news content and coverage, shedding light on the intersection of energy policies, and media coverage. • The adoption of the Complementary Delegated Act marks a pivotal shift in framing nuclear energy as a sustainable investment. • Media coverage of the Delegated Act was limited, overshadowed by the Russia-Ukraine war. • Topic modelling revealed five the</w:t>
      </w:r>
    </w:p>
    <w:p>
      <w:pPr/>
      <w:r>
        <w:rPr>
          <w:b/>
        </w:rPr>
        <w:t>POSSIBLE 2024:</w:t>
      </w:r>
      <w:r>
        <w:t xml:space="preserve"> Climate, Energy and Security: The New Social Contract of Europe and Spain — https://doi.org/10.52783/pst.1914</w:t>
      </w:r>
    </w:p>
    <w:p>
      <w:pPr/>
      <w:r>
        <w:rPr>
          <w:b/>
        </w:rPr>
        <w:t>Shared claim-specific concepts:</w:t>
      </w:r>
      <w:r>
        <w:t xml:space="preserve"> article, five, energy, presented; EU scope visible. This is a provisional connection, not an outcome finding.</w:t>
      </w:r>
    </w:p>
    <w:p>
      <w:pPr>
        <w:pStyle w:val="SourceNote"/>
      </w:pPr>
      <w:r>
        <w:rPr>
          <w:b/>
        </w:rPr>
        <w:t>Available abstract (not full text):</w:t>
      </w:r>
      <w:r>
        <w:t xml:space="preserve"> In the current context of growing climate instability and geopolitical tensions, the article addresses the critical nexus between climate change, energy security and governance as the basis for a new social contract in Europe and Spain. The approach is based on a central premise: the energy transition and the fight against climate change cannot be addressed in isolation, but must be integrated into a common strategic vision that combines sustainability, social resilience and political autonomy (Mazurier et al., 2020). The work is structured around five thematic axes. First, the conceptual framework of the link between climate and security is examined from the academic literature, highlighting the role of climate change as a risk multiplier (Barnett &amp; Adger, 2007) and the complexity of multilevel governance (Keohane &amp; Victor, 2011). Secondly, the European regulatory framework is analysed, especially the European Green Deal and the Strategic Compass, as pillars that redefine security in integrated terms: energy, climate and civil. Thirdly, the Spanish case is contextualised, emphasising its high energy dependence and climate vulnerability, but also its potential to lead a transition from the local level with renewable energies and decentralisation. Fourthly, the cooperation mechanisms between the EU and Spain are presented, such as electricity interconnections, green hydrogen all</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article, energy;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How have the European Union countries approached the Europe 2020 targets? — https://doi.org/10.1080/27684520.2024.2378171</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.We consider the headline indicators of the Europe 2020 agenda for the European Union countries for several years of the period 2010–2019 and their own national targets for these indicators. The indicators belong to five thematic areas: employment; education; research, development, and innovation; poverty and social exclusion; climate change; and energy. The main objective of this article is to analyze the dynamics and evolution of the EU countries and the Agenda Europe 2020 indicators over the period, taking into account the relations between the indicators for the EU countries along the years. In order to analyze the different data tables, we have used a three-way data methodology, the STATIS methodology. The results obtained show that the countries of the European Union as a whole have made progress towards the global targets set for the different indicators, with some countries making more significant progress than others. The indicators related to research, development, and innovation, as well as climate change and energy, are the ones where the most improvement is needed. The targets set individually for each country, less demanding for some and more daring for others, were generally already achieved in 2019 or are very close to being achieved.</w:t>
      </w:r>
    </w:p>
    <w:p>
      <w:pPr>
        <w:pStyle w:val="Heading2"/>
      </w:pPr>
      <w:r>
        <w:t>597.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2026:</w:t>
      </w:r>
      <w:r>
        <w:t xml:space="preserve"> THE ROLE OF STRATEGIC FORESIGHT IN FINANCIAL DECISIONS IN BANKS — https://openalex.org/W7220265426</w:t>
      </w:r>
    </w:p>
    <w:p>
      <w:pPr/>
      <w:r>
        <w:rPr>
          <w:b/>
        </w:rPr>
        <w:t>Shared claim-specific concepts:</w:t>
      </w:r>
      <w:r>
        <w:t xml:space="preserve"> given, growing, role, foresight, challenges; EU scope not established. This is a provisional connection, not an outcome finding.</w:t>
      </w:r>
    </w:p>
    <w:p>
      <w:pPr>
        <w:pStyle w:val="SourceNote"/>
      </w:pPr>
      <w:r>
        <w:rPr>
          <w:b/>
        </w:rPr>
        <w:t>Available abstract (not full text):</w:t>
      </w:r>
      <w:r>
        <w:t xml:space="preserve"> This research aims to study the growing role of strategic foresight in improving the quality of financial decisions within public and private institutions, given the rapidly evolving and increasingly uncertain economic environments. Institutions are facing financial challenges related to sudden market changes, resource volatility, and intensifying global competition. This necessitates the use of foresight tools and methods capable of supporting financial decision-makers in understanding future trends and evaluating potential paths. The research addresses the concept of strategic foresight as a systematic process that aims to analyze the future by leveraging data, indicators, and weak signals to develop a future vision that aids in long-term financial planning.</w:t>
      </w:r>
    </w:p>
    <w:p>
      <w:pPr/>
      <w:r>
        <w:rPr>
          <w:b/>
        </w:rPr>
        <w:t>POSSIBLE 2026:</w:t>
      </w:r>
      <w:r>
        <w:t xml:space="preserve"> Strategic Technology Foresight Certification Assessment — https://doi.org/10.17605/osf.io/tc796</w:t>
      </w:r>
    </w:p>
    <w:p>
      <w:pPr/>
      <w:r>
        <w:rPr>
          <w:b/>
        </w:rPr>
        <w:t>Shared claim-specific concepts:</w:t>
      </w:r>
      <w:r>
        <w:t xml:space="preserve"> given, growing, technological, foresight, era, approach; EU scope not established. This is a provisional connection, not an outcome finding.</w:t>
      </w:r>
    </w:p>
    <w:p>
      <w:pPr>
        <w:pStyle w:val="SourceNote"/>
      </w:pPr>
      <w:r>
        <w:rPr>
          <w:b/>
        </w:rPr>
        <w:t>Available abstract (not full text):</w:t>
      </w:r>
      <w:r>
        <w:t xml:space="preserve"> In an era defined by exponential technological advancement, the capacity to anticipate, interpret, and strategically respond to future developments has become a defining attribute of organizational success. Yoesoep Edhie Rachmad (YER), reflected in the formulation of this framework in 2022, it became increasingly evident that traditional models of planning and decision-making are no longer sufficient to address the complexity and uncertainty of the contemporary technological landscape. The emergence of disruptive innovations, coupled with accelerating cycles of change, demands a new paradigm one that integrates foresight, strategy, and adaptive capability into a cohesive system of leadership and governance. The Strategic Technology Foresight Certification Assessment is conceived as a response to this paradigm shift. It is not merely an evaluative instrument but a comprehensive framework designed to cultivate and measure the competencies required for navigating an uncertain technological future. At its core, this assessment seeks to redefine foresight as a strategic capability one that transcends predictive analytics and extends into the realms of visioning, sense-making, and transformative decision-making. Technology foresight has traditionally been associated with forecasting trends and identifying emerging innovations. While these functions remain important, they represent on</w:t>
      </w:r>
    </w:p>
    <w:p>
      <w:pPr/>
      <w:r>
        <w:rPr>
          <w:b/>
        </w:rPr>
        <w:t>POSSIBLE 2026:</w:t>
      </w:r>
      <w:r>
        <w:t xml:space="preserve"> The next episode for narrative foresight — https://doi.org/10.1016/j.futures.2026.103876</w:t>
      </w:r>
    </w:p>
    <w:p>
      <w:pPr/>
      <w:r>
        <w:rPr>
          <w:b/>
        </w:rPr>
        <w:t>Shared claim-specific concepts:</w:t>
      </w:r>
      <w:r>
        <w:t xml:space="preserve"> foresight, ways,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2025:</w:t>
      </w:r>
      <w:r>
        <w:t xml:space="preserve"> Transformations Along the Periphery – The Growing Role of Islam in Malta in the Decade Following the Arab Spring — https://doi.org/10.71069/ipr2.25.mc07</w:t>
      </w:r>
    </w:p>
    <w:p>
      <w:pPr/>
      <w:r>
        <w:rPr>
          <w:b/>
        </w:rPr>
        <w:t>Shared claim-specific concepts:</w:t>
      </w:r>
      <w:r>
        <w:t xml:space="preserve"> given, growing, role, challenges; EU scope visible. This is a provisional connection, not an outcome finding.</w:t>
      </w:r>
    </w:p>
    <w:p>
      <w:pPr>
        <w:pStyle w:val="SourceNote"/>
      </w:pPr>
      <w:r>
        <w:rPr>
          <w:b/>
        </w:rPr>
        <w:t>Available abstract (not full text):</w:t>
      </w:r>
      <w:r>
        <w:t xml:space="preserve"> This article examines the increasing role of Islam in Malta in the decade following the onset of the Arab Spring, a development largely driven by rising migration levels toward Europe. The study begins with a historical overview of Islam’s presence in Malta, followed by an analysis of available statistical data regarding the country’s Muslim population. Lastly, the article explores specific challenges faced by Maltese Muslims that are of significant importance to this religious group. The research is based on official state documents concerning demographic trends, reports from international organizations, materials published in local media, and insights from spiritual leaders and public figures. The study concludes that, given the sustained high levels of migration, the influence of Islam in Malta is likely to continue growing.</w:t>
      </w:r>
    </w:p>
    <w:p>
      <w:pPr/>
      <w:r>
        <w:rPr>
          <w:b/>
        </w:rPr>
        <w:t>POSSIBLE 2025:</w:t>
      </w:r>
      <w:r>
        <w:t xml:space="preserve"> Leveraging GenAI for technology foresight — https://doi.org/10.1017/pds.2025.10236</w:t>
      </w:r>
    </w:p>
    <w:p>
      <w:pPr/>
      <w:r>
        <w:rPr>
          <w:b/>
        </w:rPr>
        <w:t>Shared claim-specific concepts:</w:t>
      </w:r>
      <w:r>
        <w:t xml:space="preserve"> growing, technological, foresight, challenges; EU scope not established. This is a provisional connection, not an outcome finding.</w:t>
      </w:r>
    </w:p>
    <w:p>
      <w:pPr>
        <w:pStyle w:val="SourceNote"/>
      </w:pPr>
      <w:r>
        <w:rPr>
          <w:b/>
        </w:rPr>
        <w:t>Available abstract (not full text):</w:t>
      </w:r>
      <w:r>
        <w:t xml:space="preserve"> ABSTRACT: Facing increasingly dynamic market environments and global challenges such as climate change and resource scarcity, companies are under constant pressure to innovate and remain competitive. As technology is a key enabler, companies need to understand the drivers of technological change. Technology Foresight systematically identifies and analyzes emerging technologies to support engineering design decisions. However, the growing volume of data is outpacing manual processing capabilities. This research explores the integration of Generative AI to enhance Technology Foresight by automating technology analysis and information synthesis. This paper presents a comprehensive problem analysis, reviews existing solutions, and proposes a framework that demonstrates the potential of Large Language Models combined with a Retrieval Augmented Generation architecture to transform Technology Foresight.</w:t>
      </w:r>
    </w:p>
    <w:p>
      <w:pPr/>
      <w:r>
        <w:rPr>
          <w:b/>
        </w:rPr>
        <w:t>POSSIBLE 2024:</w:t>
      </w:r>
      <w:r>
        <w:t xml:space="preserve"> Iran’s growing role in Eurasian transport and communication projects — https://doi.org/10.17223/15617793/504/10</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Iran, belonging to the “middle powers” type in terms of its military and economic capabilities, is one of the influential and energetic states in Eurasia with great ambitions. In the emerging new geopolitical reality, accompanied by an imbalance of the existing international system and a change in the configuration of forces, Iran positions itself as an important regional player. The aim of this study is to analyze the growing role of Iran in the emerging Eurasian transport and communication systems. The emerging transport and communication systems in Eurasia with the participation of two major regional centers of power – Russia and China – became a challenge for Iran. The respond of the Iranian administration is increasing the activity of its Eurasian diplomacy. In turn, Russia and China, recognizing Iran’s unique geopolitical location, show interest in building strategic and mutually beneficial cooperation in the field of joint implementation of transport and communication projects. Iran’s transit potential is one of the factors contributing to the strengthening of cooperation with the countries of Central Asia. At the same time, there is mutual interest when the countries of Central Asia that do not have access to the open sea respond positively to Iran’s proposal to strengthen transport and communication cooperation. The Chinese BRI project, where Central Asian countries pl</w:t>
      </w:r>
    </w:p>
    <w:p>
      <w:pPr/>
      <w:r>
        <w:rPr>
          <w:b/>
        </w:rPr>
        <w:t>POSSIBLE 2024:</w:t>
      </w:r>
      <w:r>
        <w:t xml:space="preserve"> ROLE OF INFRASTRUCTURE IN GROWING THE REGIONAL ECONOMY — https://openalex.org/W7215585999</w:t>
      </w:r>
    </w:p>
    <w:p>
      <w:pPr/>
      <w:r>
        <w:rPr>
          <w:b/>
        </w:rPr>
        <w:t>Shared claim-specific concepts:</w:t>
      </w:r>
      <w:r>
        <w:t xml:space="preserve"> growing, role; EU scope not established. This is a provisional connection, not an outcome finding.</w:t>
      </w:r>
    </w:p>
    <w:p>
      <w:pPr>
        <w:pStyle w:val="SourceNote"/>
      </w:pPr>
      <w:r>
        <w:rPr>
          <w:b/>
        </w:rPr>
        <w:t>Available abstract (not full text):</w:t>
      </w:r>
      <w:r>
        <w:t xml:space="preserve"> This article is written about the development of infrastructures in the development of the economy, in which the international and regional infrastructures are highlighted.</w:t>
      </w:r>
    </w:p>
    <w:p>
      <w:pPr/>
      <w:r>
        <w:rPr>
          <w:b/>
        </w:rPr>
        <w:t>POSSIBLE 2024:</w:t>
      </w:r>
      <w:r>
        <w:t xml:space="preserve"> The role of biogumus in potato growing in the conditions of Uzbekistan — https://doi.org/10.1051/e3sconf/202456303025</w:t>
      </w:r>
    </w:p>
    <w:p>
      <w:pPr/>
      <w:r>
        <w:rPr>
          <w:b/>
        </w:rPr>
        <w:t>Shared claim-specific concepts:</w:t>
      </w:r>
      <w:r>
        <w:t xml:space="preserve"> growing, role; EU scope not established. This is a provisional connection, not an outcome finding.</w:t>
      </w:r>
    </w:p>
    <w:p>
      <w:pPr>
        <w:pStyle w:val="SourceNote"/>
      </w:pPr>
      <w:r>
        <w:rPr>
          <w:b/>
        </w:rPr>
        <w:t>Available abstract (not full text):</w:t>
      </w:r>
      <w:r>
        <w:t xml:space="preserve"> This comprehensive scientific article delves into the critical role that biohumus plays in enhancing soil quality and productivity, specifically within the context of potato cultivation. It meticulously explores the multifaceted process of biohumus preparation, outlining the technology and methods involved, and details the optimal rates and timing for applying biohumus to achieve the best outcomes. Biohumus, a rich, organic fertilizer derived from the vermicomposting process, involves the breakdown of organic material by earthworms. This natural fertilizer is lauded for its ability to improve soil structure, enhance water retention, and increase microbial activity, which together contribute to a more fertile ground for plant growth. In the case of potato cultivation, which demands high soil fertility and structure to ensure the development of quality tubers, the application of biohumus is particularly beneficial. The article methodically examines various strategies for the preparation of biohumus, emphasizing the importance of selecting the right raw materials, controlling the vermicomposting environment, and ensuring the maturity of the biohumus before its application. It stresses the significance of understanding the specific needs of the soil and the potato plants to determine the appropriate application rates and periods.</w:t>
      </w:r>
    </w:p>
    <w:p>
      <w:pPr/>
      <w:r>
        <w:rPr>
          <w:b/>
        </w:rPr>
        <w:t>POSSIBLE 2024:</w:t>
      </w:r>
      <w:r>
        <w:t xml:space="preserve"> Urban tourism: The growing role of VFR and immigration — https://doi.org/10.32920/25246657.v1</w:t>
      </w:r>
    </w:p>
    <w:p>
      <w:pPr/>
      <w:r>
        <w:rPr>
          <w:b/>
        </w:rPr>
        <w:t>Shared claim-specific concepts:</w:t>
      </w:r>
      <w:r>
        <w:t xml:space="preserve"> growing, role, approach; EU scope not established. This is a provisional connection, not an outcome finding.</w:t>
      </w:r>
    </w:p>
    <w:p>
      <w:pPr>
        <w:pStyle w:val="SourceNote"/>
      </w:pPr>
      <w:r>
        <w:rPr>
          <w:b/>
        </w:rPr>
        <w:t>Available abstract (not full text):</w:t>
      </w:r>
      <w:r>
        <w:t xml:space="preserve"> Purpose. The purpose of this viewpoint is to offer some insights into the future of urban tourism. The discussion highlights the fact that cities are increasingly hosting immigrants who have a growing impact on how tourism is shaped. Approach. This discussion is based on a literature review and a conceptual approach Findings. The number of immigrants to cities keeps growing. These immigrants are shaping their new communities and changing local culture. They contribute to increased tourism through generating VFR travel and creating new tourist attractions. Limitations and implications. The implications of VFR and immigration on urban tourism are most visible in large urban centers that are major points of entry into a country and international magnets. They are not, however, limited to big cities. Originality/value. This paper discusses a topic rarely discussed: the impact of VFR and immigration on shaping urban tourism.</w:t>
      </w:r>
    </w:p>
    <w:p>
      <w:pPr/>
      <w:r>
        <w:rPr>
          <w:b/>
        </w:rPr>
        <w:t>POSSIBLE 2024:</w:t>
      </w:r>
      <w:r>
        <w:t xml:space="preserve"> Institutionalizing foresight in science, technology, and innovation in sub‐Saharan Africa — https://doi.org/10.1111/dpr.12789</w:t>
      </w:r>
    </w:p>
    <w:p>
      <w:pPr/>
      <w:r>
        <w:rPr>
          <w:b/>
        </w:rPr>
        <w:t>Shared claim-specific concepts:</w:t>
      </w:r>
      <w:r>
        <w:t xml:space="preserve"> technological, foresight, goals, ways, sti, challenges; EU scope not established. This is a provisional connection, not an outcome finding.</w:t>
      </w:r>
    </w:p>
    <w:p>
      <w:pPr>
        <w:pStyle w:val="SourceNote"/>
      </w:pPr>
      <w:r>
        <w:rPr>
          <w:b/>
        </w:rPr>
        <w:t>Available abstract (not full text):</w:t>
      </w:r>
      <w:r>
        <w:t xml:space="preserve"> Abstract Motivation Foresight is increasingly being institutionalized and used in science, technology and innovation (STI) policy processes around the world. Foresight is a toolbox to help decision‐makers generate intelligence about future scientific and technological advances and to frame long‐term STI policy goals and rationales. Foresight can be used to inform policy to steer research and innovation (R&amp;I) towards attaining sustainable development goals. Yet, foresight is not institutionalized and used in sub‐Saharan Africa (SSA) at a time when many governments are formulating new STI policies and some of their science granting councils (SGCs) are setting R&amp;I priorities. Purpose This exploratory study is about challenges and opportunities of institutionalizing STI foresight in SSA. It identifies ways of institutionalizing and using STI foresight. Methods and approach A literature review, bibliometric analysis, interviews, an online survey, and focus group discussions were conducted to identify challenges to, and lessons for, institutionalizing STI foresight in SSA. The literature identified good practices for institutionalizing STI foresight in selected developed countries, to draw lessons for SSA. Findings While academic research on STI foresight and related topics is increasing, there is very limited foresight practice in STI policy processes in SSA. This is mainly owing to</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growing, technological, foresight, challenges, approach;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pStyle w:val="Heading2"/>
      </w:pPr>
      <w:r>
        <w:t>598.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Exercise Physiology — https://openalex.org/W7207012056</w:t>
      </w:r>
    </w:p>
    <w:p>
      <w:pPr/>
      <w:r>
        <w:rPr>
          <w:b/>
        </w:rPr>
        <w:t>Shared claim-specific concepts:</w:t>
      </w:r>
      <w:r>
        <w:t xml:space="preserve"> exercise, different, technology; EU scope not established. This is a provisional connection, not an outcome finding.</w:t>
      </w:r>
    </w:p>
    <w:p>
      <w:pPr>
        <w:pStyle w:val="SourceNote"/>
      </w:pPr>
      <w:r>
        <w:rPr>
          <w:b/>
        </w:rPr>
        <w:t>Available abstract (not full text):</w:t>
      </w:r>
      <w:r>
        <w:t xml:space="preserve"> This book, Exercise Physiology - Bridging Health, Training Performance and Technology , seeks to bring together diverse fields of knowledge in a modern, interdisciplinary framework. Throughout its chapters, exercise physiology reveals how the body responds to and adapts to physical exertion, and what types of performance result from these adaptations in both practical and evolutionary contexts. Technology is assumed to be a mediating and enhancing element, enabling more effective interventions and decisions with more precise information. The result is an integrated, up-to-date look at human body movement, capable of inspiring professionals, students, and researchers to rethink sport and health from an innovative, connected perspective. This book presents itself as an indispensable read for anyone who wants to understand the interconnections among training, sport, health, and human performance. These chapters reveal, in an engaging way, knowledge of real results across different practice contexts as a driving strength that optimizes interventions and transforms decision-making. The reader finds here an integrated and inspiring vision, inviting exploration of something current in science, training, and innovation.</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Visioning for transport practitioners — https://doi.org/10.1016/j.trip.2025.101483</w:t>
      </w:r>
    </w:p>
    <w:p>
      <w:pPr/>
      <w:r>
        <w:rPr>
          <w:b/>
        </w:rPr>
        <w:t>Shared claim-specific concepts:</w:t>
      </w:r>
      <w:r>
        <w:t xml:space="preserve"> visioning, three, transport, need; EU scope not established. This is a provisional connection, not an outcome finding.</w:t>
      </w:r>
    </w:p>
    <w:p>
      <w:pPr>
        <w:pStyle w:val="SourceNote"/>
      </w:pPr>
      <w:r>
        <w:rPr>
          <w:b/>
        </w:rPr>
        <w:t>Available abstract (not full text):</w:t>
      </w:r>
      <w:r>
        <w:t xml:space="preserve">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pPr/>
      <w:r>
        <w:rPr>
          <w:b/>
        </w:rPr>
        <w:t>POSSIBLE 2025:</w:t>
      </w:r>
      <w:r>
        <w:t xml:space="preserve"> Plural Values of Culture in Europe — https://openalex.org/W7137507789</w:t>
      </w:r>
    </w:p>
    <w:p>
      <w:pPr/>
      <w:r>
        <w:rPr>
          <w:b/>
        </w:rPr>
        <w:t>Shared claim-specific concepts:</w:t>
      </w:r>
      <w:r>
        <w:t xml:space="preserve"> resulted, three, alternative;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exercise, technology;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2023:</w:t>
      </w:r>
      <w:r>
        <w:t xml:space="preserve"> Pre-Visions: First Results of the EDEN Fellows Survey on the Futures of Learning — https://doi.org/10.5334/uproc.103</w:t>
      </w:r>
    </w:p>
    <w:p>
      <w:pPr/>
      <w:r>
        <w:rPr>
          <w:b/>
        </w:rPr>
        <w:t>Shared claim-specific concepts:</w:t>
      </w:r>
      <w:r>
        <w:t xml:space="preserve"> exercise, technology; EU scope visible. This is a provisional connection, not an outcome finding.</w:t>
      </w:r>
    </w:p>
    <w:p>
      <w:pPr>
        <w:pStyle w:val="SourceNote"/>
      </w:pPr>
      <w:r>
        <w:rPr>
          <w:b/>
        </w:rPr>
        <w:t>Available abstract (not full text):</w:t>
      </w:r>
      <w:r>
        <w:t xml:space="preserve"> Technology is pervasive and intertwined in many aspects of modern life and society. The digital revolution that is sweeping the world has shown its potential in education during the Covid-19 pandemic. It is rapidly transforming the way students learn, and as a result, technology is expected to improve the face of education by making it more inclusive and accessible. In the framework of the EDEN Pre-Visions project, the EDEN fellows conducted a prospective study on the future trends of open and digital education in Europe in the next decade. 40 EDEN Fellows took part in an online survey launched in January 2023. In this paper, we present and analyse the first results of this exercise, describing the views of the experts on six dimensions: the European context evolution and socio-economic dynamics; EdTech research and development; EdTech practices; institutional digital transformation; societal impacts and implications; policies and regulations.</w:t>
      </w:r>
    </w:p>
    <w:p>
      <w:pPr/>
      <w:r>
        <w:rPr>
          <w:b/>
        </w:rPr>
        <w:t>POSSIBLE 2023:</w:t>
      </w:r>
      <w:r>
        <w:t xml:space="preserve"> An empirical study on the effect of outdoor illumination and exercise intervention on Children’s vision — https://doi.org/10.3389/fpubh.2023.1270826</w:t>
      </w:r>
    </w:p>
    <w:p>
      <w:pPr/>
      <w:r>
        <w:rPr>
          <w:b/>
        </w:rPr>
        <w:t>Shared claim-specific concepts:</w:t>
      </w:r>
      <w:r>
        <w:t xml:space="preserve"> exercise, different, reducing; EU scope not established. This is a provisional connection, not an outcome finding.</w:t>
      </w:r>
    </w:p>
    <w:p>
      <w:pPr>
        <w:pStyle w:val="SourceNote"/>
      </w:pPr>
      <w:r>
        <w:rPr>
          <w:b/>
        </w:rPr>
        <w:t>Available abstract (not full text):</w:t>
      </w:r>
      <w:r>
        <w:t xml:space="preserve"> Objective To explore the relationship between outdoor lighting and sports and the development of myopia, and to analyze the effects of outdoor lighting and exercise on the diopter of children with normal vision and myopia, so as to provide guidance for the prevention and treatment of myopia in children and adolescents in the future. Methods A total of 201 children were divided into two groups according to myopia or not. Each group was randomly divided into 4 groups: outdoor exercise group, outdoor control group, indoor exercise group and indoor control group. Among them, the outdoor exercise group and indoor exercise group received moderate and high intensity aerobic exercise 3 times a week for 60 min each time for 12 months, while the outdoor control group and indoor control group had normal study and life during the corresponding period of time. No additional exercise intervention. At the end of the experiment, the diopter of each group was compared. Results The diopter of all groups with normal vision and myopia decreased significantly after the experiment ( p &lt; 0.01). There were significant differences in diopter between outdoor exercise group and indoor control group ( p &lt; 0.01), between outdoor exercise group and indoor control group ( p &lt; 0.05), and between indoor exercise group and indoor control group ( p &lt; 0.01). There were significant differences in diopter between i</w:t>
      </w:r>
    </w:p>
    <w:p>
      <w:pPr/>
      <w:r>
        <w:rPr>
          <w:b/>
        </w:rPr>
        <w:t>POSSIBLE 2023:</w:t>
      </w:r>
      <w:r>
        <w:t xml:space="preserve"> Peripheral Vision in Basketball Players at Different Level of Experience — https://doi.org/10.2478/pjst-2023-0007</w:t>
      </w:r>
    </w:p>
    <w:p>
      <w:pPr/>
      <w:r>
        <w:rPr>
          <w:b/>
        </w:rPr>
        <w:t>Shared claim-specific concepts:</w:t>
      </w:r>
      <w:r>
        <w:t xml:space="preserve"> different, focus, need; EU scope visible. This is a provisional connection, not an outcome finding.</w:t>
      </w:r>
    </w:p>
    <w:p>
      <w:pPr>
        <w:pStyle w:val="SourceNote"/>
      </w:pPr>
      <w:r>
        <w:rPr>
          <w:b/>
        </w:rPr>
        <w:t>Available abstract (not full text):</w:t>
      </w:r>
      <w:r>
        <w:t xml:space="preserve"> Abstract Introduction. This study focuses on the sensory information delivered by the visual system, particularly in the peripheral visual field (PVF). Visual abilities, especially the ability to detect peripheral information, have been identified as important factors for successful performance in team sports. Athletes often need to divide their visual focus between central and peripheral fields to achieve optimal performance. However, research on visual perception in athletes with varying levels of experience is still limited. The aim of the study was to compare peripheral perception of basketball players at different level of experience. Material and Methods. In study 165 basketball players took part at different level of experience. An analysis compare abilities general visual functions (i.e. field of vision) and reaction time to visual stimuli. Peripheral perception was examined using the peripheral test included in Vienna Test System (VTS, Schuhfried, Austria). During the test variables were recorded: total field of vision, viewing angle of the left and right eye., tracking deviation, number of correct reactions, the number of omitted responses and median reaction time – left and right stimuli. Results. The results indicate that the E and U19 groups had significantly shorter response time to stimuli appearing in the peripheral field of vision compared to U15 group. Two mor</w:t>
      </w:r>
    </w:p>
    <w:p>
      <w:pPr>
        <w:pStyle w:val="Heading2"/>
      </w:pPr>
      <w:r>
        <w:t>599.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2024:</w:t>
      </w:r>
      <w:r>
        <w:t xml:space="preserve"> MediAlbertina: An European Portuguese medical language model — https://doi.org/10.1016/j.compbiomed.2024.109233</w:t>
      </w:r>
    </w:p>
    <w:p>
      <w:pPr/>
      <w:r>
        <w:rPr>
          <w:b/>
        </w:rPr>
        <w:t>Shared claim-specific concepts:</w:t>
      </w:r>
      <w:r>
        <w:t xml:space="preserve"> after, filtering, values, made; EU scope visible. This is a provisional connection, not an outcome finding.</w:t>
      </w:r>
    </w:p>
    <w:p>
      <w:pPr>
        <w:pStyle w:val="SourceNote"/>
      </w:pPr>
      <w:r>
        <w:rPr>
          <w:b/>
        </w:rPr>
        <w:t>Available abstract (not full text):</w:t>
      </w:r>
      <w:r>
        <w:t xml:space="preserve"> Patient medical information often exists in unstructured text containing abbreviations and acronyms deemed essential to conserve time and space but posing challenges for automated interpretation. Leveraging the efficacy of Transformers in natural language processing, our objective was to use the knowledge acquired by a language model and continue its pre-training to develop an European Portuguese (PT-PT) healthcare-domain language model. After carrying out a filtering process, Albertina PT-PT 900M was selected as our base language model, and we continued its pre-training using more than 2.6 million electronic medical records from Portugal's largest public hospital. MediAlbertina 900M has been created through domain adaptation on this data using masked language modelling. The comparison with our baseline was made through the usage of both perplexity, which decreased from about 20 to 1.6 values, and the fine-tuning and evaluation of information extraction models such as Named Entity Recognition and Assertion Status. MediAlbertina PT-PT outperformed Albertina PT-PT in both tasks by 4–6% on recall and f1-score. This study contributes with the first publicly available medical language model trained with PT-PT data. It underscores the efficacy of domain adaptation and offers a contribution to the scientific community in overcoming obstacles of non-English languages. With MediAlbertin</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climate, those, long-term;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Wavelet-based tools to analyze, filter, and reconstruct transient gravitational-wave signals — https://doi.org/10.1103/physrevd.109.102010</w:t>
      </w:r>
    </w:p>
    <w:p>
      <w:pPr/>
      <w:r>
        <w:rPr>
          <w:b/>
        </w:rPr>
        <w:t>Shared claim-specific concepts:</w:t>
      </w:r>
      <w:r>
        <w:t xml:space="preserve"> filtering, limited, comparing, those; EU scope not established. This is a provisional connection, not an outcome finding.</w:t>
      </w:r>
    </w:p>
    <w:p>
      <w:pPr>
        <w:pStyle w:val="SourceNote"/>
      </w:pPr>
      <w:r>
        <w:rPr>
          <w:b/>
        </w:rPr>
        <w:t>Available abstract (not full text):</w:t>
      </w:r>
      <w:r>
        <w:t xml:space="preserve"> The analysis of gravitational-wave signals is one of the most challenging application areas of signal processing, because of the extreme weakness of these signals and of the great complexity of gravitational-wave detectors. Wavelet transforms are specially helpful in detecting and analyzing gravitational-wave transients and several analysis pipelines are based on these transforms, both continuous and discrete. While discrete wavelet transforms have distinct advantages in terms of computing efficiency, continuous wavelet transforms (CWT) produce smooth and visually stunning time-frequency maps where the wavelet energy is displayed in terms of time and frequency. In addition to wavelets, short-time Fourier transforms (STFT) and Stockwell transforms (ST) are also used, or the $Q$-transform, which is a Morlet waveletlike transform where the width of the Gaussian envelope is parametrized by a parameter denoted by $Q$ [Chatterji et al., Classical Quantum Gravity 21, S1809 (2004)]. To date, the use of CWTs in gravitational-wave data analysis has been limited by the higher computational load when compared with discrete wavelets, and also by the lack of an inversion formula for wavelet families that do not satisfy the admissibility condition. In this paper we consider Morlet wavelets parametrized in the same way as the Q-transform (hence the name wavelet Q-transform) which have all the </w:t>
      </w:r>
    </w:p>
    <w:p>
      <w:pPr/>
      <w:r>
        <w:rPr>
          <w:b/>
        </w:rPr>
        <w:t>POSSIBLE 2023:</w:t>
      </w:r>
      <w:r>
        <w:t xml:space="preserve"> Convoluted filtering for process cycle modeling — https://doi.org/10.1002/eng2.12657</w:t>
      </w:r>
    </w:p>
    <w:p>
      <w:pPr/>
      <w:r>
        <w:rPr>
          <w:b/>
        </w:rPr>
        <w:t>Shared claim-specific concepts:</w:t>
      </w:r>
      <w:r>
        <w:t xml:space="preserve"> after, filtering, limited; EU scope not established. This is a provisional connection, not an outcome finding.</w:t>
      </w:r>
    </w:p>
    <w:p>
      <w:pPr>
        <w:pStyle w:val="SourceNote"/>
      </w:pPr>
      <w:r>
        <w:rPr>
          <w:b/>
        </w:rPr>
        <w:t>Available abstract (not full text):</w:t>
      </w:r>
      <w:r>
        <w:t xml:space="preserve"> Abstract Principles of materials science and engineering, physics, mathematics, and information science are used to extract knowledge and insights from the process‐structure–property‐performance relationships hidden in materials data. The process‐structure modeling can be accelerated without loss of interpretability, with artificial intelligence tools that mimic the salient features of the process and process‐structure relations. In this work, a novel convoluted model‐filtering technique was exploited to build and successfully train the Convoluted Filter (CoFi) artifacts for Fe‐based alloy heat treatment cycles. The artifacts were pre‐trained to filter out deep models that change the surrogate microstructure state after the heat treatment at ambient conditions. Direct representation of the thermal cycle features within knowledge Graph facilitated development of meaningful data models for microstructure evolution, which reduce overfitting to limited datasets.</w:t>
      </w:r>
    </w:p>
    <w:p>
      <w:pPr/>
      <w:r>
        <w:rPr>
          <w:b/>
        </w:rPr>
        <w:t>POSSIBLE 2023:</w:t>
      </w:r>
      <w:r>
        <w:t xml:space="preserve"> Dark side of the honeymoon: reconstructing the Asian x European rose breeding history through the lens of genomics — https://doi.org/10.1101/2023.06.22.546162</w:t>
      </w:r>
    </w:p>
    <w:p>
      <w:pPr/>
      <w:r>
        <w:rPr>
          <w:b/>
        </w:rPr>
        <w:t>Shared claim-specific concepts:</w:t>
      </w:r>
      <w:r>
        <w:t xml:space="preserve"> reconstructing, characterized, period; EU scope visible. This is a provisional connection, not an outcome finding.</w:t>
      </w:r>
    </w:p>
    <w:p>
      <w:pPr>
        <w:pStyle w:val="SourceNote"/>
      </w:pPr>
      <w:r>
        <w:rPr>
          <w:b/>
        </w:rPr>
        <w:t>Available abstract (not full text):</w:t>
      </w:r>
      <w:r>
        <w:t xml:space="preserve"> Summary Roses hold significant symbolic value in Western cultural heritage, often serving as a symbol of love and romance. Despite their ancient cultivation, the appreciation for the phenotypic diversity of roses emerged relatively recently, notably during the 19th century. This period is characterized by a remarkable expansion in the number of varieties, from around 100 to over 8,000, representing a golden age for roses. To trace the history of rose breeding in Europe and unveil genetic changes during this period, we gathered phenotypic and genetic data from 204 accessions. These included botanical roses and varieties cultivated between 1800 and 1910. Whole-genome sequences from 32 accessions were also included. Our analysis revealed a temporal shift in the genetic makeup, transitioning from a historical European to a near-Asian genetic background within a few generations. This shift was accompanied by a notable reduction in genetic diversity, attributed to the backcrossing with the less diverse Asian genepool, plus some genomic signatures of selection. We have generated the largest GWAS catalog for rose to date, offering a valuable resource for future breeding initiatives. We emphasize the critical importance of preserving ancient rose collections to safeguard diversity and ensure a sustainable breeding for the long term.</w:t>
      </w:r>
    </w:p>
    <w:p>
      <w:pPr/>
      <w:r>
        <w:rPr>
          <w:b/>
        </w:rPr>
        <w:t>POSSIBLE 2023:</w:t>
      </w:r>
      <w:r>
        <w:t xml:space="preserve"> Reconstructing the post-glacial spread of the sand fly Phlebotomus mascittii Grassi, 1908 (Diptera: Psychodidae) in Europe — https://doi.org/10.1038/s42003-023-05616-1</w:t>
      </w:r>
    </w:p>
    <w:p>
      <w:pPr/>
      <w:r>
        <w:rPr>
          <w:b/>
        </w:rPr>
        <w:t>Shared claim-specific concepts:</w:t>
      </w:r>
      <w:r>
        <w:t xml:space="preserve"> reconstructing, current, climate; EU scope visible. This is a provisional connection, not an outcome finding.</w:t>
      </w:r>
    </w:p>
    <w:p>
      <w:pPr>
        <w:pStyle w:val="SourceNote"/>
      </w:pPr>
      <w:r>
        <w:rPr>
          <w:b/>
        </w:rPr>
        <w:t>Available abstract (not full text):</w:t>
      </w:r>
      <w:r>
        <w:t xml:space="preserve"> Phlebotomine sand flies (Diptera: Phlebotominae) are the principal vectors of Leishmania spp. (Kinetoplastida: Trypanosomatidae). In Central Europe, Phlebotomus mascittii is the predominant species, but largely understudied. To better understand factors driving its current distribution, we infer patterns of genetic diversity by testing for signals of population expansion based on two mitochondrial genes and model current and past climate and habitat suitability for seven post-glacial maximum periods, taking 19 climatic variables into account. Consequently, we elucidate their connections by environmental-geographical network analysis. Most analyzed populations share a main haplotype tracing back to a single glacial maximum refuge area on the Mediterranean coasts of South France, which is supported by network analysis. The rapid range expansion of Ph. mascittii likely started in the early mid-Holocene epoch until today and its spread possibly followed two routes. The first one was through northern France to Germany and then Belgium, and the second across the Ligurian coast through present-day Slovenia to Austria, toward the northern Balkans. Here we present a combined approach to reveal glacial refugia and post-glacial spread of Ph. mascittii and observed discrepancies between the modelled and the current known distribution might reveal yet overlooked populations and potential fu</w:t>
      </w:r>
    </w:p>
    <w:p>
      <w:pPr/>
      <w:r>
        <w:rPr>
          <w:b/>
        </w:rPr>
        <w:t>POSSIBLE 2022:</w:t>
      </w:r>
      <w:r>
        <w:t xml:space="preserve"> Presence-Absence Points for Tree Species Distribution Modelling for Europe — https://doi.org/10.5281/zenodo.5818021</w:t>
      </w:r>
    </w:p>
    <w:p>
      <w:pPr/>
      <w:r>
        <w:rPr>
          <w:b/>
        </w:rPr>
        <w:t>Shared claim-specific concepts:</w:t>
      </w:r>
      <w:r>
        <w:t xml:space="preserve"> after, values, period; EU scope visible. This is a provisional connection, not an outcome finding.</w:t>
      </w:r>
    </w:p>
    <w:p>
      <w:pPr>
        <w:pStyle w:val="SourceNote"/>
      </w:pPr>
      <w:r>
        <w:rPr>
          <w:b/>
        </w:rPr>
        <w:t>Available abstract (not full text):</w:t>
      </w:r>
      <w:r>
        <w:t xml:space="preserve"> The dataset is a collection of presence and absence points for forest tree species for Europe. Each unique combination of longitude, latitude and year was considered as an independent sample. Presence data was obtained from the harmonized tree species occurrence dataset by Heising and Hengl (2020) and absence data from the LUCAS (in-situ source) dataset. A set of 50 different forest tree species was selected from the harmonized tree species dataset and data lacking a temporal observation was overlaid with yearly forest masks derived from land cover maps produced by Parente et al. (2021). We overlaid the points with the probability maps for the classes: 311: Broad-leaved forest, 312: Coniferous forest, 313: Mixed forest, 323: Sclerophyllous forest, 324: Transitional woodland-shrub, 333: Sparsely vegetated area. Points were included in the dataset only if the probability value extracted for at least one of the above classes was ≥ 50% for all the years considered. An additional quality flag was added to distinguish points coming from this operation and the points with original year of observation coming from source datasets. The final dataset contains 4,359,999 observations for and a total of 630 columns. The first 8 columns of the dataset contain metadata information used to uniquely identify the points: id: unique point identifier, year: year of observation, postprocess: quality</w:t>
      </w:r>
    </w:p>
    <w:p>
      <w:pPr/>
      <w:r>
        <w:rPr>
          <w:b/>
        </w:rPr>
        <w:t>POSSIBLE 2022:</w:t>
      </w:r>
      <w:r>
        <w:t xml:space="preserve"> New models for wild ungulates occurrence and hunting yield abundance at European scale — https://doi.org/10.2903/sp.efsa.2022.en-7631</w:t>
      </w:r>
    </w:p>
    <w:p>
      <w:pPr/>
      <w:r>
        <w:rPr>
          <w:b/>
        </w:rPr>
        <w:t>Shared claim-specific concepts:</w:t>
      </w:r>
      <w:r>
        <w:t xml:space="preserve"> limited, period, those; EU scope visible. This is a provisional connection, not an outcome finding.</w:t>
      </w:r>
    </w:p>
    <w:p>
      <w:pPr>
        <w:pStyle w:val="SourceNote"/>
      </w:pPr>
      <w:r>
        <w:rPr>
          <w:b/>
        </w:rPr>
        <w:t>Available abstract (not full text):</w:t>
      </w:r>
      <w:r>
        <w:t xml:space="preserve"> The goal of this report is i) to model the occurrence and hunting yield (HY) density of wild ungulates not only for widely distributed species in Europe, but also for those ones which have a constrained distribution and ii) to compare the output of occurrence with observed HY. Random Forest function was used for modelling occurrence of species. We used occurrence data available from the past 30 years, and HY data (period 2015-2020) from records collected by ENETWILD. Like previous models based on HY, the response variable was the maximum number of wild ruminants annually hunted in 2015-2020 hunting seasons divided by the area (km2) of the corresponding administrative unit (HY density). Models based on HY were statistically downscaled to make predictions to 10x10km squares. Occurrence data models indicated a good predictive performance for most species, showing that the model framework proposed have improved results in comparison to previous models. The transferability of models into new regions was limited by the exposure of species to environmental conditions. As for HY models, the calibration plots showed a good and linear predictive performance for widely distributed species, as well as constrained distributed species. Overall, our results were consistent with the expected abundance distribution of widely distributed species. The removal of zeros on the validation datasets a</w:t>
      </w:r>
    </w:p>
    <w:p>
      <w:pPr/>
      <w:r>
        <w:rPr>
          <w:b/>
        </w:rPr>
        <w:t>POSSIBLE 2022:</w:t>
      </w:r>
      <w:r>
        <w:t xml:space="preserve"> Ensemble random forest filter: An alternative to the ensemble Kalman filter for inverse modeling — https://doi.org/10.1016/j.jhydrol.2022.128642</w:t>
      </w:r>
    </w:p>
    <w:p>
      <w:pPr/>
      <w:r>
        <w:rPr>
          <w:b/>
        </w:rPr>
        <w:t>Shared claim-specific concepts:</w:t>
      </w:r>
      <w:r>
        <w:t xml:space="preserve"> reconstructing, ensemble, values, computed; EU scope not established. This is a provisional connection, not an outcome finding.</w:t>
      </w:r>
    </w:p>
    <w:p>
      <w:pPr>
        <w:pStyle w:val="SourceNote"/>
      </w:pPr>
      <w:r>
        <w:rPr>
          <w:b/>
        </w:rPr>
        <w:t>Available abstract (not full text):</w:t>
      </w:r>
      <w:r>
        <w:t xml:space="preserve"> The ensemble random forest filter (ERFF) is presented as an alternative to the ensemble Kalman filter (EnKF) for inverse modeling. The EnKF is a data assimilation approach that forecasts and updates parameter estimates sequentially in time as observations are collected. The updating step is based on the experimental covariances computed from an ensemble of realizations, and the updates are given as linear combinations of the differences between observations and forecasted system state values. The ERFF replaces the linear combination in the update step with a non-linear function represented by a random forest. This way, the non-linear relationships between the parameters to be updated and the observations can be captured, and a better update produced. The ERFF is demonstrated for log-conductivity identification from piezometric head observations in several scenarios with varying degrees of heterogeneity (log-conductivity variances going from 1 up to 6.25 (ln m/d)2), number of realizations in the ensemble (50 or 100), and number of piezometric head observations (18 or 36). In all scenarios, the ERFF works well, reconstructing the log-conductivity spatial heterogeneity while matching the observed piezometric heads at selected control points. For benchmarking purposes, the ERFF is compared to the restart EnKF to find that the ERFF is superior to the EnKF for the number of ensemble </w:t>
      </w:r>
    </w:p>
    <w:p>
      <w:pPr/>
      <w:r>
        <w:rPr>
          <w:b/>
        </w:rPr>
        <w:t>POSSIBLE 2022:</w:t>
      </w:r>
      <w:r>
        <w:t xml:space="preserve"> Increase of depression among children and adolescents after the onset of the COVID-19 pandemic in Europe: a systematic review and meta-analysis — https://doi.org/10.1186/s13034-022-00546-y</w:t>
      </w:r>
    </w:p>
    <w:p>
      <w:pPr/>
      <w:r>
        <w:rPr>
          <w:b/>
        </w:rPr>
        <w:t>Shared claim-specific concepts:</w:t>
      </w:r>
      <w:r>
        <w:t xml:space="preserve"> after, mean, long-term; EU scope visible. This is a provisional connection, not an outcome finding.</w:t>
      </w:r>
    </w:p>
    <w:p>
      <w:pPr>
        <w:pStyle w:val="SourceNote"/>
      </w:pPr>
      <w:r>
        <w:rPr>
          <w:b/>
        </w:rPr>
        <w:t>Available abstract (not full text):</w:t>
      </w:r>
      <w:r>
        <w:t xml:space="preserve"> Abstract Background Research points to a high depression burden among youth during the COVID-19 pandemic; however, a lack of systematic evidence exists. We determine the change in depression symptoms among children and adolescents during COVID-19 compared to pre-pandemic baselines. By using country differences in pandemic-related restrictions and school closures in Europe as quasi-experimental design, we evaluate policy impacts on depression. Methods In this systematic review and meta-analysis, following the PRISMA statement, we searched six databases (MEDLINE, EMBASE, PsycINFO, Cochrane Central, Web of Science, WHO COVID-19) using a peer-reviewed search string up until March 18, 2022 with citation tracking and grey literature searches. No limitations regarding language and effect measures existed. We included studies that compared (1) general depression symptoms or (2) clinically relevant depression rates in children and adolescents (≤ 19 years) before and during the COVID-19 pandemic in Europe. The validated Oxford Stringency Index was used as indicator for pandemic-related restrictions. Screening for eligibility, extracting data from published reports and from unpublished data requested directly from study authors, assessing the study risk of bias and grading certainty of evidence using the GRADE approach, were all done in duplicate. Data were pooled in a random-effects mode</w:t>
      </w:r>
    </w:p>
    <w:p>
      <w:pPr>
        <w:pStyle w:val="Heading2"/>
      </w:pPr>
      <w:r>
        <w:t>600.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2026:</w:t>
      </w:r>
      <w:r>
        <w:t xml:space="preserve"> Electric Vehicle Fleet Penetration and Air Pollution Mortality in Europe — https://doi.org/10.32388/vkflrm</w:t>
      </w:r>
    </w:p>
    <w:p>
      <w:pPr/>
      <w:r>
        <w:rPr>
          <w:b/>
        </w:rPr>
        <w:t>Shared claim-specific concepts:</w:t>
      </w:r>
      <w:r>
        <w:t xml:space="preserve"> mortality, high, all, countries, significant;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2025:</w:t>
      </w:r>
      <w:r>
        <w:t xml:space="preserve"> Urban ozone trends in Europe and the USA (2000–2021) — https://doi.org/10.5194/acp-25-16009-2025</w:t>
      </w:r>
    </w:p>
    <w:p>
      <w:pPr/>
      <w:r>
        <w:rPr>
          <w:b/>
        </w:rPr>
        <w:t>Shared claim-specific concepts:</w:t>
      </w:r>
      <w:r>
        <w:t xml:space="preserve"> trend, high, compared, increase; EU scope visible. This is a provisional connection, not an outcome finding.</w:t>
      </w:r>
    </w:p>
    <w:p>
      <w:pPr>
        <w:pStyle w:val="SourceNote"/>
      </w:pPr>
      <w:r>
        <w:rPr>
          <w:b/>
        </w:rPr>
        <w:t>Available abstract (not full text):</w:t>
      </w:r>
      <w:r>
        <w:t xml:space="preserve"> Abstract. Trends in urban O3 and NO2 across Europe and the United States of America were explored between 2000–2021. Using surface monitoring site data from the TOAR-II and European Environment Agency databases, piecewise quantile regression (PQR) analysis was performed on 228 O3 time series (144 European, 84 USA) and 322 NO2 times series (245 European, 77 USA). The PQR analysis permitted 2 break points over the 23 year period to balance the intent to describe changes over a large time period, while still capturing the abrupt changes that can occur in urban atmospheres. Regressions were performed over quantiles ranging from 0.05 to 0.95 and indications of a slowing in the increase of high European O3 levels was observed. In Europe, more trends were found to having an increasing O3 trend between 2015–2021 compared with 2000–2004. The reverse was true in the USA, with a reduction in the number of sites with increasing O3 trends when the same periods were compared. An analysis of the change points revealed a large proportion of sites in Europe, were the second change point in NO2 switched from a positive to negative trend, occurred in 2020 (41/43 second change points in this year). This was attributed a reduction in NO2 due to the COVID-19 pandemic, however, in some cases these increasing trends have sustained beyond the recovery from restrictions.</w:t>
      </w:r>
    </w:p>
    <w:p>
      <w:pPr/>
      <w:r>
        <w:rPr>
          <w:b/>
        </w:rPr>
        <w:t>POSSIBLE 2025:</w:t>
      </w:r>
      <w:r>
        <w:t xml:space="preserve"> Appendicitis burden, trends, and inequalities in Europe, 1990–2019: a population-based study — https://doi.org/10.1093/gastro/goaf070</w:t>
      </w:r>
    </w:p>
    <w:p>
      <w:pPr/>
      <w:r>
        <w:rPr>
          <w:b/>
        </w:rPr>
        <w:t>Shared claim-specific concepts:</w:t>
      </w:r>
      <w:r>
        <w:t xml:space="preserve"> average, mortality, three, countries; EU scope visible. This is a provisional connection, not an outcome finding.</w:t>
      </w:r>
    </w:p>
    <w:p>
      <w:pPr>
        <w:pStyle w:val="SourceNote"/>
      </w:pPr>
      <w:r>
        <w:rPr>
          <w:b/>
        </w:rPr>
        <w:t>Available abstract (not full text):</w:t>
      </w:r>
      <w:r>
        <w:t xml:space="preserve"> Background: Appendicitis imposes a substantial healthcare burden globally, yet comprehensive insights into its disease burden in Europe remain limited. This study assesses regional trends, disparities and high-burden countries for appendicitis in Europe. Methods: Data on appendicitis-related incidence, mortality and disability-adjusted life years (DALYs) were extracted from the Global Burden of Disease 2019 study. Joinpoint regression analyzed temporal trends, while health inequality and quadrant analyses identified socio-demographic disparities and priority countries. Results: In 2019, Europe's age-standardized incidence rate (ASIR) for appendicitis was 266.47 per 100,000, exceeding the global average (229.86 per 100,000). However, Europe's age-standardized mortality rate and age-standardized DALY rate were lower than the global averages. From 1990 to 2019, the average annual percentage change (AAPC) for the ASIR was 0.50%, whereas the AAPCs for the age-standardized mortality rate and age-standardized DALY rate were -3.02% and -2.20%, respectively. Finland was the sole exception, showing a reduced ASIR (AAPC: -0.20%). Health inequality analysis revealed that the burden of DALYs disproportionately affected less developed European nations. However, there was a notable improvement over the past three decades. The slope index of inequality decreased from -7.32 DALYs per 100,000 in</w:t>
      </w:r>
    </w:p>
    <w:p>
      <w:pPr/>
      <w:r>
        <w:rPr>
          <w:b/>
        </w:rPr>
        <w:t>POSSIBLE 2025:</w:t>
      </w:r>
      <w:r>
        <w:t xml:space="preserve"> The European Alps in a changing climate: physical trends and impacts — https://doi.org/10.5802/crgeos.288</w:t>
      </w:r>
    </w:p>
    <w:p>
      <w:pPr/>
      <w:r>
        <w:rPr>
          <w:b/>
        </w:rPr>
        <w:t>Shared claim-specific concepts:</w:t>
      </w:r>
      <w:r>
        <w:t xml:space="preserve"> high, compared, increase; EU scope visible. This is a provisional connection, not an outcome finding.</w:t>
      </w:r>
    </w:p>
    <w:p>
      <w:pPr>
        <w:pStyle w:val="SourceNote"/>
      </w:pPr>
      <w:r>
        <w:rPr>
          <w:b/>
        </w:rPr>
        <w:t>Available abstract (not full text):</w:t>
      </w:r>
      <w:r>
        <w:t xml:space="preserve"> Mountain areas crown their surrounding landscapes and host a great diversity of ecosystems and human activities. Due to their high altitudes and low temperatures, mountains, in many regions of the world, including Europe, allow the existence of the solid phase of water, ice, seasonally or perennially, which is found in glaciers, snow cover and permafrost, key components of the cryosphere. In the European Alps, the air temperature has increased by about 2 °C compared to the pre-industrial period (end of 19th century), alongside with a slight change in the seasonality of precipitation. Both are projected to intensify in the future. The increase in temperature induces profound changes for the mountain cryosphere with in particular the scarcity of snow cover, the retreat of glaciers and the thawing of permafrost. These changes are causing a cascade of upheavals for the water cycle, mountain ecosystems, the economic and touristic activity of mountain societies. They also induce changes in the natural hazards associated with the cryosphere such as avalanches, risks of glacial and peri-glacial origins as well as floods and droughts. Thus, in a changing climate, the fragile beauty and balance of the European Alps is undergoing profound disruptions whose consequences extend to the lowlands. These will continue to intensify as long as the temperature continues to rise and this is why eve</w:t>
      </w:r>
    </w:p>
    <w:p>
      <w:pPr/>
      <w:r>
        <w:rPr>
          <w:b/>
        </w:rPr>
        <w:t>POSSIBLE 2025:</w:t>
      </w:r>
      <w:r>
        <w:t xml:space="preserve"> Future heat-related mortality in Europe driven by compound day-night heatwaves and demographic shifts — https://doi.org/10.1038/s41467-025-62871-y</w:t>
      </w:r>
    </w:p>
    <w:p>
      <w:pPr/>
      <w:r>
        <w:rPr>
          <w:b/>
        </w:rPr>
        <w:t>Shared claim-specific concepts:</w:t>
      </w:r>
      <w:r>
        <w:t xml:space="preserve"> mortality, high, all, increase, heat; EU scope visible. This is a provisional connection, not an outcome finding.</w:t>
      </w:r>
    </w:p>
    <w:p>
      <w:pPr>
        <w:pStyle w:val="SourceNote"/>
      </w:pPr>
      <w:r>
        <w:rPr>
          <w:b/>
        </w:rPr>
        <w:t>Available abstract (not full text):</w:t>
      </w:r>
      <w:r>
        <w:t xml:space="preserve"> Anthropogenic climate change is driving summer heat toward more humid conditions, accompanied by more frequent day-night compound heat extremes (high temperatures during both day and night). As the fast-warming and aging continent, Europe faces escalating heat-related health risks. Here, we projected future heat-related mortality in Europe using a distributed lag nonlinear model that incorporates humid heat and compound heat extremes, strengthened by a health risk-based definition of extreme heat and a scenario matrix integrating time-varying adaptation trajectories. Under 2010–2019 adaptation baselines, future heat-related mortality is projected to increase annually by 103.7-135.1 deaths per million people by 2100 across various population-climate scenarios for every degree of global warming, with Western and Eastern Europe suffering the most. If global warming exceeds 2 °C, climate change will dominate (84.0–96.8%) projected increase in heat-related mortality. Across all socioeconomic pathways, even a 50% reduction in heat-related relative risk through physiological adaptation will be insufficient to offset the climate change-driven escalation of future heat-related mortality. This study projects heat-related mortality in Europe across various adaptation scenarios by modelling humid and compound day-night heat, using a health-based heat definition. Without heat adaptation, mo</w:t>
      </w:r>
    </w:p>
    <w:p>
      <w:pPr/>
      <w:r>
        <w:rPr>
          <w:b/>
        </w:rPr>
        <w:t>POSSIBLE 2025:</w:t>
      </w:r>
      <w:r>
        <w:t xml:space="preserve"> The effectiveness of heat prevention plans in reducing heat-related mortality across Europe — https://doi.org/10.1088/1748-9326/ae2775</w:t>
      </w:r>
    </w:p>
    <w:p>
      <w:pPr/>
      <w:r>
        <w:rPr>
          <w:b/>
        </w:rPr>
        <w:t>Shared claim-specific concepts:</w:t>
      </w:r>
      <w:r>
        <w:t xml:space="preserve"> mortality, all, countries, significant, heat; EU scope visible. This is a provisional connection, not an outcome finding.</w:t>
      </w:r>
    </w:p>
    <w:p>
      <w:pPr>
        <w:pStyle w:val="SourceNote"/>
      </w:pPr>
      <w:r>
        <w:rPr>
          <w:b/>
        </w:rPr>
        <w:t>Available abstract (not full text):</w:t>
      </w:r>
      <w:r>
        <w:t xml:space="preserve"> Heat-health warning systems and action plans, referred to as heat prevention plans (HPPs), are key public health interventions aimed at reducing heat-related mortality. Despite their importance, prior assessments of their effectiveness have yielded inconsistent results. The objective of this study is to systematically assess the effectiveness of HPPs in reducing heat-related mortality risk across Europe. We analysed daily mortality and mean temperature data from 102 locations in 14 European countries between 1990 and 2019. Using data from national experts, we identified the year of HPP implementation and categorised their development class. A three-stage analysis was conducted: (1) quasi-Poisson time series models were used to estimate location-specific warm-season exposure-response functions in 3 year subperiods; (2) mixed-effect meta-regression models with multilevel longitudinal structures were employed to quantify changes in pooled exposure-response functions due to HPP implementation, adjusted for long-term trends in heat-related mortality risks; and (3) the heat-related excess mortality due to HPP was calculated by comparing factual (with HPP) and counterfactual (without HPP) scenarios. Estimates are reported by country, region, and HPP class. HPP implementation was associated with a 25.2% [95% CI: 19.8% to 31.9%] reduction in excess deaths attributable to extreme heat, c</w:t>
      </w:r>
    </w:p>
    <w:p>
      <w:pPr/>
      <w:r>
        <w:rPr>
          <w:b/>
        </w:rPr>
        <w:t>POSSIBLE 2024:</w:t>
      </w:r>
      <w:r>
        <w:t xml:space="preserve"> Sex Disparities in Ischemic Heart Disease Mortality in Europe — https://doi.org/10.1016/j.jacadv.2024.101252</w:t>
      </w:r>
    </w:p>
    <w:p>
      <w:pPr/>
      <w:r>
        <w:rPr>
          <w:b/>
        </w:rPr>
        <w:t>Shared claim-specific concepts:</w:t>
      </w:r>
      <w:r>
        <w:t xml:space="preserve"> average, mortality, countries, compared, significant; EU scope visible. This is a provisional connection, not an outcome finding.</w:t>
      </w:r>
    </w:p>
    <w:p>
      <w:pPr>
        <w:pStyle w:val="SourceNote"/>
      </w:pPr>
      <w:r>
        <w:rPr>
          <w:b/>
        </w:rPr>
        <w:t>Available abstract (not full text):</w:t>
      </w:r>
      <w:r>
        <w:t xml:space="preserve"> Background: Ischemic heart disease (IHD) is the leading cause of death in the European Union (EU). Understanding variations by sex, income, and countries can help in tailoring effective public health policies. Objectives: The purpose of the study was to examine trends in sex differences in IHD prevalence and prognosis within the EU. Methods: We conducted a cross-sectional analysis of IHD using the Global Burden of Disease Study Database to examine trends in sex-specific age-standardized mortality rate (ASMR)-to-age-standardized prevalence rate (ASPR) ratio (ASMR-to-ASPR index) per 100,000 inhabitants/year across the EU from 2005 to 2019. Results: Men showed higher ASMR than women. However, the ASMR-to-ASPR index was notably higher in women than in men indicating that women who develop IHD have a higher risk of dying from the disease compared with their male counterparts. Despite a significant decline in ASMR across EU from 2005 to 2019 both among women (from 1.752 to 1.662) and men (from 3.372 to 3.135), sex disparities in ASMR-to-ASPR index (EU average: 4.96% vs 4.34%) persisted (with a women-to-men ratio ranging from 1.05 to 1.44). No significant relationship was found between country-specific ASMR or country income status and ASMR-to-ASPR index. Examples include Romania, which displayed higher ASMR (men: 219.87, women: 143.54) compared with Germany (men: 107.22, women: 60.76</w:t>
      </w:r>
    </w:p>
    <w:p>
      <w:pPr>
        <w:pStyle w:val="Heading2"/>
      </w:pPr>
      <w:r>
        <w:t>601.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2026:</w:t>
      </w:r>
      <w:r>
        <w:t xml:space="preserve"> Market analysis for Superhood Oy's European expansion — https://openalex.org/W7162354352</w:t>
      </w:r>
    </w:p>
    <w:p>
      <w:pPr/>
      <w:r>
        <w:rPr>
          <w:b/>
        </w:rPr>
        <w:t>Shared claim-specific concepts:</w:t>
      </w:r>
      <w:r>
        <w:t xml:space="preserve"> aim, identify, finland, qualitative;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Establishing a Jewellery Business in the Finnish Market — https://openalex.org/W7162177384</w:t>
      </w:r>
    </w:p>
    <w:p>
      <w:pPr/>
      <w:r>
        <w:rPr>
          <w:b/>
        </w:rPr>
        <w:t>Shared claim-specific concepts:</w:t>
      </w:r>
      <w:r>
        <w:t xml:space="preserve"> aim, identify, qualitative; EU scope not established. This is a provisional connection, not an outcome finding.</w:t>
      </w:r>
    </w:p>
    <w:p>
      <w:pPr>
        <w:pStyle w:val="SourceNote"/>
      </w:pPr>
      <w:r>
        <w:rPr>
          <w:b/>
        </w:rPr>
        <w:t>Available abstract (not full text):</w:t>
      </w:r>
      <w:r>
        <w:t xml:space="preserve"> This study examines the entry of a semi-fine jewellery business into the finished goods market, focusing on the opportunities, challenges, and strategic considerations involved in launching a competitive product. The aim of the study was to assess the viability of a business idea and to identify the most effective market approach for attracting target consumers while maintaining product quality and brand value. A qualitative approach was used, combining market research, competitor analysis, and customer preference assessment. The data were gathered through secondary research on jewellery market trends, analysis of consumer behaviour, and evaluation of pricing, product design, and branding strategies used by similar businesses. The findings were then interpreted to determine market demand, customer expectations, and positioning opportunities for the brand. The results indicate that there is strong potential for semi-fine jewellery in the finished-goods market, especially among consumers seeking affordable yet stylish and durable accessories. The study also found that successful entry depends on distinctive designs, competitive pricing, and strong online visibility. Overall, the research concludes that a semi-fine jewellery business can establish a sustainable presence in the market if it aligns product offerings with consumer preferences and implements a clear market entry strat</w:t>
      </w:r>
    </w:p>
    <w:p>
      <w:pPr/>
      <w:r>
        <w:rPr>
          <w:b/>
        </w:rPr>
        <w:t>POSSIBLE 2026:</w:t>
      </w:r>
      <w:r>
        <w:t xml:space="preserve"> Regulatory Barriers to Market Entry: The Impact of EU and Finnish Cosmetic Regulations on Importing Japanese Cosmetics into Finland — https://openalex.org/W7162165616</w:t>
      </w:r>
    </w:p>
    <w:p>
      <w:pPr/>
      <w:r>
        <w:rPr>
          <w:b/>
        </w:rPr>
        <w:t>Shared claim-specific concepts:</w:t>
      </w:r>
      <w:r>
        <w:t xml:space="preserve"> identify, finland, qualitative, method, applied; EU scope visible. This is a provisional connection, not an outcome finding.</w:t>
      </w:r>
    </w:p>
    <w:p>
      <w:pPr>
        <w:pStyle w:val="SourceNote"/>
      </w:pPr>
      <w:r>
        <w:rPr>
          <w:b/>
        </w:rPr>
        <w:t>Available abstract (not full text):</w:t>
      </w:r>
      <w:r>
        <w:t xml:space="preserve"> The Japanese cosmetics industry has experienced increasing global popularity in recent years, reflected in its steadily expanding market value and the rising international demand. While the recent trends indicate strong international market potential for Japanese cosmetic products, the import of cosmetics from Japan into the European Union and Finland is regulated by strict legal frameworks. These regulations govern areas including product safety and compliance, documentation, ingredient restrictions, labeling requirements, and market surveillance. The differences between EU and Finnish regulations in comparison to Japanese regulations may create barriers for market entry and affect the ability of Japanese cosmetic products to enter the Finnish market. The objective of this thesis was to identify and analyze the key regulatory barriers affecting the import of Japanese cosmetics into Finland. The scope of the study was limited to regulatory differences between the EU, Finnish, and Japanese cosmetic regulatory frameworks, focusing on products manufactured in Japan that have not previously entered the EU market. The market entry barriers were considered from the perspective of the importer. The theoretical framework of the study presented the key elements of the EU, Finnish, and Japanese regulatory frameworks. The study applied a qualitative research approach and comparative analy</w:t>
      </w:r>
    </w:p>
    <w:p>
      <w:pPr/>
      <w:r>
        <w:rPr>
          <w:b/>
        </w:rPr>
        <w:t>POSSIBLE 2026:</w:t>
      </w:r>
      <w:r>
        <w:t xml:space="preserve"> Obstacles to Job Market Integration for International Students in Finland — https://openalex.org/W7198829089</w:t>
      </w:r>
    </w:p>
    <w:p>
      <w:pPr/>
      <w:r>
        <w:rPr>
          <w:b/>
        </w:rPr>
        <w:t>Shared claim-specific concepts:</w:t>
      </w:r>
      <w:r>
        <w:t xml:space="preserve"> finland, qualitative, applied, well; EU scope visible. This is a provisional connection, not an outcome finding.</w:t>
      </w:r>
    </w:p>
    <w:p>
      <w:pPr>
        <w:pStyle w:val="SourceNote"/>
      </w:pPr>
      <w:r>
        <w:rPr>
          <w:b/>
        </w:rPr>
        <w:t>Available abstract (not full text):</w:t>
      </w:r>
      <w:r>
        <w:t xml:space="preserve"> The inclusion of international students in Finland labour market is a challenge, which is not going away even after the national campaign of attracting international talents to the country by offering English-based higher education programs. This study discusses the issue of international students and new graduates searching a job in the Finish labour market, which is considered to be an energy technology and innovation-oriented area. In spite of the fact that national strategies of Finland focus on internationalization and retention of talents, there is a gap between the desires of Finland and the fulfilment of international degree graduates in the sphere of employment. The data collected in this qualitative research paper is obtained via the use of semi-structured questionnaire with ten international students and graduates at the University of Finnish labour market and other institutions located in the area. The three theories interrelate in that the study is influenced by the following theoretical frameworks to develop: Human Capital Theory, Social Capital Theory, and Psychological Contract Theory. These models are used to an alyse the way skills, networks, expectations and perceived obligations affect the Finnish labour market employability of international students. Results indicate that the barriers to labour market integration are numerous with the Finnish language skill</w:t>
      </w:r>
    </w:p>
    <w:p>
      <w:pPr/>
      <w:r>
        <w:rPr>
          <w:b/>
        </w:rPr>
        <w:t>POSSIBLE 2026:</w:t>
      </w:r>
      <w:r>
        <w:t xml:space="preserve"> Analysts’ recommendations and abnormal returns in the Finnish Stock Market — https://openalex.org/W7198904048</w:t>
      </w:r>
    </w:p>
    <w:p>
      <w:pPr/>
      <w:r>
        <w:rPr>
          <w:b/>
        </w:rPr>
        <w:t>Shared claim-specific concepts:</w:t>
      </w:r>
      <w:r>
        <w:t xml:space="preserve"> industrial, sector; EU scope not established. This is a provisional connection, not an outcome finding.</w:t>
      </w:r>
    </w:p>
    <w:p>
      <w:pPr>
        <w:pStyle w:val="SourceNote"/>
      </w:pPr>
      <w:r>
        <w:rPr>
          <w:b/>
        </w:rPr>
        <w:t>Available abstract (not full text):</w:t>
      </w:r>
      <w:r>
        <w:t xml:space="preserve"> Stock analysts are important operators in today’s stock markets, and their ability to spot over- or underpriced stocks has been widely examined in academia. Analysts form their recommendations based on publicly available information. According to the semi-strong form of the Efficient Market Hypothesis following analysts should not yield abnormal returns. If abnormal returns still appear, it would indicate inefficiency in the markets. Most earlier studies have focused on the United States stock markets, which are often considered one of the most efficient in the world. This thesis examines whether abnormal returns are possible to achieve by a trading strategy following analysts’ recommendations in the Finnish stock markets between 2014 and 2024. In the thesis, six portfolios were built from OMX Helsinki stocks based on the analyst consensus recommendations they receive: three with favorable and three with unfavorable recommendations. The returns of portfolios were tested using the CAPM and the Fama–French five-factor model after transaction costs. In addition, eight industry portfolios were formed from four major industries to see if the analysts’ forecasting abilities are consistent across the industries. Each industry was split into a favourable and an unfavorable portfolio. Two of the three unfavorable portfolios produced significant negative abnormal returns, even after acco</w:t>
      </w:r>
    </w:p>
    <w:p>
      <w:pPr/>
      <w:r>
        <w:rPr>
          <w:b/>
        </w:rPr>
        <w:t>POSSIBLE 2025:</w:t>
      </w:r>
      <w:r>
        <w:t xml:space="preserve"> Perceptions of Africa as a Market in International Business Schools in Finland — https://openalex.org/W7201314040</w:t>
      </w:r>
    </w:p>
    <w:p>
      <w:pPr/>
      <w:r>
        <w:rPr>
          <w:b/>
        </w:rPr>
        <w:t>Shared claim-specific concepts:</w:t>
      </w:r>
      <w:r>
        <w:t xml:space="preserve"> identify, finland, pathways, qualitative; EU scope visible. This is a provisional connection, not an outcome finding.</w:t>
      </w:r>
    </w:p>
    <w:p>
      <w:pPr>
        <w:pStyle w:val="SourceNote"/>
      </w:pPr>
      <w:r>
        <w:rPr>
          <w:b/>
        </w:rPr>
        <w:t>Available abstract (not full text):</w:t>
      </w:r>
      <w:r>
        <w:t xml:space="preserve"> After many years of economic stagnation and slow development, Africa now stands on the verge of economic transformation. Over the last ten years, six of the world's ten fastest-growing economies were located in Africa. As an economic region, Africa’s gross domestic product (GDP) grew faster than that of East Asia, Japan included. Additionally, Africa’s population is projected to grow from 1.5 billion in 2024 to 2.5 billion by 2050. It is projected that this growth will come together with a major demographic shift where one in every three young people globally is expected to be African by mid-century (Sinha &amp; Getachew, 2024). Despite the huge economic growth potential this data presents, there seems to be little, if any recognition, within the International Business (IB) curricula in Finnish educational institutions. This study aims to establish why Africa-related business opportunities are not included in Finnish business schools’ curricula. The goal is to identify what may be causing this exclusion and whether intercultural communication theories, particularly the concept of stereotyping, can assist in explaining this exclusion and provide pathways for inclusion. The study uses both qualitative and quantitative methods to collect data. To see how Africa as a market is perceived in Finnish business schools, I analyzed publicly available course descriptions published on the webs</w:t>
      </w:r>
    </w:p>
    <w:p>
      <w:pPr/>
      <w:r>
        <w:rPr>
          <w:b/>
        </w:rPr>
        <w:t>POSSIBLE 2025:</w:t>
      </w:r>
      <w:r>
        <w:t xml:space="preserve"> Competency Requirements for the Juniors in the Finnish Cybersecurity Service and Consultancy Business — https://doi.org/10.34190/iccws.20.1.3239</w:t>
      </w:r>
    </w:p>
    <w:p>
      <w:pPr/>
      <w:r>
        <w:rPr>
          <w:b/>
        </w:rPr>
        <w:t>Shared claim-specific concepts:</w:t>
      </w:r>
      <w:r>
        <w:t xml:space="preserve"> finland, required, well; EU scope visible. This is a provisional connection, not an outcome finding.</w:t>
      </w:r>
    </w:p>
    <w:p>
      <w:pPr>
        <w:pStyle w:val="SourceNote"/>
      </w:pPr>
      <w:r>
        <w:rPr>
          <w:b/>
        </w:rPr>
        <w:t>Available abstract (not full text):</w:t>
      </w:r>
      <w:r>
        <w:t xml:space="preserve"> Fresh graduates or career changers face challenges entering the competitive cybersecurity job market. Cybersecurity is evolving rapidly, and even professionals must put in extra effort to keep themselves updated and competent. Most existing studies on the competency requirements in the Finnish job market are based on surveys, literature reviews, and trends, and in-depth work-life skills analysis is limited. This phenomenon makes Finnish higher education institutes’ work challenging because they need to train graduates for the local, European and global job markets with relevant work-life skills, and in-depth input from the workforce is essential. This study aims to find more in-depth input from the work-life. It identifies the work-life skills required in the cybersecurity service and consultancy business, particularly for junior-level positions available to fresh graduates in the Finnish job market. The case study is based on in-depth interviews with eight representatives from five companies that offer cybersecurity services in Finland. The interviewees had 5 to 24 years of working experience and represented positions ranging from technical experts to directors. The data was analyzed using an AI-aided analysis methodology, the enhanced European Joint Research Center Cybersecurity Taxonomy and the European Catalogue of Soft Skills References to ensure a comprehensive and job ma</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aim, promising, current;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identify, promising, pathways;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pStyle w:val="Heading2"/>
      </w:pPr>
      <w:r>
        <w:t>602.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2026:</w:t>
      </w:r>
      <w:r>
        <w:t xml:space="preserve"> Understanding the Saudi Arabia planning permit process: a comparative analysis with European countries — https://doi.org/10.1080/09613218.2026.2651160</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 planning permit is required before starting any construction. It involves a comprehensive review by authorities to ensure compliance with planning and building regulations. In Saudi Arabia, this process plays a crucial role in regulating urban development – the urban population is growing, with consequent increased demand for housing and a rise in planning permit applications. This places significant pressure on municipal authorities to process applications, currently a relatively slow process owing to inefficiencies in traditional workflows and the labour-intensive nature of the review process. Work is underway to improve the situation, as part of Saudi Arabia’s ‘Vision 2030’, which includes objectives for digital transformation and efficient governance. This study investigates these new developments and compares the new approaches with those from several European countries, to understand similarities and differences, and in particular, identify best practices and commonalities for future processes and systems development. Document analysis and semi-structured interviews are combined to determine procedural structures, stakeholder roles and business rules, which are then embedded into an established framework to facilitate comparison. The results provide a systematic, comparable description of the planning permit process of Saudi Arabia, and derive lessons learned from the c</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r>
        <w:rPr>
          <w:b/>
        </w:rPr>
        <w:t>POSSIBLE 2025:</w:t>
      </w:r>
      <w:r>
        <w:t xml:space="preserve"> Transforming the European Central Bank into an international settlement institution: The Keynes Plan revisited — https://doi.org/10.4337/9781035324279.00019</w:t>
      </w:r>
    </w:p>
    <w:p>
      <w:pPr/>
      <w:r>
        <w:rPr>
          <w:b/>
        </w:rPr>
        <w:t>Shared claim-specific concepts:</w:t>
      </w:r>
      <w:r>
        <w:t xml:space="preserve"> countries, plan, not, international, essential, transforming; EU scope visible. This is a provisional connection, not an outcome finding.</w:t>
      </w:r>
    </w:p>
    <w:p>
      <w:pPr>
        <w:pStyle w:val="SourceNote"/>
      </w:pPr>
      <w:r>
        <w:rPr>
          <w:b/>
        </w:rPr>
        <w:t>Available abstract (not full text):</w:t>
      </w:r>
      <w:r>
        <w:t xml:space="preserve"> This chapter focuses on the monetary–structural needs to provide for payment finality at the international level within the euro area, in light of the flaws of the TARGET2 system as shown by the euro-area crisis that burst near the end of 2009. The first section explains the monetary–structural origins of such a crisis, which are to be found in the TARGET2 system. The second section points out the conceptual difference between the European single currency (the euro) and a much-needed common currency in Europe, so much so that the monetary policy decisions taken by the European Central Bank are not appropriate for all euro-area countries. The third section expands on the workings of the European Central Bank once the latter becomes an international settlement institution – which is essential to make sure payments are final between any two euro-area countries. The last section concludes with some political-economy remarks about the feasibility of such a monetary–structural reform in the spirit of Keynes's (1944) Plan.</w:t>
      </w:r>
    </w:p>
    <w:p>
      <w:pPr/>
      <w:r>
        <w:rPr>
          <w:b/>
        </w:rPr>
        <w:t>POSSIBLE 2025:</w:t>
      </w:r>
      <w:r>
        <w:t xml:space="preserve"> PECULIARITIES OF THE PUBLIC SPACES FORMATION IN RURAL AREA OF EUROPEAN COUNTRIES — https://doi.org/10.32347/2076-815x.2025.90.169-180</w:t>
      </w:r>
    </w:p>
    <w:p>
      <w:pPr/>
      <w:r>
        <w:rPr>
          <w:b/>
        </w:rPr>
        <w:t>Shared claim-specific concepts:</w:t>
      </w:r>
      <w:r>
        <w:t xml:space="preserve"> countries, become, not, only, field, process; EU scope visible. This is a provisional connection, not an outcome finding.</w:t>
      </w:r>
    </w:p>
    <w:p>
      <w:pPr>
        <w:pStyle w:val="SourceNote"/>
      </w:pPr>
      <w:r>
        <w:rPr>
          <w:b/>
        </w:rPr>
        <w:t>Available abstract (not full text):</w:t>
      </w:r>
      <w:r>
        <w:t xml:space="preserve"> The article is devoted to an important issue – the development of high-quality public space in united territorial communities as the basis of their social cohesion, local identity and sustainable development. These issues have become particularly relevant in the period of modern transformations. They are associated with decentralization, the urbanization process and socio-economic changes in rural areas in Ukraine. Currently, there is a need for a comprehensive analysis of existing approaches to the development of such places. This is especially relevant in the conditions of martial law in Ukraine, resource constraints, demographic decline and insufficient attention to spatial planning in the field. The experience of foreign countries is important in this area. Therefore, the identification and analysis of interesting examples of the formation of public spaces in rural areas of European countries is the goal of this publication. To achieve this goal, an analysis of the works of previous scholars, a comparative analysis of public spaces in European territories, their functional analysis, and a field survey of objects were used. Interesting examples of solutions for public spaces in towns and rural areas of Poland, Slovakia, the Netherlands, Denmark, Finland, and Latvia are revealed in the article. The importance of this topic is emphasized, and the low level of study of such pub</w:t>
      </w:r>
    </w:p>
    <w:p>
      <w:pPr/>
      <w:r>
        <w:rPr>
          <w:b/>
        </w:rPr>
        <w:t>POSSIBLE 2024:</w:t>
      </w:r>
      <w:r>
        <w:t xml:space="preserve"> On the diversity of spatial planning instruments across Europe — https://doi.org/10.4337/9781839106255.00016</w:t>
      </w:r>
    </w:p>
    <w:p>
      <w:pPr/>
      <w:r>
        <w:rPr>
          <w:b/>
        </w:rPr>
        <w:t>Shared claim-specific concepts:</w:t>
      </w:r>
      <w:r>
        <w:t xml:space="preserve"> countries, become, also; EU scope visible. This is a provisional connection, not an outcome finding.</w:t>
      </w:r>
    </w:p>
    <w:p>
      <w:pPr>
        <w:pStyle w:val="SourceNote"/>
      </w:pPr>
      <w:r>
        <w:rPr>
          <w:b/>
        </w:rPr>
        <w:t>Available abstract (not full text):</w:t>
      </w:r>
      <w:r>
        <w:t xml:space="preserve"> Spatial planning instruments are fundamental for the operation of spatial planning systems. In the ESPON COMPASS project over 250 spatial planning instruments at different policy levels in 32 European countries were identified. In this chapter we compare and review these planning instruments that are used to mediate competition over the use of land, to allocate rights of development, to regulate change and to promote preferred spatial and urban form. The comparative analysis highlights that there are various types of spatial planning instruments at different policy levels many of which have multiple characteristics, that is, they are expected to have multiple functions in relation to spatial development and territorial governance practices. However, there is a significant consistency in how planning systems are hierarchically structured around spatial planning instruments and how these systems are based on rational ideals. Furthermore, the results indicates that there is a clear direction towards more strategic forms of spatial planning, also among statuary planning instruments. In conclusion, our survey reveals that spatial planning instruments are expected to serve as multi-purpose tools that simultaneously provide strategic frameworks and regulate spatial development whilst they have become less visionary.</w:t>
      </w:r>
    </w:p>
    <w:p>
      <w:pPr/>
      <w:r>
        <w:rPr>
          <w:b/>
        </w:rPr>
        <w:t>POSSIBLE 2024:</w:t>
      </w:r>
      <w:r>
        <w:t xml:space="preserve"> The meaning of spatial planning in the law of European countries — https://doi.org/10.4337/9781839106255.00014</w:t>
      </w:r>
    </w:p>
    <w:p>
      <w:pPr/>
      <w:r>
        <w:rPr>
          <w:b/>
        </w:rPr>
        <w:t>Shared claim-specific concepts:</w:t>
      </w:r>
      <w:r>
        <w:t xml:space="preserve"> countries, only; EU scope visible. This is a provisional connection, not an outcome finding.</w:t>
      </w:r>
    </w:p>
    <w:p>
      <w:pPr>
        <w:pStyle w:val="SourceNote"/>
      </w:pPr>
      <w:r>
        <w:rPr>
          <w:b/>
        </w:rPr>
        <w:t>Available abstract (not full text):</w:t>
      </w:r>
      <w:r>
        <w:t xml:space="preserve"> The law on spatial planning in member states is fundamental to its practice. The terms used give insights into the way planning is understood. Law assigns powers, duties, rights and lines of accountability for spatial planning. It establishes the outline of planning instruments, procedures and for some countries, their substantive goals for planning. Legal definitions and terms used in Europe are diverse. The chapter explains that there is common attention to establishing arrangements for the regulation of physical development, and in most cases legal means to protect environmental assets. Many countries mandate sustainability and/or economic growth goals for planning in law. No two definitions are the same. Some explain planning primarily as a set of procedures whereas others say much more about what planning is intended to achieve. Some countries specify the components of planning in detail, others provide only a framework within which the specifics can change quickly.</w:t>
      </w:r>
    </w:p>
    <w:p>
      <w:pPr>
        <w:pStyle w:val="Heading2"/>
      </w:pPr>
      <w:r>
        <w:t>603.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The Preliminary Ruling Procedure: A Cornerstone of Intergovernmental Coordination in the European Union — https://doi.org/10.61801/arsaequi.2024.257</w:t>
      </w:r>
    </w:p>
    <w:p>
      <w:pPr/>
      <w:r>
        <w:rPr>
          <w:b/>
        </w:rPr>
        <w:t>Shared claim-specific concepts:</w:t>
      </w:r>
      <w:r>
        <w:t xml:space="preserve"> preliminary, challenges, not, functioning, citizens, role; EU scope visible. This is a provisional connection, not an outcome finding.</w:t>
      </w:r>
    </w:p>
    <w:p>
      <w:pPr>
        <w:pStyle w:val="SourceNote"/>
      </w:pPr>
      <w:r>
        <w:rPr>
          <w:b/>
        </w:rPr>
        <w:t>Available abstract (not full text):</w:t>
      </w:r>
      <w:r>
        <w:t xml:space="preserve"> The preliminary ruling procedure, enshrined in Article 267 of the Treaty on the Functioning of the European Union (TFEU), stands as a fundamental mechanism of judicial cooperation and legal integration. While seemingly a technical legal tool, it is, in practice, the primary engine of a unique legal order that navigates and resolves the inherent tensions between the European Union's supranational ambitions and the national sovereignty of its Member States. This report argues that the procedure is not merely a method for interpreting European Union (EU) law; it is a collaborative dialogue between the Court of Justice of the European Union (CJEU) and national courts, which has been instrumental in shaping the EU's constitutional architecture. Through a series of landmark cases, the preliminary ruling procedure has operationalized foundational doctrines such as direct effect and the supremacy of EU law, thereby empowering citizens and ensuring the uniform application of EU legislation across the Union. Despite persistent challenges related to judicial discretion and the complexities of multilevel governance, the procedure's enduring effectiveness, as demonstrated by its high volume of cases and recent institutional reforms, confirms its central role as the "jewel in the crown" of the EU legal system.</w:t>
      </w:r>
    </w:p>
    <w:p>
      <w:pPr/>
      <w:r>
        <w:rPr>
          <w:b/>
        </w:rPr>
        <w:t>POSSIBLE 2025:</w:t>
      </w:r>
      <w:r>
        <w:t xml:space="preserve"> The current state, opportunities and challenges for upscaling private investment in biodiversity in Europe — https://doi.org/10.1038/s41559-024-02632-0</w:t>
      </w:r>
    </w:p>
    <w:p>
      <w:pPr/>
      <w:r>
        <w:rPr>
          <w:b/>
        </w:rPr>
        <w:t>Shared claim-specific concepts:</w:t>
      </w:r>
      <w:r>
        <w:t xml:space="preserve"> part, challenges, undermine, not, role; EU scope visible. This is a provisional connection, not an outcome finding.</w:t>
      </w:r>
    </w:p>
    <w:p>
      <w:pPr>
        <w:pStyle w:val="SourceNote"/>
      </w:pPr>
      <w:r>
        <w:rPr>
          <w:b/>
        </w:rPr>
        <w:t>Available abstract (not full text):</w:t>
      </w:r>
      <w:r>
        <w:t xml:space="preserve"> European countries have committed to ambitious upscaling of privately funded nature conservation. We review the status and drivers of biodiversity finance in Europe. By implementing semistructured interviews with 25 biodiversity finance key informants and three focus groups across Europe, we explore opportunities and challenges for upscaling private investment in nature. Opportunities arise from macroeconomic and regulatory changes, along with various technological and financial innovations and growing professional experience. However, persistent barriers to upscaling include the ongoing lack of highly profitable investment opportunities and the multitude of risks facing investors, including political, ecological and reputational risks influencing supply and demand of investment opportunities. Public policy plays the foundational role in creating and hindering these mechanisms. Public policy can create nature markets and investment opportunities, meanwhile agricultural subsidies and poor coordination between public funding sources undermine the supply of return-seeking investment opportunities. Investors demand derisking investments from uncertainties; in part caused by political uncertainty. These markets require profound state intervention to enable upscaling whilst achieving positive ecological outcomes; private investment will probably not upscale without major public polic</w:t>
      </w:r>
    </w:p>
    <w:p>
      <w:pPr/>
      <w:r>
        <w:rPr>
          <w:b/>
        </w:rPr>
        <w:t>POSSIBLE 2025:</w:t>
      </w:r>
      <w:r>
        <w:t xml:space="preserve"> Challenges to access to civil justice in Europe — https://doi.org/10.4337/9781786434418.00011</w:t>
      </w:r>
    </w:p>
    <w:p>
      <w:pPr/>
      <w:r>
        <w:rPr>
          <w:b/>
        </w:rPr>
        <w:t>Shared claim-specific concepts:</w:t>
      </w:r>
      <w:r>
        <w:t xml:space="preserve"> challenges, also, role; EU scope visible. This is a provisional connection, not an outcome finding.</w:t>
      </w:r>
    </w:p>
    <w:p>
      <w:pPr>
        <w:pStyle w:val="SourceNote"/>
      </w:pPr>
      <w:r>
        <w:rPr>
          <w:b/>
        </w:rPr>
        <w:t>Available abstract (not full text):</w:t>
      </w:r>
      <w:r>
        <w:t xml:space="preserve"> The right of access to justice, as guaranteed by human right conventions, has evolved under the influence of the changing role of the state. This chapter examines recent trends and assesses how access to justice plays out in EU policy and legislation in the area of civil justice. After delving into policy considerations it discusses key areas of EU civil justice, focusing on simplified and special procedures, the privatisation of justice, digitising justice and costs and funding of justice. It illustrates how efficiency has become a central element in the regulatory discourse. While this contributes to effective access to justice, it also entails certain risks. It concludes that the ever-expanding EU Civil Justice area needs an overarching framework – one built on the foundations of access to justice and designed to deliver justice within the limits of the national legal environment in which it is called to operate.</w:t>
      </w:r>
    </w:p>
    <w:p>
      <w:pPr/>
      <w:r>
        <w:rPr>
          <w:b/>
        </w:rPr>
        <w:t>POSSIBLE 2025:</w:t>
      </w:r>
      <w:r>
        <w:t xml:space="preserve"> JUDICIAL INDEPENDENCE AND EUROPEAN GOVERNANCE: INSTITUTIONAL DYNAMICS AND CHALLENGES OF EUROPEAN INTEGRATION FOR THE JUDICIAL SYSTEM IN ROMANIA — https://doi.org/10.47743/eu-pair.2025-1-4</w:t>
      </w:r>
    </w:p>
    <w:p>
      <w:pPr/>
      <w:r>
        <w:rPr>
          <w:b/>
        </w:rPr>
        <w:t>Shared claim-specific concepts:</w:t>
      </w:r>
      <w:r>
        <w:t xml:space="preserve"> challenges, not, but, governance, well; EU scope visible. This is a provisional connection, not an outcome finding.</w:t>
      </w:r>
    </w:p>
    <w:p>
      <w:pPr>
        <w:pStyle w:val="SourceNote"/>
      </w:pPr>
      <w:r>
        <w:rPr>
          <w:b/>
        </w:rPr>
        <w:t>Available abstract (not full text):</w:t>
      </w:r>
      <w:r>
        <w:t xml:space="preserve"> This paper is devoted to an in-depth analysis of the complex interactions between European governance mechanisms – including, but not limited to, the Cooperation and Verification Mechanism, the Annual Rule of Law Report and the budgetary conditionality framework – and the autonomy of the national judiciary. The main purpose of the research consists in the critical evaluation of the way in which the European standards regarding judicial independence, administrative efficiency and institutional integrity have influenced both the structure and operation of the Superior Council of Magistracy, as well as the legal status of judges and prosecutors, together with the inter-institutional relations within the state apparatus. The adopted methodology is based on a particularly rigorous normative analysis, combined with the systematic evaluation of strategic documents issued at the European and national level, as well as relevant comparative case studies (comparative analyzes focused on the experiences of Romania, Poland and Hungary). This analytical approach allows the identification of institutional adaptation models and the exposure of tensions inherent in the implementation of European standards. In addition, special importance is given to the jurisprudential interpretations issued by the Court of Justice of the European Union and the European Court of Human Rights, whose decisions ar</w:t>
      </w:r>
    </w:p>
    <w:p>
      <w:pPr/>
      <w:r>
        <w:rPr>
          <w:b/>
        </w:rPr>
        <w:t>POSSIBLE 2024:</w:t>
      </w:r>
      <w:r>
        <w:t xml:space="preserve"> European S2k guidelines for hidradenitis suppurativa/acne inversa part 2: Treatment — https://doi.org/10.1111/jdv.20472</w:t>
      </w:r>
    </w:p>
    <w:p>
      <w:pPr/>
      <w:r>
        <w:rPr>
          <w:b/>
        </w:rPr>
        <w:t>Shared claim-specific concepts:</w:t>
      </w:r>
      <w:r>
        <w:t xml:space="preserve"> part, not, experts; EU scope visible. This is a provisional connection, not an outcome finding.</w:t>
      </w:r>
    </w:p>
    <w:p>
      <w:pPr>
        <w:pStyle w:val="SourceNote"/>
      </w:pPr>
      <w:r>
        <w:rPr>
          <w:b/>
        </w:rPr>
        <w:t>Available abstract (not full text):</w:t>
      </w:r>
      <w:r>
        <w:t xml:space="preserve"> INTRODUCTION: This second part of the S2k guidelines is an update of the 2015 S1 European guidelines. OBJECTIVE: These guidelines aim to provide an accepted decision aid for the selection, implementation and assessment of appropriate and sufficient therapy for patients with hidradenitis suppurativa/acne inversa (HS). METHODS: The chapters have been selected after a Delphi procedure among the experts/authors. Certain passages have been adopted without changes from the previous version. Potential treatment complications are not included, being beyond the scope of these guidelines. RESULTS: Since the S1 guidelines publication, validation of new therapeutic approaches has almost completely overhauled the knowledge in the field of HS treatment. Inflammatory nodules/abscesses/draining tunnels are the primary lesions, which enable the classification of the disease severity by new validated tools. In relation to the degree of detectable inflammation, HS is classified into the inflammatory and the predominantly non-inflammatory forms. While the intensity of the inflammatory form can be subdivided by the IHS4 classification in mild, moderate and severe HS and is treated by medication accordingly, the decision on surgical treatment of the predominantly non-inflammatory form is based on the Hurley stage of the affected localization. The effectiveness of oral tetracyclines as an alternative</w:t>
      </w:r>
    </w:p>
    <w:p>
      <w:pPr/>
      <w:r>
        <w:rPr>
          <w:b/>
        </w:rPr>
        <w:t>POSSIBLE 2024:</w:t>
      </w:r>
      <w:r>
        <w:t xml:space="preserve"> Do Preliminary References Increase Public Support for European Law? Experimental Evidence from Germany — https://doi.org/10.1017/s0020818323000243</w:t>
      </w:r>
    </w:p>
    <w:p>
      <w:pPr/>
      <w:r>
        <w:rPr>
          <w:b/>
        </w:rPr>
        <w:t>Shared claim-specific concepts:</w:t>
      </w:r>
      <w:r>
        <w:t xml:space="preserve"> preliminary, many, citizens; EU scope visible. This is a provisional connection, not an outcome finding.</w:t>
      </w:r>
    </w:p>
    <w:p>
      <w:pPr>
        <w:pStyle w:val="SourceNote"/>
      </w:pPr>
      <w:r>
        <w:rPr>
          <w:b/>
        </w:rPr>
        <w:t>Available abstract (not full text):</w:t>
      </w:r>
      <w:r>
        <w:t xml:space="preserve"> Abstract Explanations for the successful expansion and consolidation of the European Union and its legal system have long emphasized the importance of domestic courts’ sending preliminary references to the Court of Justice. Key to many of these theoretical accounts is the claim that domestic courts are better equipped than the Court of Justice to compel national governments to comply with EU law. Integrating insights from the comparative judicial politics literature into the context of the EU's preliminary references system, we provide a theoretical and empirical foundation for this claim by arguing that incorporating domestic courts into the EU legal process enhances public support for expansive judicial interpretations of EU law. We go on to argue, however, that this transfer of legitimacy depends on citizens’ views of the national and European courts. We support our argument with evidence from a preregistered survey experiment fielded in Germany.</w:t>
      </w:r>
    </w:p>
    <w:p>
      <w:pPr/>
      <w:r>
        <w:rPr>
          <w:b/>
        </w:rPr>
        <w:t>POSSIBLE 2023:</w:t>
      </w:r>
      <w:r>
        <w:t xml:space="preserve"> Impact of the European Green Deal on Business Operations—Preliminary Benchmarking — https://doi.org/10.3390/su15107780</w:t>
      </w:r>
    </w:p>
    <w:p>
      <w:pPr/>
      <w:r>
        <w:rPr>
          <w:b/>
        </w:rPr>
        <w:t>Shared claim-specific concepts:</w:t>
      </w:r>
      <w:r>
        <w:t xml:space="preserve"> preliminary, many, also, well; EU scope visible. This is a provisional connection, not an outcome finding.</w:t>
      </w:r>
    </w:p>
    <w:p>
      <w:pPr>
        <w:pStyle w:val="SourceNote"/>
      </w:pPr>
      <w:r>
        <w:rPr>
          <w:b/>
        </w:rPr>
        <w:t>Available abstract (not full text):</w:t>
      </w:r>
      <w:r>
        <w:t xml:space="preserve"> Sustainable development is present in almost every aspect of today’s life. The European Green Deal is characterized by a holistic approach that covers both energy sectors and other spillovers for European Union countries. Implementing the European Green Deal requires many different activities in three main areas. In the countries of the European Union, policies are being implemented to reduce the negative impact of economic activity on the natural environment, because it also affects human health and may even threaten the vitality of some populations. In this article, the research conducted was aimed at identifying actions taken by businesses in order to implement the guidelines of the European Green Deal and the factors hindering and motivating the implementation of eco-changes. It is a program that should be implemented in countries and visible in the activities of enterprises. However, what is its real impact on the pro-ecological and pro-social activities of enterprises? Answers to the listed questions were obtained on the basis of the opinion of an inter-national group of professionals. The study is international, and is a comparative analysis. Operational activities undertaken by businesses in order to implement the guidelines of the European Green Deal and of environmental protection, as well as factors hindering and motivating the implementation of environmental changes</w:t>
      </w:r>
    </w:p>
    <w:p>
      <w:pPr/>
      <w:r>
        <w:rPr>
          <w:b/>
        </w:rPr>
        <w:t>POSSIBLE 2023:</w:t>
      </w:r>
      <w:r>
        <w:t xml:space="preserve"> DELIBERATIVE DEMOCRACY OR DELIBERATIVE SUPRANATIONALISM ? PRELIMINARY INSITGHTS FROM THE CONFERENCE ON THE FUTURE OF EUROPE — https://doi.org/10.24193/ojmne.2023.42.08</w:t>
      </w:r>
    </w:p>
    <w:p>
      <w:pPr/>
      <w:r>
        <w:rPr>
          <w:b/>
        </w:rPr>
        <w:t>Shared claim-specific concepts:</w:t>
      </w:r>
      <w:r>
        <w:t xml:space="preserve"> preliminary, not, only, democratic; EU scope visible. This is a provisional connection, not an outcome finding.</w:t>
      </w:r>
    </w:p>
    <w:p>
      <w:pPr>
        <w:pStyle w:val="SourceNote"/>
      </w:pPr>
      <w:r>
        <w:rPr>
          <w:b/>
        </w:rPr>
        <w:t>Available abstract (not full text):</w:t>
      </w:r>
      <w:r>
        <w:t xml:space="preserve"> The goal of this article is to assess the effectiveness of deliberative democratic mechanisms in the practice of international organization, with the Conference on the Future of Europe serving as the main object of the study.The analysis is focused on a comparison of the usefulness of two concepts (deliberative democracy and deliberative supranationalism) to the analysis of the EU political decision-making.On the basis of both approaches four hypotheses are formulated and initially verified.The dependent variables of the hypotheses are confronted with the essential features of the course and follow-up of the Conference in the first year after its conclusion.The most important results of the study include four findings.Firstly, the structure of the Conference did not fully correspond to the assumptions of the concept of deliberative democracy, while -secondly -the substantial quality of the Conference's proposals was low.Thirdly, one year after the conclusion of the Conference, no interinstitutional debate on the implementation of its proposals has started.Fourthly, there is no inter-state discussion on the results of the Conference, no Convention is planned, and support for introducing treaty changes is low.So far, the only measurable results of the Conference are minor non-treaty reforms proposed by the Commission.Therefore, the introduction of the principles of deliberative d</w:t>
      </w:r>
    </w:p>
    <w:p>
      <w:pPr/>
      <w:r>
        <w:rPr>
          <w:b/>
        </w:rPr>
        <w:t>POSSIBLE 2023:</w:t>
      </w:r>
      <w:r>
        <w:t xml:space="preserve"> 1 Preliminaries — https://doi.org/10.1515/9783110786996-001</w:t>
      </w:r>
    </w:p>
    <w:p>
      <w:pPr/>
      <w:r>
        <w:rPr>
          <w:b/>
        </w:rPr>
        <w:t>Shared claim-specific concepts:</w:t>
      </w:r>
      <w:r>
        <w:t xml:space="preserve"> see, many, not, but, also; EU scope visible. This is a provisional connection, not an outcome finding.</w:t>
      </w:r>
    </w:p>
    <w:p>
      <w:pPr>
        <w:pStyle w:val="SourceNote"/>
      </w:pPr>
      <w:r>
        <w:rPr>
          <w:b/>
        </w:rPr>
        <w:t>Available abstract (not full text):</w:t>
      </w:r>
      <w:r>
        <w:t xml:space="preserve"> Preliminaries 1.Printing in Arabic before 1700: the Western European PressesAs a commodity, paper reached Europe in the 12 th century through the Arab merchants who traversed North Africa. 1 Like parchment, this early paper was very fragile, as it was made with plant-based resins that gave it little sturdiness.Over the following two centuries, manufacturing technologies and paper workshops appeared in Europe, where animal-based glues and more evolved tools were used in paper production.The gradual replacement of wool with flax brought greater strength to the final product and allowed paper to last longer.One of the centers of paper manufacture was Genoa, where many printing presses were then set up, owing to the availability of paper.As a marking technique, stamping was developed quite early in human history.On the Mediterranean coasts, the process of applying engraved brass plates to tanned animal skins, to obtain ornamental motifs, was transferred to making covers for manuscript codices. 2 In the 14 th century, Europe saw the coming of imprinted cloths from East Asia, made by pressing colored inks onto the textiles with wood or metal tools.3 Towards the middle of the 14 th century, Middle Eastern and subsequently European printing technology had reached the phase of xylographs or block prints: wooden plates engraved with sacred words, biblical scenes, images of saints, or bri</w:t>
      </w:r>
    </w:p>
    <w:p>
      <w:pPr>
        <w:pStyle w:val="Heading2"/>
      </w:pPr>
      <w:r>
        <w:t>604.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2026:</w:t>
      </w:r>
      <w:r>
        <w:t xml:space="preserve"> Climate change and European forests: Impacts, adaptation, and consequences for aesthetics — https://doi.org/10.26204/kluedo/13178</w:t>
      </w:r>
    </w:p>
    <w:p>
      <w:pPr/>
      <w:r>
        <w:rPr>
          <w:b/>
        </w:rPr>
        <w:t>Shared claim-specific concepts:</w:t>
      </w:r>
      <w:r>
        <w:t xml:space="preserve"> impacts, forestry, climate; EU scope visible. This is a provisional connection, not an outcome finding.</w:t>
      </w:r>
    </w:p>
    <w:p>
      <w:pPr>
        <w:pStyle w:val="SourceNote"/>
      </w:pPr>
      <w:r>
        <w:rPr>
          <w:b/>
        </w:rPr>
        <w:t>Available abstract (not full text):</w:t>
      </w:r>
      <w:r>
        <w:t xml:space="preserve"> This dissertation investigates how European forests are affected by climate change, how forest practitioners perceive and respond to these impacts, and how adaptation and reforestation strategies shape the visual aesthetics of forest landscapes. By combining biophysical evidence, qualitative practitioner insights, expert assessments, and public preference assessments, the thesis develops a comprehensive understanding of forests as socio-ecological systems under increasing climate stress. Across Europe, the 2018–2022 drought period caused widespread vitality loss, intensified pest outbreaks, and substantial tree cover decline, with Central Europe experiencing the most severe impacts. Damage patterns differed markedly among regions, yet even typically resilient or high-altitude forests showed signs of stress. Persistent effects in climatically average years highlight legacy effects of drought and heat events. These findings underline Europe’s high forest vulnerability and the need for region-specific adaptation strategies. Forest practitioners widely acknowledge drought as the dominant threat to forest health, citing its effects on mortality, regeneration, and pest susceptibility. Although there is broad consensus on the need to increase species and structural diversity for adaptation, substantial differences in preferred measures persist across practitioner groups. Economically </w:t>
      </w:r>
    </w:p>
    <w:p>
      <w:pPr/>
      <w:r>
        <w:rPr>
          <w:b/>
        </w:rPr>
        <w:t>POSSIBLE 2025:</w:t>
      </w:r>
      <w:r>
        <w:t xml:space="preserve"> Skill Validation of High-Impact Rainfall Forecasts over Vietnam Using the European Centre for Medium-Range Weather Forecasts (ECMWF) Integrated Forecasting System (IFS) and Dynamical Downscaling with the Weather Research and Forecasting Model — https://doi.org/10.3390/atmos16020224</w:t>
      </w:r>
    </w:p>
    <w:p>
      <w:pPr/>
      <w:r>
        <w:rPr>
          <w:b/>
        </w:rPr>
        <w:t>Shared claim-specific concepts:</w:t>
      </w:r>
      <w:r>
        <w:t xml:space="preserve"> weather, local; EU scope visible. This is a provisional connection, not an outcome finding.</w:t>
      </w:r>
    </w:p>
    <w:p>
      <w:pPr>
        <w:pStyle w:val="SourceNote"/>
      </w:pPr>
      <w:r>
        <w:rPr>
          <w:b/>
        </w:rPr>
        <w:t>Available abstract (not full text):</w:t>
      </w:r>
      <w:r>
        <w:t xml:space="preserve"> This research evaluates the quality of high-impact rainfall forecasts across Vietnam and its sub-climate regions. The 3-day rainfall forecast products evaluated include the European Centre for Medium-Range Weather Forecasts (ECMWF) High-Resolution Integrated Forecasting System (IFS) and its downscaled outputs using the Weather Research and Forecasting (WRF) model with the Advanced Research WRF core (WRF-ARW): direct downscaling and downscaling with data assimilation. A full 5-year validation period from 2019 to 2025 was processed. The validation focused on basic rainfall thresholds and also considered the distribution of skill scores for intense events and extreme events. The validations revealed systematic errors (bias) in the models at low rainfall thresholds. The forecast skill was the lowest for northern regions, while the central regions exhibited the highest. For regions strongly affected by terrain, high-resolution downscaling with local observation data assimilation is necessary to improve the detectability of extreme events.</w:t>
      </w:r>
    </w:p>
    <w:p>
      <w:pPr/>
      <w:r>
        <w:rPr>
          <w:b/>
        </w:rPr>
        <w:t>POSSIBLE 2025:</w:t>
      </w:r>
      <w:r>
        <w:t xml:space="preserve"> Biogeochemical versus biogeophysical temperature effects of historical land-use change in CMIP6 — https://doi.org/10.5194/esd-16-803-2025</w:t>
      </w:r>
    </w:p>
    <w:p>
      <w:pPr/>
      <w:r>
        <w:rPr>
          <w:b/>
        </w:rPr>
        <w:t>Shared claim-specific concepts:</w:t>
      </w:r>
      <w:r>
        <w:t xml:space="preserve"> biogeophysical, impacts, regional, climate, warming; EU scope not established. This is a provisional connection, not an outcome finding.</w:t>
      </w:r>
    </w:p>
    <w:p>
      <w:pPr>
        <w:pStyle w:val="SourceNote"/>
      </w:pPr>
      <w:r>
        <w:rPr>
          <w:b/>
        </w:rPr>
        <w:t>Available abstract (not full text):</w:t>
      </w:r>
      <w:r>
        <w:t xml:space="preserve"> Anthropogenic land-use change (LUC) substantially impacts climate dynamics, primarily through modifications in the surface biogeophysical (BGP) and biogeochemical (BGC) fluxes, which alter the exchange of energy, water, and carbon with the atmosphere. Despite the established significance of both the BGP and BGC effects, their relative contribution to climate change remains poorly quantified. In this study, we leveraged data from an unprecedented number of Earth system models (ESMs) of the latest generation that contributed to the Land Use Model Intercomparison Project (LUMIP), under the auspices of the Coupled Model Intercomparison Project Phase 6 (CMIP6). Our analysis of BGP effects indicates a range of global annual near-surface air temperature changes across ESMs due to historical LUC, from a cooling of −0.23 °C to a warming of 0.14 °C, with a multi-model mean and spread of -0.03±0.10 °C under present-day conditions relative to the pre-industrial era. Notably, the BGP effects indicate warming at high latitudes. Still, there is a discernible cooling pattern between 30° N and 60° N, extending across large landmasses from the Great Plains of North America to the Northeast Plain of Asia. The BGC effect shows substantial land carbon losses, amounting to -127±94 Gt C over the historical period, with decreased vegetation carbon pools driving the losses in nearly all analysed ESMs. </w:t>
      </w:r>
    </w:p>
    <w:p>
      <w:pPr/>
      <w:r>
        <w:rPr>
          <w:b/>
        </w:rPr>
        <w:t>POSSIBLE 2025:</w:t>
      </w:r>
      <w:r>
        <w:t xml:space="preserve"> Assessing the Impact of Land Use Changes on Regional Climate over Europe — https://doi.org/10.3390/eesp2025035053</w:t>
      </w:r>
    </w:p>
    <w:p>
      <w:pPr/>
      <w:r>
        <w:rPr>
          <w:b/>
        </w:rPr>
        <w:t>Shared claim-specific concepts:</w:t>
      </w:r>
      <w:r>
        <w:t xml:space="preserve"> forestry, regional, climate;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Impacts on and damage to European forests from the 2018–2022 heat and drought events — https://doi.org/10.5194/nhess-25-77-2025</w:t>
      </w:r>
    </w:p>
    <w:p>
      <w:pPr/>
      <w:r>
        <w:rPr>
          <w:b/>
        </w:rPr>
        <w:t>Shared claim-specific concepts:</w:t>
      </w:r>
      <w:r>
        <w:t xml:space="preserve"> impacts, regional, climate; EU scope visible. This is a provisional connection, not an outcome finding.</w:t>
      </w:r>
    </w:p>
    <w:p>
      <w:pPr>
        <w:pStyle w:val="SourceNote"/>
      </w:pPr>
      <w:r>
        <w:rPr>
          <w:b/>
        </w:rPr>
        <w:t>Available abstract (not full text):</w:t>
      </w:r>
      <w:r>
        <w:t xml:space="preserve"> Abstract. Drought and heat events are becoming more frequent in Europe due to human-induced climate change, affecting many aspects of human well-being and ecosystem functioning. However, the intensity of these drought and heat events is not spatially and temporally uniform. Understanding the spatial variability of drought impacts is important information for decision makers, supporting both planning and preparations to cope with the changing climatic conditions. Currently, data relating to the damage caused by extended drought episodes is scattered across languages and sources such as scientific publications, governmental reports and the media. In this review paper, we compiled data of damages caused by the drought and heat of 2018 until 2022 in forest ecosystems and relate it to large European data sets, providing support for decision making both on the regional and European levels. We partitioned data from 16 European countries to the following regions: Northern, Central, Alpine, and South. We focused on drought and heat damage to forests, and categorized them as (1) physiological (2) pest, and (3) fire damage. We were able to identify the following key trends: (1) Relative defoliation rates of broadleaves is higher than of conifers in every country with the exception of Czech Republic (2) the incidence of wood destroyed by insects is extremely high in Central Europe and Swed</w:t>
      </w:r>
    </w:p>
    <w:p>
      <w:pPr/>
      <w:r>
        <w:rPr>
          <w:b/>
        </w:rPr>
        <w:t>POSSIBLE 2024:</w:t>
      </w:r>
      <w:r>
        <w:t xml:space="preserve"> Using Numerical Weather Prediction Models for Climate Modeling — https://doi.org/10.1134/s0001433824700610</w:t>
      </w:r>
    </w:p>
    <w:p>
      <w:pPr/>
      <w:r>
        <w:rPr>
          <w:b/>
        </w:rPr>
        <w:t>Shared claim-specific concepts:</w:t>
      </w:r>
      <w:r>
        <w:t xml:space="preserve"> weather, climate; EU scope visible. This is a provisional connection, not an outcome finding.</w:t>
      </w:r>
    </w:p>
    <w:p>
      <w:pPr>
        <w:pStyle w:val="SourceNote"/>
      </w:pPr>
      <w:r>
        <w:rPr>
          <w:b/>
        </w:rPr>
        <w:t>Available abstract (not full text):</w:t>
      </w:r>
      <w:r>
        <w:t xml:space="preserve"> Abstract The concept of seamless prediction atmospheric models designed both for numerical weather forecasting and climate change modeling is considered. It consists of the fact that there are no artificial time boundaries in the atmosphere that separate synoptic, seasonal, and interannual scales. Due to the nonlinearity of the atmosphere, the processes of all spatial and time scales interact with each other. Thus, an atmospheric model focused on reproducing any phenomena must adequately reproduce phenomena of all time scales. It is wrong to talk about seamless atmosphere models as universal models that function at any possible mesh sizes. The same model cannot be used at the horizontal resolution of about 1–2 and 50–80 km, since the processes of convective precipitation formation are mainly described explicitly in the first case, while the deep convection is a subgrid scale process that has to be parametrized in the second case. This article provides an overview of the implementations of multiscale models with the example of some foreign (the unified model (UM) of the UK MetOffice and the European model EC Earth 3) and Russian SL-AV (Semi-Lagrangian, based on the Absolute Vorticity equation) atmosphere general circulation model. An example of a modification to the deep convection parameterization developed for the climate version of the SL-AV model is given that significantly </w:t>
      </w:r>
    </w:p>
    <w:p>
      <w:pPr/>
      <w:r>
        <w:rPr>
          <w:b/>
        </w:rPr>
        <w:t>POSSIBLE 2024:</w:t>
      </w:r>
      <w:r>
        <w:t xml:space="preserve"> The fire weather in Europe: large-scale trends towards higher danger — https://doi.org/10.1088/1748-9326/ad5b09</w:t>
      </w:r>
    </w:p>
    <w:p>
      <w:pPr/>
      <w:r>
        <w:rPr>
          <w:b/>
        </w:rPr>
        <w:t>Shared claim-specific concepts:</w:t>
      </w:r>
      <w:r>
        <w:t xml:space="preserve"> weather, regional, climate, warming; EU scope visible. This is a provisional connection, not an outcome finding.</w:t>
      </w:r>
    </w:p>
    <w:p>
      <w:pPr>
        <w:pStyle w:val="SourceNote"/>
      </w:pPr>
      <w:r>
        <w:rPr>
          <w:b/>
        </w:rPr>
        <w:t>Available abstract (not full text):</w:t>
      </w:r>
      <w:r>
        <w:t xml:space="preserve"> Abstract The climate over Europe has been recorded to be hotter, drier, and more fire-prone over the last decade than ever before, leading to concerns about how climate change will alter fire weather in the future. A typical measure to estimate fire weather severity based on climate is the Canadian fire weather index (FWI). In this study, we used high-resolution, bias-corrected climate model output (∼9 km) from six CMIP6 climate models and four shared socio-economic pathway projections (SSPs) to calculate consistent and comparable daily FWI datasets for Europe from 1950 to 2080. Our study aims to identify regional and large-scale shifts in fire weather severity and its predictability over time to support adaptive planning. We show that irrespective of the future SSP, fire weather will become more severe, but the increase is much stronger under high greenhouse gas emissions. This leads to new areas being exposed to severe fire weather, such as central Europe and rapidly warming mountainous areas. Already fire-prone regions in southern Europe will experience more extreme conditions. We conclude that only the low-emission SSP1-2.6 pathway can prevent strong increases in fire weather beyond the 2050s. Fire surveillance and management will become more important, even in areas and in seasons where they have not been in the focus so far.</w:t>
      </w:r>
    </w:p>
    <w:p>
      <w:pPr/>
      <w:r>
        <w:rPr>
          <w:b/>
        </w:rPr>
        <w:t>POSSIBLE 2024:</w:t>
      </w:r>
      <w:r>
        <w:t xml:space="preserve"> Impacts of land-use and land-cover changes on temperature-related mortality — https://doi.org/10.1097/ee9.0000000000000337</w:t>
      </w:r>
    </w:p>
    <w:p>
      <w:pPr/>
      <w:r>
        <w:rPr>
          <w:b/>
        </w:rPr>
        <w:t>Shared claim-specific concepts:</w:t>
      </w:r>
      <w:r>
        <w:t xml:space="preserve"> biogeophysical, impacts, climate; EU scope visible. This is a provisional connection, not an outcome finding.</w:t>
      </w:r>
    </w:p>
    <w:p>
      <w:pPr>
        <w:pStyle w:val="SourceNote"/>
      </w:pPr>
      <w:r>
        <w:rPr>
          <w:b/>
        </w:rPr>
        <w:t>Available abstract (not full text):</w:t>
      </w:r>
      <w:r>
        <w:t xml:space="preserve"> Background: Land-use and land-cover change (LULCC) can substantially affect climate through biogeochemical and biogeophysical effects. Here, we examine the future temperature-mortality impact for two contrasting LULCC scenarios in a background climate of low greenhouse gas concentrations. The first LULCC scenario implies a globally sustainable land use and socioeconomic development (sustainability). In the second LULCC scenario, sustainability is implemented only in the Organisation for Economic Cooperation and Development countries (inequality). Methods: Using the Multi-Country Multi-City (MCC) dataset on mortality from 823 locations in 52 countries and territories, we estimated the temperature-mortality exposure-response functions (ERFs). The LULCC and noLULCC scenarios were implemented in three fully coupled Earth system models (ESMs): Community Earth System Model, Max Planck Institute Earth System Model, and European Consortium Earth System Model. Next, using temperature from the ESMs' simulations and the estimated location-specific ERFs, we assessed the temperature-related impact on mortality for the LULCC and noLULCC scenarios around the mid and end century. Results: Under sustainability, the multimodel mean changes in excess mortality range from -1.1 to +0.6 percentage points by 2050-2059 across all locations and from -1.4 to +0.5 percentage points by 2090-2099. Under in</w:t>
      </w:r>
    </w:p>
    <w:p>
      <w:pPr/>
      <w:r>
        <w:rPr>
          <w:b/>
        </w:rPr>
        <w:t>POSSIBLE 2024:</w:t>
      </w:r>
      <w:r>
        <w:t xml:space="preserve"> Regional cooling potential from expansion of perennial grasses in Europe — https://doi.org/10.1038/s43247-024-01923-5</w:t>
      </w:r>
    </w:p>
    <w:p>
      <w:pPr/>
      <w:r>
        <w:rPr>
          <w:b/>
        </w:rPr>
        <w:t>Shared claim-specific concepts:</w:t>
      </w:r>
      <w:r>
        <w:t xml:space="preserve"> biogeophysical, local, regional, climate, mitigation, warming;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2023:</w:t>
      </w:r>
      <w:r>
        <w:t xml:space="preserve"> Evaluating neural network models in site-specific solar PV forecasting using numerical weather prediction data and weather observations — https://doi.org/10.1016/j.renene.2023.02.130</w:t>
      </w:r>
    </w:p>
    <w:p>
      <w:pPr/>
      <w:r>
        <w:rPr>
          <w:b/>
        </w:rPr>
        <w:t>Shared claim-specific concepts:</w:t>
      </w:r>
      <w:r>
        <w:t xml:space="preserve"> weather, investigate; EU scope visible. This is a provisional connection, not an outcome finding.</w:t>
      </w:r>
    </w:p>
    <w:p>
      <w:pPr>
        <w:pStyle w:val="SourceNote"/>
      </w:pPr>
      <w:r>
        <w:rPr>
          <w:b/>
        </w:rPr>
        <w:t>Available abstract (not full text):</w:t>
      </w:r>
      <w:r>
        <w:t xml:space="preserve"> The effective use of solar photovoltaic (PV) installations implies the integration of solar PV output into overall energy consumption planning, optimization, and control. Moreover, day-ahead trading of electricity in Europe makes day-ahead solar PV forecasting utterly important, and thus its accuracy becomes of particular interest. Data-driven PV forecasting models are typically trained using numerical weather prediction (NWP) data, the availability of which represents one of the main obstacles in modeling. In this study, we investigate an alternative scenario, in which an artificial neural network (ANN) is trained on weather observations and then tested on NWP data to simulate the model's use in operational PV forecasting. In the experiments, solar PV output data, historical weather observations, and historical NWP data were collected from three sites in eastern Finland. The results showed that, although training ANN on observational data leads to a slight decrease in its performance compared to ANN trained on NWP data, it still outperforms a physical model. In practice, this alternative scenario means that if historical NWP data are not available for model training, observational data allow effective model selection and parameter tuning, and then generalization error estimates are gradually updated using online NWP data.</w:t>
      </w:r>
    </w:p>
    <w:p>
      <w:pPr>
        <w:pStyle w:val="Heading2"/>
      </w:pPr>
      <w:r>
        <w:t>605.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2025:</w:t>
      </w:r>
      <w:r>
        <w:t xml:space="preserve"> A Predictive Physics‐Aware Hybrid Reduced Order Model for Reacting Flows — https://doi.org/10.1002/nme.70058</w:t>
      </w:r>
    </w:p>
    <w:p>
      <w:pPr/>
      <w:r>
        <w:rPr>
          <w:b/>
        </w:rPr>
        <w:t>Shared claim-specific concepts:</w:t>
      </w:r>
      <w:r>
        <w:t xml:space="preserve"> order, able, predict, authors; EU scope not established. This is a provisional connection, not an outcome finding.</w:t>
      </w:r>
    </w:p>
    <w:p>
      <w:pPr>
        <w:pStyle w:val="SourceNote"/>
      </w:pPr>
      <w:r>
        <w:rPr>
          <w:b/>
        </w:rPr>
        <w:t>Available abstract (not full text):</w:t>
      </w:r>
      <w:r>
        <w:t xml:space="preserve"> ABSTRACT This article introduces an innovative methodology that merges modal decomposition, extracting physical patterns, with deep learning networks (DLNs) for forecasting reacting flows. The model is generalizable and capable of predicting complex simulations with just one training of the model, showing transfer learning capabilities. The primary objective is to optimize computational resources while maintaining accuracy on the predictions. With the combination of proper orthogonal decomposition (POD) and DLNs, our approach offers an efficient and effective solution for flow dynamics prediction. The new hybrid (POD/DLN) predictive model is designed for solving reacting flow problems. The POD block segregates temporal and spatial information, while the DLN block operates solely on the temporal domain with significantly reduced dimensionality. The POD modes contain the main flow characteristics, turning the model into a physics‐based model. This architecture leads to substantial enhancements in computational cost and memory requirements, while maintaining the precision in the predictions. Such advancements are particularly crucial for addressing the challenges posed by high‐dimensional multivariate and complex time‐series forecasting tasks. Two different deep learning architectures have been tested to predict the temporal coefficients, based on recursive (RNN) and convolutional</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2024:</w:t>
      </w:r>
      <w:r>
        <w:t xml:space="preserve"> Balancing Data Acquisition Benefits and Ordering Costs for Predictive Supplier Selection and Order Allocation — https://doi.org/10.3390/app14104306</w:t>
      </w:r>
    </w:p>
    <w:p>
      <w:pPr/>
      <w:r>
        <w:rPr>
          <w:b/>
        </w:rPr>
        <w:t>Shared claim-specific concepts:</w:t>
      </w:r>
      <w:r>
        <w:t xml:space="preserve"> order, forecasts, potential; EU scope not established. This is a provisional connection, not an outcome finding.</w:t>
      </w:r>
    </w:p>
    <w:p>
      <w:pPr>
        <w:pStyle w:val="SourceNote"/>
      </w:pPr>
      <w:r>
        <w:rPr>
          <w:b/>
        </w:rPr>
        <w:t>Available abstract (not full text):</w:t>
      </w:r>
      <w:r>
        <w:t xml:space="preserve"> The strategic selection of suppliers and the allocation of orders across multiple periods have long been recognized as critical aspects influencing company expenditure and resilience. Leveraging the enhanced predictive capabilities afforded by machine learning models, direct lookahead models—linear programming models that optimize future decisions based on forecasts generated by external predictive modules—have emerged as viable alternatives to traditional deterministic and stochastic programming methodologies to solve related problems. However, despite these advancements, approaches implementing direct lookahead models typically lack mechanisms for updating forecasts over time. Yet, in practice, suppliers often exhibit dynamic behaviours, and failing to update forecasts can lead to suboptimal decision-making. This study introduces a novel approach based on parametrized direct lookahead models to address this gap. The approach explicitly addresses the hidden trade-offs associated with incorporating forecast updates. Recognizing that forecasts can only be updated by acquiring new data and that the primary means of acquiring supplier-related data is through order allocation, this study investigates the trade-offs between data acquisition benefits and order allocation costs. An experimental design utilizing real-world automotive sector data is employed to assess the potential of t</w:t>
      </w:r>
    </w:p>
    <w:p>
      <w:pPr/>
      <w:r>
        <w:rPr>
          <w:b/>
        </w:rPr>
        <w:t>POSSIBLE 2023:</w:t>
      </w:r>
      <w:r>
        <w:t xml:space="preserve"> Stochastic weather generator and deep learning approach for predicting and sampling extreme European heatwaves — https://doi.org/10.5194/egusphere-egu23-6131</w:t>
      </w:r>
    </w:p>
    <w:p>
      <w:pPr/>
      <w:r>
        <w:rPr>
          <w:b/>
        </w:rPr>
        <w:t>Shared claim-specific concepts:</w:t>
      </w:r>
      <w:r>
        <w:t xml:space="preserve"> order, able, predict, forecasts, also; EU scope visible. This is a provisional connection, not an outcome finding.</w:t>
      </w:r>
    </w:p>
    <w:p>
      <w:pPr>
        <w:pStyle w:val="SourceNote"/>
      </w:pPr>
      <w:r>
        <w:rPr>
          <w:b/>
        </w:rPr>
        <w:t>Available abstract (not full text):</w:t>
      </w:r>
      <w:r>
        <w:t xml:space="preserve">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pPr/>
      <w:r>
        <w:rPr>
          <w:b/>
        </w:rPr>
        <w:t>POSSIBLE 2023:</w:t>
      </w:r>
      <w:r>
        <w:t xml:space="preserve"> ALGEBRA OF SOCIAL PHENOMENA — https://doi.org/10.30525/2500-946x/2023-4-15</w:t>
      </w:r>
    </w:p>
    <w:p>
      <w:pPr/>
      <w:r>
        <w:rPr>
          <w:b/>
        </w:rPr>
        <w:t>Shared claim-specific concepts:</w:t>
      </w:r>
      <w:r>
        <w:t xml:space="preserve"> able, phenomena, develop, authors, also; EU scope not established. This is a provisional connection, not an outcome finding.</w:t>
      </w:r>
    </w:p>
    <w:p>
      <w:pPr>
        <w:pStyle w:val="SourceNote"/>
      </w:pPr>
      <w:r>
        <w:rPr>
          <w:b/>
        </w:rPr>
        <w:t>Available abstract (not full text):</w:t>
      </w:r>
      <w:r>
        <w:t xml:space="preserve"> The characteristics of modern societies are central to discussions of various types of policy (social, economic, etc.) and are often seen as predictors of socio-economic processes. Any society can be studied through the lens of social phenomena. Hence, it seems fair to assume that the better one understands the nature of social matter and its impact on various processes, the better one's decisions will be able to meet today's challenges. The purpose of this paper is to explain and present the new framework for measuring social phenomena in the form of an algebra based on the definition of social phenomenon, its components, rationality and mathematical logic. Methodology. Using the example of social cohesion, the paper examines the current fundamental methodological approaches to interpreting the definition and, consequently, measuring social phenomena. In this paper, the authors use an analogy with probability space and event algebra to develop their mathematical method. As a result, the article presents and explains the basic terms of the algebra of social phenomena that make up the new concept. Practical implications. The authors' approach to formalisation provides a tool for deriving the measure of a complex phenomenon from the measures of its components (simple phenomena), as demonstrated in the example. Thus, this study enriches the range of methods suitable for deepening </w:t>
      </w:r>
    </w:p>
    <w:p>
      <w:pPr/>
      <w:r>
        <w:rPr>
          <w:b/>
        </w:rPr>
        <w:t>POSSIBLE 2022:</w:t>
      </w:r>
      <w:r>
        <w:t xml:space="preserve"> NeuroAI - A strategic opportunity for Norway and Europe — https://doi.org/10.5617/nmi.9950</w:t>
      </w:r>
    </w:p>
    <w:p>
      <w:pPr/>
      <w:r>
        <w:rPr>
          <w:b/>
        </w:rPr>
        <w:t>Shared claim-specific concepts:</w:t>
      </w:r>
      <w:r>
        <w:t xml:space="preserve"> order, able, predict; EU scope visible. This is a provisional connection, not an outcome finding.</w:t>
      </w:r>
    </w:p>
    <w:p>
      <w:pPr>
        <w:pStyle w:val="SourceNote"/>
      </w:pPr>
      <w:r>
        <w:rPr>
          <w:b/>
        </w:rPr>
        <w:t>Available abstract (not full text):</w:t>
      </w:r>
      <w:r>
        <w:t xml:space="preserve"> At an energy consumption of merely 20 watts, the brain is able to learn, perceive its surroundings, analyze solutions, predict the future and choose actions in a much more general way than any computer algorithm and infrastructure. NeuroAI, an emerging field at the intersection of brain sciences and artificial intelligence, is expected to become a large research field in the years to come. The main promise of NeuroAI is that by understanding how the brain and biological neural networks compute, it will be possible to identify the key components of human intelligence in order to drive the development of a more energy-efficient and flexible artificial intelligence (AI) that will match, perhaps even surpass, human intelligence. NeuroAI is a truly multidisciplinary effort, spanning across several disciplines such as computer science, neuroscience, psychology, philosophy, linguistics, law and ethics. Norway has unique world-class expertise in brain sciences, and a fast growing, well-organized AI community at the highest international level. In this opinion article, we argue that Norway has competitive advantages within NeuroAI, and that Norway has the ideal ecosystem to take a leading role in NeuroAI initiatives in Europe. Norwegian investments in NeuroAI may be a strategic initiative to position Norway in the forefront of AI research worldwide.</w:t>
      </w:r>
    </w:p>
    <w:p>
      <w:pPr/>
      <w:r>
        <w:rPr>
          <w:b/>
        </w:rPr>
        <w:t>POSSIBLE 2022:</w:t>
      </w:r>
      <w:r>
        <w:t xml:space="preserve"> Predicting potential wildfire severity across Southern Europe with global data sources — https://doi.org/10.1016/j.scitotenv.2022.154729</w:t>
      </w:r>
    </w:p>
    <w:p>
      <w:pPr/>
      <w:r>
        <w:rPr>
          <w:b/>
        </w:rPr>
        <w:t>Shared claim-specific concepts:</w:t>
      </w:r>
      <w:r>
        <w:t xml:space="preserve"> able, predict, develop, they, potential; EU scope visible. This is a provisional connection, not an outcome finding.</w:t>
      </w:r>
    </w:p>
    <w:p>
      <w:pPr>
        <w:pStyle w:val="SourceNote"/>
      </w:pPr>
      <w:r>
        <w:rPr>
          <w:b/>
        </w:rPr>
        <w:t>Available abstract (not full text):</w:t>
      </w:r>
      <w:r>
        <w:t xml:space="preserve"> The large environmental and socioeconomic impacts of wildfires in Southern Europe require the development of efficient generalizable tools for fire danger analysis and proactive environmental management. With this premise, we aimed to study the influence of different environmental variables on burn severity, as well as to develop accurate and generalizable models to predict burn severity. To address these objectives, we selected 23 wildfires (131,490 ha) across Southern Europe. Using satellite imagery and geospatial data available at the planetary scale, we spatialized burn severity as well as 20 pre-burn environmental variables, which were grouped into climatic, topographic, fuel load-type, fuel load-moisture and fuel continuity predictors. We sampled all variables and divided the data into three independent datasets: a training dataset, used to perform univariant regression models, random forest (RF) models by groups of variables, and RF models including all predictors (full and parsimonious models); a second dataset to analyze interpolation capacity within the training wildfires; and a third dataset to study extrapolation capacity to independent wildfires. Results showed that all environmental variables determined burn severity, which increased towards the mildest climatic conditions, sloping terrain, high fuel loads, and coniferous vegetation. In general, the highest predic</w:t>
      </w:r>
    </w:p>
    <w:p>
      <w:pPr/>
      <w:r>
        <w:rPr>
          <w:b/>
        </w:rPr>
        <w:t>POSSIBLE 2022:</w:t>
      </w:r>
      <w:r>
        <w:t xml:space="preserve"> Model order reduction for bifurcating phenomena in fluid‐structure interaction problems — https://doi.org/10.1002/fld.5118</w:t>
      </w:r>
    </w:p>
    <w:p>
      <w:pPr/>
      <w:r>
        <w:rPr>
          <w:b/>
        </w:rPr>
        <w:t>Shared claim-specific concepts:</w:t>
      </w:r>
      <w:r>
        <w:t xml:space="preserve"> order, phenomena; EU scope not established. This is a provisional connection, not an outcome finding.</w:t>
      </w:r>
    </w:p>
    <w:p>
      <w:pPr>
        <w:pStyle w:val="SourceNote"/>
      </w:pPr>
      <w:r>
        <w:rPr>
          <w:b/>
        </w:rPr>
        <w:t>Available abstract (not full text):</w:t>
      </w:r>
      <w:r>
        <w:t xml:space="preserve"> This work explores the development and the analysis of an efficient reduced order model for the study of a bifurcating phenomenon, known as the Coandă effect, in a multi-physics setting involving fluid and solid media. Taking into consideration a fluid-structure interaction problem, we aim at generalizing previous works towards a more reliable description of the physics involved. In particular, we provide several insights on how the introduction of an elastic structure influences the bifurcating behavior. We have addressed the computational burden by developing a reduced order branch-wise algorithm based on a monolithic proper orthogonal decomposition. We compared different constitutive relations for the solid, and we observed that a nonlinear hyper-elastic law delays the bifurcation w.r.t. the standard model, while the same effect is even magnified when considering linear elastic solid.</w:t>
      </w:r>
    </w:p>
    <w:p>
      <w:pPr/>
      <w:r>
        <w:rPr>
          <w:b/>
        </w:rPr>
        <w:t>POSSIBLE 2022:</w:t>
      </w:r>
      <w:r>
        <w:t xml:space="preserve"> Review of degradation and failure phenomena in photovoltaic modules — https://doi.org/10.1016/j.rser.2022.112160</w:t>
      </w:r>
    </w:p>
    <w:p>
      <w:pPr/>
      <w:r>
        <w:rPr>
          <w:b/>
        </w:rPr>
        <w:t>Shared claim-specific concepts:</w:t>
      </w:r>
      <w:r>
        <w:t xml:space="preserve"> order, phenomena, they; EU scope not established. This is a provisional connection, not an outcome finding.</w:t>
      </w:r>
    </w:p>
    <w:p>
      <w:pPr>
        <w:pStyle w:val="SourceNote"/>
      </w:pPr>
      <w:r>
        <w:rPr>
          <w:b/>
        </w:rPr>
        <w:t>Available abstract (not full text):</w:t>
      </w:r>
      <w:r>
        <w:t xml:space="preserve"> The degradation of photovoltaic (PV) systems is one of the key factors to address in order to reduce the cost of the electricity produced by increasing the operational lifetime of PV systems. To reduce the degradation, it is imperative to know the degradation and failure phenomena. This review article has been prepared to present an overview of the state-of-the-art knowledge on the reliability of PV modules. Whilst the most common technology today is mono- and multi-crystalline silicon, this article aims to give a generic summary which is relevant for a wider range of photovoltaic technologies including cadmium telluride, copper indium gallium selenide and emerging low-cost high-efficiency technologies. The review consists of three parts: firstly, a brief contextual summary about reliability metrics and how reliability is measured. Secondly, a summary of the main stress factors and how they influence module degradation. Finally, a detailed review of degradation and failure modes, which has been partitioned by the individual component within a PV module. This section connects the degradation phenomena and failure modes to the module component, and its effects on the PV system. Building on this knowledge, strategies to improve the operational lifetime of PV systems and thus, to reduce the electricity cost can be devised. Through extensive testing and failure analysis, researchers</w:t>
      </w:r>
    </w:p>
    <w:p>
      <w:pPr/>
      <w:r>
        <w:rPr>
          <w:b/>
        </w:rPr>
        <w:t>POSSIBLE 2022:</w:t>
      </w:r>
      <w:r>
        <w:t xml:space="preserve"> Conceptualizing Emotion Regulation and Coregulation as Family-Level Phenomena — https://doi.org/10.1007/s10567-022-00378-4</w:t>
      </w:r>
    </w:p>
    <w:p>
      <w:pPr/>
      <w:r>
        <w:rPr>
          <w:b/>
        </w:rPr>
        <w:t>Shared claim-specific concepts:</w:t>
      </w:r>
      <w:r>
        <w:t xml:space="preserve"> phenomena, they, also; EU scope not established. This is a provisional connection, not an outcome finding.</w:t>
      </w:r>
    </w:p>
    <w:p>
      <w:pPr>
        <w:pStyle w:val="SourceNote"/>
      </w:pPr>
      <w:r>
        <w:rPr>
          <w:b/>
        </w:rPr>
        <w:t>Available abstract (not full text):</w:t>
      </w:r>
      <w:r>
        <w:t xml:space="preserve"> The ability to regulate one's emotions is foundational for healthy development and functioning in a multitude of domains, whereas difficulties in emotional regulation are recognized as a risk factor for a range of adverse outcomes in childhood, adolescence, and adulthood. Caregivers play a key role in cultivating the development of emotion regulation through coregulation, or the processes by which they provide external support or scaffolding as children navigate their emotional experiences. The vast majority of research to date has examined coregulation in the context of caregiver-child dyads. In this paper, we consider emotion regulation and coregulation as family-level processes that unfold within and across multiple family subsystems and explore how triadic and whole family interactions may contribute to the development of children's emotion regulation skills. Furthermore, we will examine the implications of a family-centered perspective on emotion regulation for prevention of and intervention for childhood emotional and behavioral disorders. Because emotion regulation skills undergo such dramatic maturation during children's first several years of life, much of our focus will be on coregulation within and across the family system during early childhood; however, as many prevention and intervention approaches are geared toward school-aged children and adolescents, we will al</w:t>
      </w:r>
    </w:p>
    <w:p>
      <w:pPr/>
      <w:r>
        <w:rPr>
          <w:b/>
        </w:rPr>
        <w:t>POSSIBLE 2022:</w:t>
      </w:r>
      <w:r>
        <w:t xml:space="preserve"> A Reduced Order Model based on Artificial Neural Networks for nonlinear aeroelastic phenomena and application to composite material beams — https://doi.org/10.1016/j.compstruct.2022.115845</w:t>
      </w:r>
    </w:p>
    <w:p>
      <w:pPr/>
      <w:r>
        <w:rPr>
          <w:b/>
        </w:rPr>
        <w:t>Shared claim-specific concepts:</w:t>
      </w:r>
      <w:r>
        <w:t xml:space="preserve"> order, phenomena, potential; EU scope not established. This is a provisional connection, not an outcome finding.</w:t>
      </w:r>
    </w:p>
    <w:p>
      <w:pPr>
        <w:pStyle w:val="SourceNote"/>
      </w:pPr>
      <w:r>
        <w:rPr>
          <w:b/>
        </w:rPr>
        <w:t>Available abstract (not full text):</w:t>
      </w:r>
      <w:r>
        <w:t xml:space="preserve"> Applications of composite materials in industry have increased due to their high stiffness-to-weight ratio. In the particular case of unidirectional fibers or perpendicular fabrics, the materials behavior is orthotropic, so that an extra degree of freedom, related to the orientation of the fibers, must be included in the structural optimization. Composite material thin walled beam models have been developed for reducing the computational cost of the simulations. Traditionally, these models have been coupled with potential aerodynamics to calculate the aeroelastic response, and thus, the viscous nonlinear effects have been omitted. In order to capture these effects, this manuscript focus on the development of a Reduced Order Model enhanced by an Artificial Neural Network for the analysis of composite structures under aerodynamic loads. The presented methodology shows the training process of the neural network, the comparison with high fidelity simulations and the design optimization of a carbon fiber laminated foam beam. It is demonstrated that the model reduces the computational cost by orders of magnitude, while still capturing structural couplings and being capable of increasing the flutter velocity by more than 10% with respect to the longitudinal orientation.</w:t>
      </w:r>
    </w:p>
    <w:p>
      <w:pPr>
        <w:pStyle w:val="Heading2"/>
      </w:pPr>
      <w:r>
        <w:t>606.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2026:</w:t>
      </w:r>
      <w:r>
        <w:t xml:space="preserve"> Carbon cycle uncertainties and the role of land-use change emissions in ambitious mitigation pathways — https://doi.org/10.22541/essoar.15009904/v1</w:t>
      </w:r>
    </w:p>
    <w:p>
      <w:pPr/>
      <w:r>
        <w:rPr>
          <w:b/>
        </w:rPr>
        <w:t>Shared claim-specific concepts:</w:t>
      </w:r>
      <w:r>
        <w:t xml:space="preserve"> gtco2, mitigation, integrated, assessment, deployment; EU scope not established. This is a provisional connection, not an outcome finding.</w:t>
      </w:r>
    </w:p>
    <w:p>
      <w:pPr>
        <w:pStyle w:val="SourceNote"/>
      </w:pPr>
      <w:r>
        <w:rPr>
          <w:b/>
        </w:rPr>
        <w:t>Available abstract (not full text):</w:t>
      </w:r>
      <w:r>
        <w:t xml:space="preserve"> The carbon cycle and its sensitivity to different forcings is a major source of uncertainty in scenario assessments of Earth System Models (ESMs) on climate change. However, while the relevant carbon cycle uncertainties are often an important part of ESM assessments, they are currently poorly and inconsistently accounted for in the derivation of mitigation pathways using Integrated Assessment Models (IAMs). Here, we incorporate carbon cycle data from 9 different Dynamic Global Vegetation Models (DGVMs) into the REMIND-MAgPIE-MAGICC IAM framework, using the DGVM model diversity as the main source of uncertainty, and assess variations in scenario outcomes derived from them. We show that varying only assumptions about the carbon density potentials of vegetation types leads to important variations in the cost-effective deployment of land-based mitigation solutions. In scenarios where warming is limited to 1.7°C, cumulative landuse change emissions (2020-2050) vary from negative to substantially positive (-12 to 57 GtCO2), with a 30% variation in carbon prices, 100 Mha in forest area and a substantially different CDR mix. By calibrating the simple climate model MAGICC to reproduce the land carbon and nitrogen fluxes from these same DGVMs, we also consistently assess the uncertainty in the remaining carbon budget to limit warming to 1.7°C due to the varied responses of the carbon sin</w:t>
      </w:r>
    </w:p>
    <w:p>
      <w:pPr/>
      <w:r>
        <w:rPr>
          <w:b/>
        </w:rPr>
        <w:t>POSSIBLE 2026:</w:t>
      </w:r>
      <w:r>
        <w:t xml:space="preserve"> Biodiversity conservation policies alter the solution space of climate mitigation scenarios — https://doi.org/10.31223/x5wf80</w:t>
      </w:r>
    </w:p>
    <w:p>
      <w:pPr/>
      <w:r>
        <w:rPr>
          <w:b/>
        </w:rPr>
        <w:t>Shared claim-specific concepts:</w:t>
      </w:r>
      <w:r>
        <w:t xml:space="preserve"> bioenergy, mitigation, use; EU scope not established. This is a provisional connection, not an outcome finding.</w:t>
      </w:r>
    </w:p>
    <w:p>
      <w:pPr>
        <w:pStyle w:val="SourceNote"/>
      </w:pPr>
      <w:r>
        <w:rPr>
          <w:b/>
        </w:rPr>
        <w:t>Available abstract (not full text):</w:t>
      </w:r>
      <w:r>
        <w:t xml:space="preserve"> Conserving biodiversity while mitigating climate change is one of the defining sustainability challenges of this century. Paris-aligned mitigation pathways rely heavily on forest restoration and bioenergy with carbon capture and storage (BECCS). While forest restoration can simultaneously enhance wildlife habitat and increase carbon sequestration, large-scale biomass production for BECCS may intensify land competition and conflict with biodiversity conservation goals. Here, we use an interlinked land-use (MAgPIE), energy (MESSAGEix), and climate (MAGICC) modeling framework to explore the synergies and trade-offs between biodiversity conservation and climate mitigation. We find that sustainable bioenergy potential compatible with ambitious biodiversity conservation targets is below 100 EJ/yr, limiting late-century carbon removal through BECCS in 2 °C scenarios to less than 6 GtCO₂/yr. At the same time, ambitious biodiversity conservation can approximately double carbon sequestration in forest systems. Our results show that Paris temperature goals remain achievable under ambitious biodiversity targets and that peak temperatures are lowered as much as 0.2°C compared to Paris-aligned scenarios without biodiversity targets, although doing so requires earlier and more stringent decarbonization.</w:t>
      </w:r>
    </w:p>
    <w:p>
      <w:pPr/>
      <w:r>
        <w:rPr>
          <w:b/>
        </w:rPr>
        <w:t>POSSIBLE 2026:</w:t>
      </w:r>
      <w:r>
        <w:t xml:space="preserve"> Global Afforestation Carbon Sequestration Potential Within an Integrated Environmental Protection and Sustainable Food System Framework — https://doi.org/10.3390/land15091733</w:t>
      </w:r>
    </w:p>
    <w:p>
      <w:pPr/>
      <w:r>
        <w:rPr>
          <w:b/>
        </w:rPr>
        <w:t>Shared claim-specific concepts:</w:t>
      </w:r>
      <w:r>
        <w:t xml:space="preserve"> gtco2, mitigation, use, integrated, assessment; EU scope not established. This is a provisional connection, not an outcome finding.</w:t>
      </w:r>
    </w:p>
    <w:p>
      <w:pPr>
        <w:pStyle w:val="SourceNote"/>
      </w:pPr>
      <w:r>
        <w:rPr>
          <w:b/>
        </w:rPr>
        <w:t>Available abstract (not full text):</w:t>
      </w:r>
      <w:r>
        <w:t xml:space="preserve"> Afforestation is a high-potential and cost-effective climate change mitigation strategy, but its large-scale implementation raises sustainability concerns. It requires extensive areas of land, potentially conflicting with agriculture and impacting food security. Moreover, inappropriate forest expansion, such as the afforestation of naturally open habitats, could reduce habitats for non-forest organisms and may cause biodiversity loss. Here, we assess the global mitigation potential of afforestation by integrating environmental constraints and sustainable food system transformations within an integrated assessment model framework. Using the Asia-Pacific Integrated Model (AIM), including the AIM-Hub general equilibrium model and AIM-PLUM spatial land use allocation model, we evaluated seven scenarios incorporating biodiversity protection, soil quality enhancement, dietary shifts, food waste reduction, trade, and irrigation intensification. We found that environmental considerations reduce the maximum afforestation potential to 2.13 GtCO2 yr−1, highlighting the importance of accounting for land use trade-offs. However, sustainable food system transformations substantially recover this mitigation potential, increasing afforestation-based carbon sequestration to 5.01 GtCO2 yr−1 by 2100. Approximately 90% of this potential can be achieved at a cost below 50 USD tCO2−1. Our study emph</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bioenergy, provide, mitigation;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Bioenergy and Waste — https://doi.org/10.1007/978-3-031-69856-9_6</w:t>
      </w:r>
    </w:p>
    <w:p>
      <w:pPr/>
      <w:r>
        <w:rPr>
          <w:b/>
        </w:rPr>
        <w:t>Shared claim-specific concepts:</w:t>
      </w:r>
      <w:r>
        <w:t xml:space="preserve"> bioenergy; EU scope not established. This is a provisional connection, not an outcome finding.</w:t>
      </w:r>
    </w:p>
    <w:p>
      <w:pPr>
        <w:pStyle w:val="SourceNote"/>
      </w:pPr>
      <w:r>
        <w:rPr>
          <w:b/>
        </w:rPr>
        <w:t>Available abstract (not full text):</w:t>
      </w:r>
      <w:r>
        <w:t xml:space="preserve"> Abstract A significant proportion of the decarbonization occurring in energy production is based on solar and wind energy. However, biomass also retains its place in the energy palette. This chapter presents an analysis of the technologies and sustainable levels of using biomass and waste for energy, as well as bioenergy carbon capture and storage applications. Furthermore, the chapter addresses the production of materials and chemicals in a manner that is supportive of the achievement of both climate and nature conservation goals. The chapter ultimately concludes that the sustainable utilization of biomass is constrained by its substantial land area requirements and subsequent adverse impacts on the natural environment. The growing population (forecast to stabilize at approximately 10–11 billion by 2030, from 8 billion in 2024) presents a challenge to current systems of production for food, energy, and materials. Given that most of the terrestrial world has already been impacted by human activities, there is a limited opportunity for further expansion. This necessitates the identification of more cost-effective land uses to meet our needs and the implementation of circular economy solutions to reduce the demand for virgin materials. Biomass represents a natural chemical storage of solar energy, and biomass and derived biofuels can be employed, for instance, to balance the vari</w:t>
      </w:r>
    </w:p>
    <w:p>
      <w:pPr/>
      <w:r>
        <w:rPr>
          <w:b/>
        </w:rPr>
        <w:t>POSSIBLE 2025:</w:t>
      </w:r>
      <w:r>
        <w:t xml:space="preserve"> Efficacy of individual and combined terrestrial and marine carbon dioxide removal — https://doi.org/10.1088/1748-9326/ae2af5</w:t>
      </w:r>
    </w:p>
    <w:p>
      <w:pPr/>
      <w:r>
        <w:rPr>
          <w:b/>
        </w:rPr>
        <w:t>Shared claim-specific concepts:</w:t>
      </w:r>
      <w:r>
        <w:t xml:space="preserve"> bioenergy, deployment, feedstock; EU scope visible. This is a provisional connection, not an outcome finding.</w:t>
      </w:r>
    </w:p>
    <w:p>
      <w:pPr>
        <w:pStyle w:val="SourceNote"/>
      </w:pPr>
      <w:r>
        <w:rPr>
          <w:b/>
        </w:rPr>
        <w:t>Available abstract (not full text):</w:t>
      </w:r>
      <w:r>
        <w:t xml:space="preserve"> Abstract Limiting global temperature rise below 2 °C requires significant reduction in greenhouse gas emissions and large-scale carbon dioxide removal (CDR). This study assesses the CO 2 sequestration and efficacy of two CDR approaches, bioenergy with carbon capture and storage (BECCS) and ocean alkalinity enhancement (OAE), applied individually and in combination. Using the Norwegian Earth System Model, simulations were designed to ramp up deployment of BECCS and OAE, to an additional area of 5.2 million km 2 by 2100 for bioenergy feedstock for BECCS, and a CaO deployment rate of approximately 2.7 Gt yr −1 for OAE within the exclusive economic zones of Europe, the United States and China. The combined land–ocean CDR simulation revealed a largely additive carbon removal effect. Over 2030−2100, OAE sequestered 7 ppm of CO 2 with an accumulated 82.3 Gt CaO, achieving a CDR effectiveness of 0.08 ppm (∼0.17 PgC) per Gt CaO, while BECCS reduced 16 ppm of CO 2 , with CDR effectiveness of 3.1 ppm per million km 2 of bioenergy crops. Together, the carbon removal achieved by BECCS and OAE corresponds to anthropogenic CO 2 emissions of 5.4 Gt CO 2 yr −1 by 2100, slightly more than 60% of current global transport sector emissions. Notably, the efficiency of BECCS and OAE alone was unaffected by their concurrent deployment. Nevertheless, simulations revealed distinct non-linear interaction</w:t>
      </w:r>
    </w:p>
    <w:p>
      <w:pPr/>
      <w:r>
        <w:rPr>
          <w:b/>
        </w:rPr>
        <w:t>POSSIBLE 2024:</w:t>
      </w:r>
      <w:r>
        <w:t xml:space="preserve"> Water use in a sustainable net zero energy system: what are the implications of employing bioenergy with carbon capture and storage? — https://doi.org/10.54337/ijsepm.8159</w:t>
      </w:r>
    </w:p>
    <w:p>
      <w:pPr/>
      <w:r>
        <w:rPr>
          <w:b/>
        </w:rPr>
        <w:t>Shared claim-specific concepts:</w:t>
      </w:r>
      <w:r>
        <w:t xml:space="preserve"> bioenergy, mitigation, needed, use, integrated, assessment; EU scope not established. This is a provisional connection, not an outcome finding.</w:t>
      </w:r>
    </w:p>
    <w:p>
      <w:pPr>
        <w:pStyle w:val="SourceNote"/>
      </w:pPr>
      <w:r>
        <w:rPr>
          <w:b/>
        </w:rPr>
        <w:t>Available abstract (not full text):</w:t>
      </w:r>
      <w:r>
        <w:t xml:space="preserve"> Net zero emissions of the global energy and land systems are needed to keep the temperature increase to the 1.5 degrees limit by 2100 as per the Paris Agreement (PA). Furthermore, updated Nationally Determined Contributions (NDCs) now include a net zero target by 2050 or until 2070. These climate policies require rapid technological development towards renewable energy and low carbon emission technologies like nuclear and carbon capture and storage. However, this transition is water intensive as water is needed in power plants cooling, gasification, carbon capture, hydroelectricity, or emission control. In this study, the focus is done on the first three by using an integrated assessment model TIAM-FR. It is based on techno-economic linear optimization and includes a water allocation module. Under two climate scenarios, the energy mixes of the world energy system are scrutinized. The results show that achieving net zero requires renewable energy mainly but would use bioenergy with carbon capture and storage. For the 2018-2100 period, water consumption increases by 100.5% for a 1.5-degree pathway whereas an NDC pathway increases it by 135%. The comparative analysis asses the choice of mitigation solutions with respect to regional water scarcity. At the end, a discussion on the relevant sustainable development goals (2, 6, 7, 13, 15) is presented.</w:t>
      </w:r>
    </w:p>
    <w:p>
      <w:pPr/>
      <w:r>
        <w:rPr>
          <w:b/>
        </w:rPr>
        <w:t>POSSIBLE 2024:</w:t>
      </w:r>
      <w:r>
        <w:t xml:space="preserve"> Expert insights into future trajectories: assessing cost reductions and scalability of carbon dioxide removal technologies — https://doi.org/10.3389/fclim.2024.1331901</w:t>
      </w:r>
    </w:p>
    <w:p>
      <w:pPr/>
      <w:r>
        <w:rPr>
          <w:b/>
        </w:rPr>
        <w:t>Shared claim-specific concepts:</w:t>
      </w:r>
      <w:r>
        <w:t xml:space="preserve"> bioenergy, gtco2, deployment; EU scope visible. This is a provisional connection, not an outcome finding.</w:t>
      </w:r>
    </w:p>
    <w:p>
      <w:pPr>
        <w:pStyle w:val="SourceNote"/>
      </w:pPr>
      <w:r>
        <w:rPr>
          <w:b/>
        </w:rPr>
        <w:t>Available abstract (not full text):</w:t>
      </w:r>
      <w:r>
        <w:t xml:space="preserve"> Introduction To achieve net-zero targets, it is essential to evaluate and model the costs and scalability of emerging carbon dioxide removal technologies like direct air capture with CO2 storage (DACCS) and bioenergy with carbon capture and storage (BECCS). Yet such efforts are often impeded by varying assessments of the climate impact and potential contributions of these technologies. This study explores the future costs and scalability of DACCS and BECCS to advance net-zero goals. Methods We analyze expert opinions on these technologies’ potential costs and deployment scales for 2030, 2040, and 2050. Data was collected from 34 experts, comprising 21 DACCS and 13 BECCS specialists. They provided 90% confidence interval estimates and ‘best estimates’ for future costs and deployment under two International Energy Agency (IEA) policy scenarios—Stated Policies (STEPS) and Net Zero Emissions by 2050 (NZE). Results We find that BECCS costs start at a lower level but decrease more slowly, whereas DACCS costs decline more steeply from a higher initial cost. However, DACCS estimates varied significantly among experts, showing no convergence over time. Regarding potential scalability, both technologies are associated with substantially higher deployment under the NZE scenario. Yet the combined estimated capacity of DACCS and BECCS by 2050 is only about a quarter of the CO2 removals proj</w:t>
      </w:r>
    </w:p>
    <w:p>
      <w:pPr/>
      <w:r>
        <w:rPr>
          <w:b/>
        </w:rPr>
        <w:t>POSSIBLE 2024:</w:t>
      </w:r>
      <w:r>
        <w:t xml:space="preserve"> Bioenergy in Europe is unlikely to make a timely contribution to climate change targets — https://doi.org/10.1088/1748-9326/ad2d11</w:t>
      </w:r>
    </w:p>
    <w:p>
      <w:pPr/>
      <w:r>
        <w:rPr>
          <w:b/>
        </w:rPr>
        <w:t>Shared claim-specific concepts:</w:t>
      </w:r>
      <w:r>
        <w:t xml:space="preserve"> bioenergy, overall, use, integrated; EU scope visible. This is a provisional connection, not an outcome finding.</w:t>
      </w:r>
    </w:p>
    <w:p>
      <w:pPr>
        <w:pStyle w:val="SourceNote"/>
      </w:pPr>
      <w:r>
        <w:rPr>
          <w:b/>
        </w:rPr>
        <w:t>Available abstract (not full text):</w:t>
      </w:r>
      <w:r>
        <w:t xml:space="preserve"> Abstract Increasing bioenergy production is a significant component of European efforts to mitigate climate change, but has contested potential for reducing emissions. We use an integrated land system model to explore the effects of large-scale bioenergy production within the European Union on carbon balances. We find that increased bioenergy crop production is likely to cause substantial deforestation and a commensurate loss of associated carbon stocks largely due to displacement of food production from other areas. Deforestation would occur either within the EU if European forests were not protected, or in other parts of the world arising from indirect land use change if European forests were protected. The net carbon benefit of bioenergy production is largely negative, or uncertain, even under the most optimistic levels of fossil fuel replacement, and will not offset initial carbon losses over the coming 50 yr. The growth of intensive agriculture required to satisfy the demand for bioenergy and food will have negative impacts on crucial ecosystem services. Overall, we identify substantial disadvantages to increasing bioenergy production relative to freeing land for natural succession. At best, large-scale bioenergy production is likely to be irrelevant to time-sensitive climate targets.</w:t>
      </w:r>
    </w:p>
    <w:p>
      <w:pPr>
        <w:pStyle w:val="Heading2"/>
      </w:pPr>
      <w:r>
        <w:t>607.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2026:</w:t>
      </w:r>
      <w:r>
        <w:t xml:space="preserve"> The European Green Deal and its impact on the economy of the European Union — https://doi.org/10.53486/dri2026.50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European Green Deal is the European Union's central framework for linking climate action with longterm economic transformation. Introduced in 2019, it sets out to reshape the EU into a climate-neutral, resource-efficient, and more resilient economy by 2050. This paper examines how that agenda affects the EU economy, with particular attention to renewable energy, industry, agriculture, the circular economy, and pollution control (Fetting, 2020). The analysis uses academic studies together with official EU documents in order to interpret the economic changes associated with the Green Deal. The literature suggests that decarbonization depends heavily on cleaner energy systems and lower-emission production models, but also on substantial capital investment and institutional adjustment across multiple sectors .Overall, the Green Deal appears to create both economic promise and policy strain. It can stimulate innovation, support new employment opportunities, and strengthen competitiveness in emerging green industries, yet it also places pressure on traditional sectors, public budgets, energy prices, and labor-market adjustment processes.</w:t>
      </w:r>
    </w:p>
    <w:p>
      <w:pPr/>
      <w:r>
        <w:rPr>
          <w:b/>
        </w:rPr>
        <w:t>POSSIBLE 2026:</w:t>
      </w:r>
      <w:r>
        <w:t xml:space="preserve"> THE EUROPEAN GREEN DEAL AND ITS IMPLICATIONS TO THE EUROPEAN UNION COOPERATION WITH VIETNAM Case Study: The climate-responsive digital circular economy as a first priority area of action — https://doi.org/10.2139/ssrn.6689058</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The European Green Deal within the Scope of European Union Project Funds: The Role of Green Marketing and Green Advertising — https://doi.org/10.58830/ozgur.pub1165.c4874</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deepening of climate change and environmental sustainability challenges at the global level has necessitated a rethinking of economic growth models and the development of policy frameworks aligned with environmental objectives. In this context, environmental sustainability has evolved into a multidimensional field that requires not only environmental policies but also the comprehensive transformation of production, consumption, and market dynamics. One of the most comprehensive institutional responses to this transformation is the European Green Deal, announced by the European Union in 2019. The European Green Deal presents an integrated transformation vision that encompasses multiple policy areas most notably energy, industry, transport, and finance with the objective of achieving a climate-neutral economy by 2050. To support this process, European Union funding instruments such as Horizon Europe, the LIFE Programme, and the Innovation Fund aim to promote the development of low-carbon technologies and the dissemination of sustainable production models. The extent to which these policy and financing instruments developed under the Green Deal can generate tangible outcomes at the market and societal levels largely depends on the effectiveness of green marketing and green advertising practices. In this regard, green advertising plays a critical role by enabling the transparen</w:t>
      </w:r>
    </w:p>
    <w:p>
      <w:pPr/>
      <w:r>
        <w:rPr>
          <w:b/>
        </w:rPr>
        <w:t>POSSIBLE 2026:</w:t>
      </w:r>
      <w:r>
        <w:t xml:space="preserve"> THE ROLE OF THE GREEN ECONOMY IN REDUCING CARBON EMISSIONS AND THE CHALLENGE IN IMPLEMENTING THE EUROPEAN GREEN DEAL — https://doi.org/10.24818/cike2025.51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study examines the role of the green economy in reducing carbon emissions and assesses the challenges related to the implementation of the European Green Deal (EGD). The main objective of this research is to analyze how green economy policies can contribute to achieving the carbon reduction objectives in the European Union and to assess the main obstacles that limit the effectiveness of the implementation of the EGD. This research uses a methodology based on econometric analysis of secondary data, focusing on key variables that help to assess the impact of green policies on CO2 emissions. The results show that the green economy, through increased investment in renewable energy and the application of sustainable economic growth models, has a direct and positive impact on reducing carbon emissions. The transition to clean energy and the use of new technologies are two key factors in this regard, which are closely linked to the green growth policy and the objectives of the Green Deal. Despite this, the implementation of the EGD faces several challenges, including economic and political disparities between EU Member States, as well as the need for sustained financial support and stronger political commitment. In conclusion, this study shows that, although the green economy has great potential to support climate objectives, sustainable progress in implementing the Green Deal re</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r>
        <w:rPr>
          <w:b/>
        </w:rPr>
        <w:t>POSSIBLE 2025:</w:t>
      </w:r>
      <w:r>
        <w:t xml:space="preserve"> European Green Deal Index: A new composite tool for monitoring European Union's Green Deal strategy — https://doi.org/10.1016/j.jclepro.2025.145077</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The European Green Deal and the democratic imagination — https://doi.org/10.1080/07036337.2025.2455686</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2025:</w:t>
      </w:r>
      <w:r>
        <w:t xml:space="preserve"> An Implementation of European Green Deal into the European Union law — https://openalex.org/W7164873981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2024:</w:t>
      </w:r>
      <w:r>
        <w:t xml:space="preserve"> Objectives of the European Green Deal — https://doi.org/10.4324/9781003486732-8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pPr/>
      <w:r>
        <w:rPr>
          <w:b/>
        </w:rPr>
        <w:t>POSSIBLE 2024:</w:t>
      </w:r>
      <w:r>
        <w:t xml:space="preserve"> A Spotlight on Environmental Sustainability in View of the European Green Deal — https://doi.org/10.3390/su16114654</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This bibliometric study investigates the scientific landscape of environmental sustainability within the European Green Deal (EGD) framework. Utilizing data from the Scopus and Science Direct databases, the study aims to map research trends and frontiers, providing a comprehensive overview of the evolving discourse on sustainability. The EGD’s ambitious goal to render the European Union climate-neutral by 2050 is highlighted, showcasing its significant impact across multiple sectors. The study reveals the integration of new methods and broadening research scopes by employing modern bibliometric techniques. Key thematic focuses include the transition to a circular economy and the emphasis on sustainable resource management, underpinning the EGD’s comprehensive approach to combining economic growth with environmental protection. The analysis unveils the critical role of technological innovation and policy reforms in advancing toward a sustainable, competitive, and climate-neutral economy. The research demonstrates the pivotal role of empirical studies in guiding policy formulation and implementation, showing how targeted measures in resource and energy productivity, combined with a decisive shift towards renewable energy, are integral to fostering a sustainable, competitive, and climate-neutral economy. This convergence of findings reinforces the argument that a multifaceted appr</w:t>
      </w:r>
    </w:p>
    <w:p>
      <w:pPr/>
      <w:r>
        <w:rPr>
          <w:b/>
        </w:rPr>
        <w:t>POSSIBLE 2023:</w:t>
      </w:r>
      <w:r>
        <w:t xml:space="preserve"> The European Green Deal: Challenges and opportunities for the Southern Mediterranean — https://doi.org/10.1080/13629395.2023.2237295</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The European Green Deal (EGD) marked the commitment of the European Union (EU) to a carbon-free, socially inclusive economic system. Even if conceived as an essentially domestic growth strategy, the EGD is inspiring EU diplomacy, as economic cooperation will be needed to realize the EGD’s ambitious vision. This profile aims to investigate and reflect on the potential implications of the EGD for the countries in the EU’s Southern Neighbourhood, especially in the energy sector, agriculture and food system, trade in raw materials, climate action, and circular economy. We expect the EGD to result in an increased investment in renewable energy, a reduction in emissions, green diplomacy, and funding opportunities for green projects and green infrastructures. The EGD brings with it attractive opportunities for a better cooperation on climate action and opportunities for job creation, green growth, and sustainable development. We believe that the EGD has the potential to be a win–win deal for the EU and its Southern Neighbours, with the EU goal to supply green inputs and of creating a market for green products.</w:t>
      </w:r>
    </w:p>
    <w:p>
      <w:pPr>
        <w:pStyle w:val="Heading2"/>
      </w:pPr>
      <w:r>
        <w:t>608.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2026:</w:t>
      </w:r>
      <w:r>
        <w:t xml:space="preserve"> The European Food Supplement Project ‐Identification of emerging risks associated with food supplements, other than vitamins and minerals — https://doi.org/10.2903/sp.efsa.2026.en-10226</w:t>
      </w:r>
    </w:p>
    <w:p>
      <w:pPr/>
      <w:r>
        <w:rPr>
          <w:b/>
        </w:rPr>
        <w:t>Shared claim-specific concepts:</w:t>
      </w:r>
      <w:r>
        <w:t xml:space="preserve"> six, food, made, possible, consumption; EU scope visible. This is a provisional connection, not an outcome finding.</w:t>
      </w:r>
    </w:p>
    <w:p>
      <w:pPr>
        <w:pStyle w:val="SourceNote"/>
      </w:pPr>
      <w:r>
        <w:rPr>
          <w:b/>
        </w:rPr>
        <w:t>Available abstract (not full text):</w:t>
      </w:r>
      <w:r>
        <w:t xml:space="preserve"> Abstract In the frame of tailor‐made activities of EFSA focal points, a community of knowledge has been created to address possible emerging risks due to the consumption of food supplements other than vitamins and minerals (hereafter referred to as “food supplements”). The scope of this project is to gather information in order to facilitate the prioritisation of substances that are likely to be regulated under Article 8 of Regulation (EC) No 1925/2006. The project was divided into two work packages: The Vigilance work package aimed at collecting alerts to identify possible emerging risks from (nutri)vigilance/monitoring systems in Europe and other accessible sources, such as Toxinfo collections or signals from Poison centres; The Plant work package was focused on the identification on the market of food supplements containing plant‐based substances that are predicted to be toxic, as outlined in the EFSA Compendium on Botanicals. The Vigilance work package identified six ingredients that are possibly sources of emerging risks: Bifidobacterium, Coleus (Plectranthus barbatus), Guggul (Commiphora mukul), Toothed clubmoss (Huperzia serrata), Black radish (Raphanus sativus L.) and Ginseng (Panax ginseng). The Plant work package pointed out three substances of concern which are widely distributed in marketed plant‐containing supplements: furfural, emodin and chrysophanol. Future data</w:t>
      </w:r>
    </w:p>
    <w:p>
      <w:pPr/>
      <w:r>
        <w:rPr>
          <w:b/>
        </w:rPr>
        <w:t>POSSIBLE 2026:</w:t>
      </w:r>
      <w:r>
        <w:t xml:space="preserve"> Rethinking food logistics outsourcing: exploring the impact of structural changes in the European supply chain environment — https://doi.org/10.1080/13675567.2026.2654011</w:t>
      </w:r>
    </w:p>
    <w:p>
      <w:pPr/>
      <w:r>
        <w:rPr>
          <w:b/>
        </w:rPr>
        <w:t>Shared claim-specific concepts:</w:t>
      </w:r>
      <w:r>
        <w:t xml:space="preserve"> six, food, production; EU scope visible. This is a provisional connection, not an outcome finding.</w:t>
      </w:r>
    </w:p>
    <w:p>
      <w:pPr>
        <w:pStyle w:val="SourceNote"/>
      </w:pPr>
      <w:r>
        <w:rPr>
          <w:b/>
        </w:rPr>
        <w:t>Available abstract (not full text):</w:t>
      </w:r>
      <w:r>
        <w:t xml:space="preserve"> European food supply chains have seen structural changes regarding cost, energy, labour, and sustainability regulations. This has forced food processors to reassess the drivers of logistics outsourcing and rethink their strategies. In this exploratory multiple-case study, we investigated six large food processors that have extensive production and logistics facilities across Europe and conducted semi-structured interviews with their C-suite and high-level supply chain executives. Guided by the decision-making framework for food logistics outsourcing by Hsiao, Van der Vorst, et al. (2010), we analysed the interview data for key drivers behind the logistics outsourcing decisions. While confirming the relevance of traditional drivers examined in literature (e.g. control over operations and food quality, closeness to core business), we identified emerging drivers and propose an extended decision-making framework. Future empirical investigations are needed to test the theoretical perspectives of those new drivers. Managerial insights are provided for both food processors and logistics service providers.</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2024:</w:t>
      </w:r>
      <w:r>
        <w:t xml:space="preserve"> An Exploration of Food Sustainability Practices in the Food Industry across Europe — https://doi.org/10.3390/su16167119</w:t>
      </w:r>
    </w:p>
    <w:p>
      <w:pPr/>
      <w:r>
        <w:rPr>
          <w:b/>
        </w:rPr>
        <w:t>Shared claim-specific concepts:</w:t>
      </w:r>
      <w:r>
        <w:t xml:space="preserve"> food, greater, environmental, emissions; EU scope visible. This is a provisional connection, not an outcome finding.</w:t>
      </w:r>
    </w:p>
    <w:p>
      <w:pPr>
        <w:pStyle w:val="SourceNote"/>
      </w:pPr>
      <w:r>
        <w:rPr>
          <w:b/>
        </w:rPr>
        <w:t>Available abstract (not full text):</w:t>
      </w:r>
      <w:r>
        <w:t xml:space="preserve"> Sustainability is becoming essential and actively debated in the food sector, influencing companies and stakeholders globally. Sustainability practices have been developed and integrated into food industry actions and policies to meet present needs without compromising future needs. The aim of this study was to explore the current sustainability practices across the food industry in Europe and how initiatives are developed, implemented and evaluated to achieve food sustainability targets. This study formed part of a larger European project (2022-1-IE01-KA220-VET-000087508 Digitalisation of Sustainable Health Education). In-depth semi-structured interviews were conducted with 21 food industry employees with expertise in sustainability across Ireland, Poland, Lithuania, and Cyprus. Interviews were transcribed and thematically analysed. Three themes were identified: sustainable practices challenges, facilitators of green practice, and thinking to the future, Complying with the Science-Based Targets initiative, and setting emissions targets such net zero by 2050 and reducing waste output, drove sustainable activities. Participants identified barriers to initiative development and implementation including cost, monitoring time, product quality, and employee engagement. Employee and stakeholder understanding were crucial to sustainability initiative success. Gaps in research were ide</w:t>
      </w:r>
    </w:p>
    <w:p>
      <w:pPr/>
      <w:r>
        <w:rPr>
          <w:b/>
        </w:rPr>
        <w:t>POSSIBLE 2024:</w:t>
      </w:r>
      <w:r>
        <w:t xml:space="preserve"> Robustness of business models for insect production for feed and food in Europe — https://doi.org/10.1163/23524588-00001141</w:t>
      </w:r>
    </w:p>
    <w:p>
      <w:pPr/>
      <w:r>
        <w:rPr>
          <w:b/>
        </w:rPr>
        <w:t>Shared claim-specific concepts:</w:t>
      </w:r>
      <w:r>
        <w:t xml:space="preserve"> six, food, use, production, processing, but; EU scope visible. This is a provisional connection, not an outcome finding.</w:t>
      </w:r>
    </w:p>
    <w:p>
      <w:pPr>
        <w:pStyle w:val="SourceNote"/>
      </w:pPr>
      <w:r>
        <w:rPr>
          <w:b/>
        </w:rPr>
        <w:t>Available abstract (not full text):</w:t>
      </w:r>
      <w:r>
        <w:t xml:space="preserve"> Abstract Insects and their derivatives are increasingly recognised as a (more) sustainable and circular protein source for feed and food. The European insect industry is growing, but upscaling remains a challenge due to multiple uncertainties. This study analysed the robustness of three different business models for insect production for feed and food in six future scenarios. Business models and scenarios were identified through literature review and refined through expert elicitation (n = 5). The three business models comprised: (1) full-liner black soldier fly production for pet food , (2) decentralised black soldier fly production for aquafeed , and (3) mealworm processing cooperative for food . The six scenarios addressed uncertainties around the use of side streams, insect welfare, energy, and sustainability. We used the Business Model Stress Test in four focus groups with experts (n = 23) from six European countries. Heat maps for three distinct business models were presented, detailing the impacts of scenarios on business model components. Experts regarded full-liner black soldier fly production for pet food and mealworm processing cooperative for food as more robust than decentralised black soldier fly production for aquafeed . These differences were mainly related to the customer segments , value proposition , revenue structure , and cost structure . In full-liner blac</w:t>
      </w:r>
    </w:p>
    <w:p>
      <w:pPr/>
      <w:r>
        <w:rPr>
          <w:b/>
        </w:rPr>
        <w:t>POSSIBLE 2024:</w:t>
      </w:r>
      <w:r>
        <w:t xml:space="preserve"> Food allergy outside the eight big foods in Europe: A systematic review and meta‐analysis — https://doi.org/10.1002/clt2.12338</w:t>
      </w:r>
    </w:p>
    <w:p>
      <w:pPr/>
      <w:r>
        <w:rPr>
          <w:b/>
        </w:rPr>
        <w:t>Shared claim-specific concepts:</w:t>
      </w:r>
      <w:r>
        <w:t xml:space="preserve"> six, food, each, but; EU scope visible. This is a provisional connection, not an outcome finding.</w:t>
      </w:r>
    </w:p>
    <w:p>
      <w:pPr>
        <w:pStyle w:val="SourceNote"/>
      </w:pPr>
      <w:r>
        <w:rPr>
          <w:b/>
        </w:rPr>
        <w:t>Available abstract (not full text):</w:t>
      </w:r>
      <w:r>
        <w:t xml:space="preserve"> BACKGROUND: The 2014 estimates of prevalence of food allergy (FA) in Europe published by the European Academy of Allergy and Clinical Immunology included only the eight so-called big foods (cow's milk/egg/wheat/soy/peanut/tree nuts/fish/shellfish). Those estimates have recently been updated. Complementing this, we sought to identify and estimate the prevalence of allergy to other foods that have been reported during the last decade. METHODS: Six databases were searched for studies published 2012-2021. Random-effects meta-analysis was performed to derive pooled prevalence of allergy to each food. RESULTS: Twenty-seven studies were included, containing a total of 66 FAs. Among the most frequently reported FAs, the lifetime and point prevalence range of self-reported kiwi allergy was 0.1%-1.0% and 0.2%-8.1%, respectively, while the food challenge (FC)-verified kiwi allergy point prevalence range was 0.01%-0.10%. The point prevalence range for self-reported peach allergy was 0.2%-3.2%, while the range for FC-verified peach allergy was 0.02%-0.05%. The lifetime and point prevalence range for self-reported tomato allergy was 0.01%-1.8% and 0.2%-2.1%, respectively. CONCLUSION: Allergy to some foods traditionally not considered important are now emerging as relevant FAs. The focus on FA in Europe should not be limited to the so-called eight big FA, but extended to other types of foods </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food, each, production, consumption, agriculture,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six, food, various, consequences, biodiversity;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food, each, use, but, biodiversity, loss;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Multifaceted Conscription: A Comparative Study of Six European Countries — https://doi.org/10.31374/sjms.166</w:t>
      </w:r>
    </w:p>
    <w:p>
      <w:pPr/>
      <w:r>
        <w:rPr>
          <w:b/>
        </w:rPr>
        <w:t>Shared claim-specific concepts:</w:t>
      </w:r>
      <w:r>
        <w:t xml:space="preserve"> identifies, six, various;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2024:</w:t>
      </w:r>
      <w:r>
        <w:t xml:space="preserve"> Cross-Continental insights: Comparing food safety management systems in Europe and Latin America — https://doi.org/10.1016/j.foodcont.2024.110552</w:t>
      </w:r>
    </w:p>
    <w:p>
      <w:pPr/>
      <w:r>
        <w:rPr>
          <w:b/>
        </w:rPr>
        <w:t>Shared claim-specific concepts:</w:t>
      </w:r>
      <w:r>
        <w:t xml:space="preserve"> food, various, contexts; EU scope visible. This is a provisional connection, not an outcome finding.</w:t>
      </w:r>
    </w:p>
    <w:p>
      <w:pPr>
        <w:pStyle w:val="SourceNote"/>
      </w:pPr>
      <w:r>
        <w:rPr>
          <w:b/>
        </w:rPr>
        <w:t>Available abstract (not full text):</w:t>
      </w:r>
      <w:r>
        <w:t xml:space="preserve"> This study investigates the implementation of Food Safety Management Systems (FSMSs) in agrofood firms across different regional contexts, focusing on the varying motivations behind their adoption in Europe and Latin America. The research aims to understand how these motivations influence the effectiveness of FSMSs in these distinct business environments. A questionnaire was administered to firms certified to the British Retail Consortium Global Standard for Food Safety (BRC-GS) in Spain and various Latin American countries. The data collected were analyzed using multigroup structural equations modeling to examine the relationships between the firms' motivations and the degree of effective FSMS implementation in these regions. The findings highlight that the institutional environment significantly moderates these relationships. In the European context, ethical considerations play a crucial role in driving effective FSMS implementation. Conversely, in Latin America, commercial motivations are a more significant influence, with legitimacy reasons having a negative impact. This study is pioneering in its comparative analysis of FSMS implementation in European and Latin American agrofood firms. The insights gained contribute to understanding the behavioral dynamics of these firms within different economic and regulatory frameworks and offer a broader perspective on the evolution of</w:t>
      </w:r>
    </w:p>
    <w:p>
      <w:pPr/>
      <w:r>
        <w:rPr>
          <w:b/>
        </w:rPr>
        <w:t>POSSIBLE 2023:</w:t>
      </w:r>
      <w:r>
        <w:t xml:space="preserve"> Perspective: Food and Nutrition Insecurity in Europe: Challenges and Opportunities for Dietitians — https://doi.org/10.1016/j.advnut.2023.07.008</w:t>
      </w:r>
    </w:p>
    <w:p>
      <w:pPr/>
      <w:r>
        <w:rPr>
          <w:b/>
        </w:rPr>
        <w:t>Shared claim-specific concepts:</w:t>
      </w:r>
      <w:r>
        <w:t xml:space="preserve"> identifies, food, consequences; EU scope visible. This is a provisional connection, not an outcome finding.</w:t>
      </w:r>
    </w:p>
    <w:p>
      <w:pPr>
        <w:pStyle w:val="SourceNote"/>
      </w:pPr>
      <w:r>
        <w:rPr>
          <w:b/>
        </w:rPr>
        <w:t>Available abstract (not full text):</w:t>
      </w:r>
      <w:r>
        <w:t xml:space="preserve"> In recent years, the interest in food and nutrition insecurity in high-income countries has skyrocketed. However, its recognition in Europe is still developing. This perspective summarizes the evidence on food and nutrition insecurity across Europe in terms of prevalence, consequences, and current mitigation strategies, with the aim of outlining the challenges and opportunities for dietitians. Prevalence in the general population ranges between 5% and 20%, with higher rates identified in women, children, older adults, single-parent households, those with low educational attainment, and on low or unstable income and/or employment. In users of food aid, the prevalence of food insecurity is above 70%. Responses to food and nutrition insecurity include welfare policies and food assistance programs at regional and national levels. However, most current strategies are not successful in tackling the structural drivers of food and nutrition insecurity, nor do they guarantee diet quality. Despite limited involvement to-date, dietitians can play an important role in addressing food and nutrition insecurity across Europe. This narrative identifies 4 areas: 1) create awareness of the existence and severity of food and nutrition insecurity, 2) advocate for comprehensive, robust data on the determinants and prevalence, 3) partner with diverse stakeholders, social assistance providers, local </w:t>
      </w:r>
    </w:p>
    <w:p>
      <w:pPr>
        <w:pStyle w:val="Heading2"/>
      </w:pPr>
      <w:r>
        <w:t>609.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2025:</w:t>
      </w:r>
      <w:r>
        <w:t xml:space="preserve"> Robust Assessments of Lithium Mining Impacts Embodied in Global Supply Chain Require Spatially Explicit Analyses — https://doi.org/10.1021/acs.est.4c12749</w:t>
      </w:r>
    </w:p>
    <w:p>
      <w:pPr/>
      <w:r>
        <w:rPr>
          <w:b/>
        </w:rPr>
        <w:t>Shared claim-specific concepts:</w:t>
      </w:r>
      <w:r>
        <w:t xml:space="preserve"> explicit, assessments, impacts, energy; EU scope visible. This is a provisional connection, not an outcome finding.</w:t>
      </w:r>
    </w:p>
    <w:p>
      <w:pPr>
        <w:pStyle w:val="SourceNote"/>
      </w:pPr>
      <w:r>
        <w:rPr>
          <w:b/>
        </w:rPr>
        <w:t>Available abstract (not full text):</w:t>
      </w:r>
      <w:r>
        <w:t xml:space="preserve"> Lithium is a critical material for the energy transition, but its mining causes significant environmental impacts that will intensify due to surging global demand. Here, we conduct a mining site-specific environmental impact assessment of lithium on a global scale, focusing on greenhouse gas (GHG) emissions, water use, and land use. We then track the production and international trade flows of all lithium-containing commodities to assess how lithium mining impacts are distributed across global supply chains. Results indicate that environmental impact intensities of battery-grade Li 2 CO 3 production from various mine sites differ between 4 times for GHG emissions to 2885 times for land use. 56–68% of environmental impacts generated in the mining countries were embodied in internationally traded lithium flows. On the production side, China, Australia, and Chile were the top 3 countries, accounting for 91–94% of environmental impacts. Regarding final demand, China was the major consuming region, inducing 46–47% of the environmental impacts of global lithium mining, followed by Korea (17–18%) and the EU-27 (9%). Our findings reveal the need for spatially explicit information to accurately assess the environmental impacts of lithium mining and highlight that mitigation requires cooperation between major producer and consumer countries.</w:t>
      </w:r>
    </w:p>
    <w:p>
      <w:pPr/>
      <w:r>
        <w:rPr>
          <w:b/>
        </w:rPr>
        <w:t>POSSIBLE 2025:</w:t>
      </w:r>
      <w:r>
        <w:t xml:space="preserve"> Addressing Pathogen Impact in Life Cycle Assessment: Nationwide spatially explicit characterization factor for organic fertilisation — https://openalex.org/W7205916718</w:t>
      </w:r>
    </w:p>
    <w:p>
      <w:pPr/>
      <w:r>
        <w:rPr>
          <w:b/>
        </w:rPr>
        <w:t>Shared claim-specific concepts:</w:t>
      </w:r>
      <w:r>
        <w:t xml:space="preserve"> explicit, impacts, sustainability; EU scope visible. This is a provisional connection, not an outcome finding.</w:t>
      </w:r>
    </w:p>
    <w:p>
      <w:pPr>
        <w:pStyle w:val="SourceNote"/>
      </w:pPr>
      <w:r>
        <w:rPr>
          <w:b/>
        </w:rPr>
        <w:t>Available abstract (not full text):</w:t>
      </w:r>
      <w:r>
        <w:t xml:space="preserve"> IntroductionLife Cycle Assessment (LCA) is a useful method to assess environmental impacts of manure management and biogas production (Hijazi et al., 2016). However, there are several shortcomings in LCA applied to waste and biomass valorisation (Ekvall et al., 2007). One of these difficulties lies in the lack of important impact categories. The impact category “microbial pathogenic potential” has been disregarded so far. Here we present a proof of concept for the development of a new characterization factor using the pathogen Listeria monocytogenes and its implementation for spatialized LCA applied to organic fertilisers.MethodologyThe characterisation factor (CF) was constructed based on UseTox approach and expressed in equation 1: CF=FF.XF.EF where FF is the fate factor, XF is the exposure factor and EF is the effect factor. We examined the causal chain linking the land application of organic fertilizers to cheese production through the forage-fed dairy farming scenario. Relevant information was retrieved from the literature to identify more than 20 environmental factors affecting the fate of L. monocytogenes in soils. Special attention has been paid to soil microbial diversity because it is a major provider of the service of regulation of pathogens. This required setting up a dedicated methodology. The available geospatial datasets describing these factors over Metropolitan</w:t>
      </w:r>
    </w:p>
    <w:p>
      <w:pPr/>
      <w:r>
        <w:rPr>
          <w:b/>
        </w:rPr>
        <w:t>POSSIBLE 2025:</w:t>
      </w:r>
      <w:r>
        <w:t xml:space="preserve"> Spatially explicit environmental impact assessment of commercial brackish water aquaculture along the northwestern coast of the Bay of Bengal using a multiparameter index approach — https://doi.org/10.1093/inteam/vjaf064</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The present study attempted to apply a comprehensive aquaculture impact index to assess the environmental impacts caused by the proliferation of commercial shrimp farming along the northwestern coast of the Bay of Bengal. The locale of the study was restricted to three community development blocks, viz. Contai-I, Deshapran, and Ramnagar-II in the Medinipur coastal plain of eastern India. Surface water and soil samples were collected from 195 sites during the postmonsoon season deploying a stratified random sampling method. Surface water samples were tested for pH, electrical conductivity, biochemical oxygen demand, dissolved oxygen, chemical oxygen demand, total nitrogen, total phosphorus, chloride, total dissolved solids, and free ammonia. Soil samples were analyzed for pH, electrical conductivity, total organic carbon, total nitrogen, total phosphorus, and total potassium. Spline interpolation was conducted to portray parameter-wise spatial concentration of these samples. To develop the index, principal component analysis was employed as a weightage assignment technique towards characterizing the pollutants that dominate the regional water and soil chemistry. Results indicated that water quality factors have wide spatial reach and influence the aquatic environ of the entire region, mainly in terms of pH, electrical conductivity, and biochemical oxygen demand. High values of a</w:t>
      </w:r>
    </w:p>
    <w:p>
      <w:pPr/>
      <w:r>
        <w:rPr>
          <w:b/>
        </w:rPr>
        <w:t>POSSIBLE 2025:</w:t>
      </w:r>
      <w:r>
        <w:t xml:space="preserve"> Finding relevant stakeholders and related social topics for the implementation of Social Life Cycle Assessment in the multistorey timber construction sector — https://doi.org/10.1007/s11367-025-02431-0</w:t>
      </w:r>
    </w:p>
    <w:p>
      <w:pPr/>
      <w:r>
        <w:rPr>
          <w:b/>
        </w:rPr>
        <w:t>Shared claim-specific concepts:</w:t>
      </w:r>
      <w:r>
        <w:t xml:space="preserve"> impacts, topics; EU scope visible. This is a provisional connection, not an outcome finding.</w:t>
      </w:r>
    </w:p>
    <w:p>
      <w:pPr>
        <w:pStyle w:val="SourceNote"/>
      </w:pPr>
      <w:r>
        <w:rPr>
          <w:b/>
        </w:rPr>
        <w:t>Available abstract (not full text):</w:t>
      </w:r>
      <w:r>
        <w:t xml:space="preserve"> Abstract Purpose This study aims to identify the most relevant stakeholder groups and related social topics for the multistorey timber construction sector and provide first insights on the potential social effects—negative (risks) and positive (benefits)—produced by the prospective increase of multistorey timber constructions in Europe considering their whole life cycle. Methods The advancement of social materiality assessment was conducted to unveil the most relevant stakeholder groups and related social topics of the building sector by considering what is proposed by the UNEP Guidelines for Social Life Cycle Assessment and Handbook for Product Social Impact Assessment. To verify selected social topics and collect information on their level of relevance, we based our research approach on stakeholder engagement through a dedicated online workshop and interviews. Results Seventeen social topics were selected as material for the multistorey timber construction sector according to the literature review and the stakeholder engagement activities. No significant variance in relevance level was observed according to a five-level Likert scale (from 1, not at all relevant, to 5, very relevant), all rating above level 3 (relevant); the ones perceived as very relevant being “Health and safety” (Users), “Safe and healthy living conditions” (Local Community), and “Fair salary” (Workers). Co</w:t>
      </w:r>
    </w:p>
    <w:p>
      <w:pPr/>
      <w:r>
        <w:rPr>
          <w:b/>
        </w:rPr>
        <w:t>POSSIBLE 2025:</w:t>
      </w:r>
      <w:r>
        <w:t xml:space="preserve"> Towards AI-augmented sustainability assessments: integrating large language models in the case of product social life cycle assessment — https://doi.org/10.1007/s11367-025-02508-w</w:t>
      </w:r>
    </w:p>
    <w:p>
      <w:pPr/>
      <w:r>
        <w:rPr>
          <w:b/>
        </w:rPr>
        <w:t>Shared claim-specific concepts:</w:t>
      </w:r>
      <w:r>
        <w:t xml:space="preserve"> assessments, emerging, increased, sustainability; EU scope visible. This is a provisional connection, not an outcome finding.</w:t>
      </w:r>
    </w:p>
    <w:p>
      <w:pPr>
        <w:pStyle w:val="SourceNote"/>
      </w:pPr>
      <w:r>
        <w:rPr>
          <w:b/>
        </w:rPr>
        <w:t>Available abstract (not full text):</w:t>
      </w:r>
      <w:r>
        <w:t xml:space="preserve"> Abstract Purpose As the importance of social responsibility is increasingly recognized, demand for robust social life cycle assessment (S-LCA) has increased. This study presents a novel approach leveraging artificial intelligence (AI) to augment expert-led processes and enhance the efficiency, scalability, and accuracy of S-LCA. Methods The method utilizes advanced natural language processing (NLP) capabilities and large language models (LLMs) to partially automate the evaluation of social factors such as community engagement, labor practices, and human rights considerations against S-LCA pre-defined criteria. The method is applied in parallel to a standard manual practice of a reference-scale S-LCA on a carton product case study in Finland. Results obtained from the AI-augmented assessments are then compared with those derived from the manual method. Results and discussion The comparative analysis reveals a 50% agreement rate between the AI and manual assessment outcomes. We find that three driving factors explain the differences in the remaining outcomes. First, outcomes differed where the human evaluators drew on tacit knowledge unavailable to the AI. Second, the human evaluators inherently weigh negative evidence more heavily than positive evidence. And third, outcomes differed in cases where the assessment of a topic was highly sensitive to stakeholder perspective, and the</w:t>
      </w:r>
    </w:p>
    <w:p>
      <w:pPr/>
      <w:r>
        <w:rPr>
          <w:b/>
        </w:rPr>
        <w:t>POSSIBLE 2025:</w:t>
      </w:r>
      <w:r>
        <w:t xml:space="preserve"> ANALYZING ELEMENTARY STUDENTS' MISCONCEPTION PATTERNS IN KEY SCIENCE AND SOCIAL STUDIES (IPAS) TOPICS: IMPLICATIONS FOR INSTRUCTIONAL DESIGN — https://doi.org/10.37478/jpm.v6i3.5627</w:t>
      </w:r>
    </w:p>
    <w:p>
      <w:pPr/>
      <w:r>
        <w:rPr>
          <w:b/>
        </w:rPr>
        <w:t>Shared claim-specific concepts:</w:t>
      </w:r>
      <w:r>
        <w:t xml:space="preserve"> explicit, assessments, topics, energy; EU scope not established. This is a provisional connection, not an outcome finding.</w:t>
      </w:r>
    </w:p>
    <w:p>
      <w:pPr>
        <w:pStyle w:val="SourceNote"/>
      </w:pPr>
      <w:r>
        <w:rPr>
          <w:b/>
        </w:rPr>
        <w:t>Available abstract (not full text):</w:t>
      </w:r>
      <w:r>
        <w:t xml:space="preserve"> Persistent misconceptions in foundational science ideas often resist routine instruction, undermine knowledge transfer, and remain hidden when assessments capture answers but not reasoning. Within Indonesia’s integrated Science–Social Studies curriculum (IPAS), such misconceptions can cluster around core topics and shape students’ subsequent learning trajectories. This study maps elementary students’ misconception patterns across five IPAS topics—Force–Motion, Changes of State, Energy, Weather/Water Cycle, and Ecosystems—and translates the findings into design principles for instruction. Using an explanatory sequential mixed-methods design, we collected data from 204 Grade 4–6 students in three public schools via a locally contextualized two-tier diagnostic test and clinical interviews supported by concept cartoons. Instrument quality was adequate (mean Aiken’s V = 0.90; internal reliability per topic = 0.71–0.77; inter-rater reliability ? 0.78). Aggregate responses were distributed as 44.2% scientifically sound, 28.1% partial, and 27.7% strong misconceptions, with a grade-level trend toward improvement. The most persistent hotspots appeared in Ecosystems and Force–Motion. Tiered item sensitivity showed a consistent decrease in misconception rates from Q1 (everyday contexts) to Q4 (diagram/model representations), underscoring the role of multiple representations in bridging non</w:t>
      </w:r>
    </w:p>
    <w:p>
      <w:pPr/>
      <w:r>
        <w:rPr>
          <w:b/>
        </w:rPr>
        <w:t>POSSIBLE 2025:</w:t>
      </w:r>
      <w:r>
        <w:t xml:space="preserve"> ACTA SOCIOPATHOLOGICA VIII: The Contemporary Topics in Social Pathology and Social Pedagogy — https://doi.org/10.36689/uhk/978-80-7435-942-2.000</w:t>
      </w:r>
    </w:p>
    <w:p>
      <w:pPr/>
      <w:r>
        <w:rPr>
          <w:b/>
        </w:rPr>
        <w:t>Shared claim-specific concepts:</w:t>
      </w:r>
      <w:r>
        <w:t xml:space="preserve"> topics, values; EU scope not established. This is a provisional connection, not an outcome finding.</w:t>
      </w:r>
    </w:p>
    <w:p>
      <w:pPr>
        <w:pStyle w:val="SourceNote"/>
      </w:pPr>
      <w:r>
        <w:rPr>
          <w:b/>
        </w:rPr>
        <w:t>Available abstract (not full text):</w:t>
      </w:r>
      <w:r>
        <w:t xml:space="preserve"> This paper focuses on current topics in social pedagogy.It focuses on three areas of social pedagogy that reflect the work of Polish social pedagogue R. Wroczyński.His work is extensive and covers the whole spectrum of social pedagogy topics.These include research on socially urgent topics essential for the development of society, then an orientation towards research, characterisation and analysis of the topic of the social environment, and then a strong orientation towards positive values and their development.All of these themes are relevant in contemporary social pedagogy and challenge further research.</w:t>
      </w:r>
    </w:p>
    <w:p>
      <w:pPr/>
      <w:r>
        <w:rPr>
          <w:b/>
        </w:rPr>
        <w:t>POSSIBLE 2024:</w:t>
      </w:r>
      <w:r>
        <w:t xml:space="preserve"> Incorporating stressor interactions into spatially explicit cumulative impact assessments — https://doi.org/10.1002/eap.3056</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Human-induced stressors are impacting the oceans and reducing the biodiversity of marine ecosystems. The many stressors affecting marine environments do not act in isolation. However, their cumulative impact is difficult to predict. Most of the available methods for quantifying cumulative impacts on marine ecosystems sum the impact of individual stressors to estimate cumulative impact. We demonstrate how experimental evidence from interacting stressors can be accounted for in cumulative impact assessments. We adapted a widely used additive model to incorporate nonadditive stressor interactions into a marine spatially explicit cumulative impact assessment for seagrasses. We combined experimental data on the impact of multiple stressors with spatial data on stressor intensity to test whether stressor interactions impact seagrasses in a case study region in South Australia. We also assessed how uncertainty about cumulative impacts changes when uncertainty in stressor interactions is included in the impact mapping. The results from an additive spatial cumulative impact assessment model were compared with results from the model incorporating interactions. Cumulative effects from the interaction model were more variable than those produced by the additive model. Five of the 15 stressor interactions that we tested produced impacts that significantly deviated from those predicted by an</w:t>
      </w:r>
    </w:p>
    <w:p>
      <w:pPr/>
      <w:r>
        <w:rPr>
          <w:b/>
        </w:rPr>
        <w:t>POSSIBLE 2024:</w:t>
      </w:r>
      <w:r>
        <w:t xml:space="preserve"> Disentangling marine plastic impacts in Life Cycle Assessment: Spatially explicit Characterization Factors for ecosystem quality — https://doi.org/10.1016/j.scitotenv.2024.175019</w:t>
      </w:r>
    </w:p>
    <w:p>
      <w:pPr/>
      <w:r>
        <w:rPr>
          <w:b/>
        </w:rPr>
        <w:t>Shared claim-specific concepts:</w:t>
      </w:r>
      <w:r>
        <w:t xml:space="preserve"> explicit, assessments, impacts, sustainability; EU scope visible. This is a provisional connection, not an outcome finding.</w:t>
      </w:r>
    </w:p>
    <w:p>
      <w:pPr>
        <w:pStyle w:val="SourceNote"/>
      </w:pPr>
      <w:r>
        <w:rPr>
          <w:b/>
        </w:rPr>
        <w:t>Available abstract (not full text):</w:t>
      </w:r>
      <w:r>
        <w:t xml:space="preserve"> Inputs of persistent plastic items to marine environments continue to pose a serious and long-term threat to marine fauna and ecosystem health, justifying further interventions on local and global scales. While Life Cycle Assessment (LCA) is frequently used for sustainability evaluations by industries and policymakers, plastic leakage to the environment and its subsequent impacts remains absent from the framework. Incorporating plastic pollution in the assessments requires development of both inventories and impact assessment methods. Here, we propose spatially explicit Characterization Factors (CF) for quantifying the impacts of plastic entanglement on marine megafauna (mammals, birds and reptiles) on a global scale. We utilize Lagrangian particle tracking and a Species Sensitivity Distribution (SSD) model along with species susceptibility records to estimate potential entanglement impacts stemming from lost plastic-based fishing gear. By simulating plastic losses from fishing hotspots within all Exclusive Economic Zones (EEZs) we provide country-specific impact estimates for use in LCA. The impacts were found to be similar across regions, although the median CF associated with Oceania was higher compared to Europe, Africa and Asia. Our findings underscore the presence of susceptible species across the world and the transboundary issue of plastic pollution. We discuss the appl</w:t>
      </w:r>
    </w:p>
    <w:p>
      <w:pPr/>
      <w:r>
        <w:rPr>
          <w:b/>
        </w:rPr>
        <w:t>POSSIBLE 2024:</w:t>
      </w:r>
      <w:r>
        <w:t xml:space="preserve"> Biodiversity impact assessment for finance — https://doi.org/10.1111/jiec.13515</w:t>
      </w:r>
    </w:p>
    <w:p>
      <w:pPr/>
      <w:r>
        <w:rPr>
          <w:b/>
        </w:rPr>
        <w:t>Shared claim-specific concepts:</w:t>
      </w:r>
      <w:r>
        <w:t xml:space="preserve"> explicit, impacts, emerging, making; EU scope visible. This is a provisional connection, not an outcome finding.</w:t>
      </w:r>
    </w:p>
    <w:p>
      <w:pPr>
        <w:pStyle w:val="SourceNote"/>
      </w:pPr>
      <w:r>
        <w:rPr>
          <w:b/>
        </w:rPr>
        <w:t>Available abstract (not full text):</w:t>
      </w:r>
      <w:r>
        <w:t xml:space="preserve"> Abstract Biodiversity loss, driven by human activities, significantly affects the environment, human societies, and economies. Using the extended multi‐regional input–output (EEMRIO) and life cycle assessment (LCA) techniques, we offer insights into how these methodologies can be used to inform financial decisions related to biodiversity focusing on two key aspects: biodiversity impacts and ecosystem service dependencies. Our method combines spatially explicit characterization factors from LC‐IMPACT with the Global Resource Input‐Output Assesment (GLORIA) database to estimate biodiversity impacts. As a case study we assess the biodiversity impact of the MSCI All Country World Index (MSCI ACWI) which consist of about 3000 large‐ and mid‐sized companies, from 23 developed and 24 emerging countries. The results demonstrate that most of the biodiversity impact is caused in the Americas, followed by Asia, despite its low representation in the index's country weight (6%). Europe shows the least impact. These results emphasize the need to account for global supply chain linkages as products sold in one country might have significant biodiversity impacts elsewhere due to sourcing of production inputs. Second, our results identify the main determinants of the index's impact: land use, followed by water stress and climate change. Although most of the impact is localized in few sectors, t</w:t>
      </w:r>
    </w:p>
    <w:p>
      <w:pPr/>
      <w:r>
        <w:rPr>
          <w:b/>
        </w:rPr>
        <w:t>POSSIBLE 2024:</w:t>
      </w:r>
      <w:r>
        <w:t xml:space="preserve"> The product social impact assessment — https://doi.org/10.4337/9781800378650.00019</w:t>
      </w:r>
    </w:p>
    <w:p>
      <w:pPr/>
      <w:r>
        <w:rPr>
          <w:b/>
        </w:rPr>
        <w:t>Shared claim-specific concepts:</w:t>
      </w:r>
      <w:r>
        <w:t xml:space="preserve"> impacts, topics; EU scope not established. This is a provisional connection, not an outcome finding.</w:t>
      </w:r>
    </w:p>
    <w:p>
      <w:pPr>
        <w:pStyle w:val="SourceNote"/>
      </w:pPr>
      <w:r>
        <w:rPr>
          <w:b/>
        </w:rPr>
        <w:t>Available abstract (not full text):</w:t>
      </w:r>
      <w:r>
        <w:t xml:space="preserve"> Since 2013 a group of companies has formed a roundtable with a mission to develop a credible and business viable technique to assess the social impacts of products, brands, and portfolios over the life cycle. Over the past eight years the technique has been tested in case studies by the companies, which has led to further improvements of the Product Social Impact Assessment Handbook, and this chapter describes the fifth iteration of this Handbook released in 2020. In short, the qualitative method uses five-point performance reference scales that focus on performance as well as impact. The performance reference points are based on internationally agreed conventions. The selection of impact categories to be included in the methodology is based on the recognition that companies need a healthy society around them, while they can also have negative impacts on the health of the society. This combination of impacts and dependencies provides the focus to determine the most material social topics of the recognition that companies are dependent. Based on the same analysis we identified four stakeholder categories that seem most relevant for a company: workers, users, local communities, and small-scale entrepreneurs.</w:t>
      </w:r>
    </w:p>
    <w:p>
      <w:pPr>
        <w:pStyle w:val="Heading2"/>
      </w:pPr>
      <w:r>
        <w:t>610.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adoption, countries;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2025:</w:t>
      </w:r>
      <w:r>
        <w:t xml:space="preserve"> What has driven the adoption of BEV and PHEV in the EU? — https://doi.org/10.1016/j.rtbm.2025.101331</w:t>
      </w:r>
    </w:p>
    <w:p>
      <w:pPr/>
      <w:r>
        <w:rPr>
          <w:b/>
        </w:rPr>
        <w:t>Shared claim-specific concepts:</w:t>
      </w:r>
      <w:r>
        <w:t xml:space="preserve"> adoption, bev, countries, charging, stations; EU scope visible. This is a provisional connection, not an outcome finding.</w:t>
      </w:r>
    </w:p>
    <w:p>
      <w:pPr>
        <w:pStyle w:val="SourceNote"/>
      </w:pPr>
      <w:r>
        <w:rPr>
          <w:b/>
        </w:rPr>
        <w:t>Available abstract (not full text):</w:t>
      </w:r>
      <w:r>
        <w:t xml:space="preserve"> Moving towards greater electric mobility in Europe is fundamental for energy transition and reducing fossil fuel dependence. This paper analyses the role of socioeconomic, environmental, and technical factors on the diffusion of battery electric vehicles (BEV) and plug-in electric vehicles (PHEV) into the market. Annual panel data from 2010 to 2020 for 25 European countries were used by recurring to the Driscoll-Kraay estimator. BEV and PHEV sales market share was employed to measure both vehicles' diffusion. The main findings indicate that the fast public charging stations drive the adoption of both BEV and PHEV. The normal charging stations block the adoption of BEV and have no significant impact on PHEV sales. This paper provides empirical evidence suggesting that higher income levels do not lead to substituting traditional vehicles for EV. Particular attention should be paid to the negative role of environmental tax revenues in adopting both BEV and PHEV. Our findings indicate that those paying additional taxes for polluting activities do not have the financial capacity to buy an EV. To address this situation, policymakers could incentivise the use of EV instead of encouraging purchases, providing, for instance, special prices at tolls.</w:t>
      </w:r>
    </w:p>
    <w:p>
      <w:pPr/>
      <w:r>
        <w:rPr>
          <w:b/>
        </w:rPr>
        <w:t>POSSIBLE 2025:</w:t>
      </w:r>
      <w:r>
        <w:t xml:space="preserve"> Global trends in electric vehicle adoption and the impact of environmental awareness, user attributes, and barriers — https://doi.org/10.1016/j.egyr.2024.12.054</w:t>
      </w:r>
    </w:p>
    <w:p>
      <w:pPr/>
      <w:r>
        <w:rPr>
          <w:b/>
        </w:rPr>
        <w:t>Shared claim-specific concepts:</w:t>
      </w:r>
      <w:r>
        <w:t xml:space="preserve"> adoption, bevs, countries; EU scope visible. This is a provisional connection, not an outcome finding.</w:t>
      </w:r>
    </w:p>
    <w:p>
      <w:pPr>
        <w:pStyle w:val="SourceNote"/>
      </w:pPr>
      <w:r>
        <w:rPr>
          <w:b/>
        </w:rPr>
        <w:t>Available abstract (not full text):</w:t>
      </w:r>
      <w:r>
        <w:t xml:space="preserve"> Electric vehicles, powered by one or more electric motors, offer numerous advantages, such as reduced noise pollution, a cleaner environment, and lower operating costs. The selection of electric cars could be influenced by various drivers including environmental awareness, user attributes, barriers, incentives, and user awareness. Accordingly, this paper aimed to explore the impacts of those influential drivers on adopting kinds of electric vehicles by considering spatiotemporal patterns. In this paper, the meta-regression approach was run to combine the findings of 38 primary articles from 1990 to 2023. In this context, the effects of main drivers on adopting electric vehicles were assessed in Battery Electric Vehicles (BEVs), Plug-in Hybrid Electric Vehicles (PHEVs), and Hybrid Electric Vehicles (HEVs). The findings indicate that the main drivers influence the selection of electric cars. The meta-regression results showed that achieving electric vehicle adoption can be globally influenced by environmental awareness ( β = 0.23), user attributes ( β = 0.17), barriers ( β = −0.07), and user awareness ( β = 0.12). The highest spatial effect is related to the adoption of BEVs ( β = 0.17) by European countries. Accordingly, the use of electric cars is recommended, especially in large countries that emit greenhouse gases such as China and India . The expansion of electric vehicles, </w:t>
      </w:r>
    </w:p>
    <w:p>
      <w:pPr/>
      <w:r>
        <w:rPr>
          <w:b/>
        </w:rPr>
        <w:t>POSSIBLE 2025:</w:t>
      </w:r>
      <w:r>
        <w:t xml:space="preserve"> Analysis of Antecedent Factors Influencing the Adoption and Conversion of Two-Wheeled Battery Electric Vehicles (BEVs) in East Kalimantan Province — https://doi.org/10.12928/si.v23i2.467</w:t>
      </w:r>
    </w:p>
    <w:p>
      <w:pPr/>
      <w:r>
        <w:rPr>
          <w:b/>
        </w:rPr>
        <w:t>Shared claim-specific concepts:</w:t>
      </w:r>
      <w:r>
        <w:t xml:space="preserve"> adoption, bevs, bev, increased; EU scope not established. This is a provisional connection, not an outcome finding.</w:t>
      </w:r>
    </w:p>
    <w:p>
      <w:pPr>
        <w:pStyle w:val="SourceNote"/>
      </w:pPr>
      <w:r>
        <w:rPr>
          <w:b/>
        </w:rPr>
        <w:t>Available abstract (not full text):</w:t>
      </w:r>
      <w:r>
        <w:t xml:space="preserve"> The rise in motorcycle ownership in Indonesia has increased energy consumption and greenhouse gas emissions, challenging the country's net-zero target by 2060. To mitigate this, the government is promoting the adoption and conversion of two-wheeled Battery Electric Vehicles (BEVs), but implementation remains below target, implying behavioral factors as a major barrier. This study analyzes the determinants influencing consumer and potential consumer behavior in adopting two-wheeled BEVs in East Kalimantan, a strategic region supporting the Indonesian Capital City. Using the Field Theory framework, the model integrates the Theory of Planned Behavior (TPB), which represents personal factors (Attitude, Subjective Norm, Perceived Behavioral Control, and Intention), and the Electric Vehicle Ecosystem (EVE), which represents environmental factors (Performance, Infrastructure, Price, and Features). Data from 400 respondents were analyzed using SEM-PLS, which explained 65.8% of the variance in adoption intention. The results show that Subjective Norms, Perceived Behavioral Control, Performance, Price, and Features significantly influence intention, while Attitude and Infrastructure do not. These findings reveal that consumers view two-wheeled BEVs primarily as functional alternatives to conventional motorcycles, rather than as environmentally friendly innovations. The contributes of thi</w:t>
      </w:r>
    </w:p>
    <w:p>
      <w:pPr/>
      <w:r>
        <w:rPr>
          <w:b/>
        </w:rPr>
        <w:t>POSSIBLE 2025:</w:t>
      </w:r>
      <w:r>
        <w:t xml:space="preserve"> Factors Influencing the Purchase of Battery Electric Vehicles (BEVs) — https://doi.org/10.31803/tg-2024052312222</w:t>
      </w:r>
    </w:p>
    <w:p>
      <w:pPr/>
      <w:r>
        <w:rPr>
          <w:b/>
        </w:rPr>
        <w:t>Shared claim-specific concepts:</w:t>
      </w:r>
      <w:r>
        <w:t xml:space="preserve"> bevs, better, bev, charging; EU scope visible. This is a provisional connection, not an outcome finding.</w:t>
      </w:r>
    </w:p>
    <w:p>
      <w:pPr>
        <w:pStyle w:val="SourceNote"/>
      </w:pPr>
      <w:r>
        <w:rPr>
          <w:b/>
        </w:rPr>
        <w:t>Available abstract (not full text):</w:t>
      </w:r>
      <w:r>
        <w:t xml:space="preserve"> This research aims to identify the key factors influencing the new registrations of battery electric vehicles (BEVs) in Germany. Focusing the topics economy, mobility change and climate sustainability a mixed-methods approach was used combining a regression analysis based on public databases and qualitative interviews with experts, represented by vehicle testing organizations, BEV leasing companies, car dealerships and automotive magazines. The study revealed similarities as well as discrepancies between expert opinions and the regression analysis results in the fields of real GDP, education rate, the average range of BEVs, the real estate price index, charging infrastructure and political conviction. Regarding practical implications, the results of this study help BEV manufacturers to enhance their marketing and product strategies. The findings of this study could help decision-makers to better understand the mind set of BEV customers.</w:t>
      </w:r>
    </w:p>
    <w:p>
      <w:pPr/>
      <w:r>
        <w:rPr>
          <w:b/>
        </w:rPr>
        <w:t>POSSIBLE 2025:</w:t>
      </w:r>
      <w:r>
        <w:t xml:space="preserve"> E-Private Mobility Index: A Novel Tool for Assessing BEV Transition Feasibility — https://doi.org/10.3390/su17093983</w:t>
      </w:r>
    </w:p>
    <w:p>
      <w:pPr/>
      <w:r>
        <w:rPr>
          <w:b/>
        </w:rPr>
        <w:t>Shared claim-specific concepts:</w:t>
      </w:r>
      <w:r>
        <w:t xml:space="preserve"> bevs, bev, charging; EU scope visible. This is a provisional connection, not an outcome finding.</w:t>
      </w:r>
    </w:p>
    <w:p>
      <w:pPr>
        <w:pStyle w:val="SourceNote"/>
      </w:pPr>
      <w:r>
        <w:rPr>
          <w:b/>
        </w:rPr>
        <w:t>Available abstract (not full text):</w:t>
      </w:r>
      <w:r>
        <w:t xml:space="preserve"> While the speed of the transition to battery electric vehicles (BEVs) depends on real-world driving behaviors and socioeconomic conditions, relevant predictions are often not based on real trip data. This study analyzes over 200,000 private car trips, tracked via onboard telematics across Italy, in order to assess the feasibility of replacing internal combustion engine vehicles (ICEVs) with BEVs. Given that drivers are resistant to changing their habits, we introduce the E-Private Mobility Index, which quantifies the percentage of traditional cars at present that are functionally compatible with a medium BEV, assuming home charging. Nationwide, this index reaches 30%, but only 15% of car owners would also see financial benefits. By quantifying both the potential to replace traditional cars with electric ones and the associated economic impacts, our analysis supports sustainable mobility by offering insights into the rate of penetration of sustainable and green mobility, in line with the objectives of the European Green Deal. With its unprecedented statistical significance, the study not only provides a data-driven upper threshold of BEV penetration but also offers a flexible framework for shaping future policies, allowing the adaptation of parameters and assumptions to guide a scalable transition to electric private mobility.</w:t>
      </w:r>
    </w:p>
    <w:p>
      <w:pPr/>
      <w:r>
        <w:rPr>
          <w:b/>
        </w:rPr>
        <w:t>POSSIBLE 2024:</w:t>
      </w:r>
      <w:r>
        <w:t xml:space="preserve"> Investigating the Moderating Role of Government Incentive Policy on Consumer Adoption of Battery Electric Vehicles (BEV) in Malaysia — https://doi.org/10.6007/ijarbss/v14-i3/20992</w:t>
      </w:r>
    </w:p>
    <w:p>
      <w:pPr/>
      <w:r>
        <w:rPr>
          <w:b/>
        </w:rPr>
        <w:t>Shared claim-specific concepts:</w:t>
      </w:r>
      <w:r>
        <w:t xml:space="preserve"> adoption, bevs, better, bev; EU scope not established. This is a provisional connection, not an outcome finding.</w:t>
      </w:r>
    </w:p>
    <w:p>
      <w:pPr>
        <w:pStyle w:val="SourceNote"/>
      </w:pPr>
      <w:r>
        <w:rPr>
          <w:b/>
        </w:rPr>
        <w:t>Available abstract (not full text):</w:t>
      </w:r>
      <w:r>
        <w:t xml:space="preserve"> As concerns about climate change, global warming, and environmental degradation continue to escalate, the adoption of electric vehicles, particularly Battery Electric Vehicles (BEVs), has emerged as a promising solution for a more sustainable future. This study delves into the willingness of Malaysian consumers to embrace BEVs, with a specific focus on the moderating role of government incentives and policies. Drawing upon the Theory of Planned Behaviour (TPB) as the theoretical framework, this study extends the TPB model by incorporating four additional external variables to better understand the factors influencing adoption intention. Employing a quantitative research approach, this investigation utilizes a cross-sectional survey method to collect empirical data from car consumers across Malaysia. The survey instrument, adapted from previous studies, comprehensively assesses nine constructs relevant to this research. Data analysis will be conducted using Structural Equation Modelling (SEM), specifically employing the Partial Least Squares SEM (PLS-SEM) approach, to examine the formulated hypotheses. The findings of this study aim to shed light on the determinants of BEV adoption intention among Malaysian consumers, with implications for policymakers, automotive industry players, and researchers. Further research avenues are also proposed to deepen our understanding of the com</w:t>
      </w:r>
    </w:p>
    <w:p>
      <w:pPr/>
      <w:r>
        <w:rPr>
          <w:b/>
        </w:rPr>
        <w:t>POSSIBLE 2024:</w:t>
      </w:r>
      <w:r>
        <w:t xml:space="preserve"> Automated Parking Planning with Vision-Based BEV Approach — https://doi.org/10.48550/arxiv.2406.15430</w:t>
      </w:r>
    </w:p>
    <w:p>
      <w:pPr/>
      <w:r>
        <w:rPr>
          <w:b/>
        </w:rPr>
        <w:t>Shared claim-specific concepts:</w:t>
      </w:r>
      <w:r>
        <w:t xml:space="preserve"> demonstrates, bev; EU scope not established. This is a provisional connection, not an outcome finding.</w:t>
      </w:r>
    </w:p>
    <w:p>
      <w:pPr>
        <w:pStyle w:val="SourceNote"/>
      </w:pPr>
      <w:r>
        <w:rPr>
          <w:b/>
        </w:rPr>
        <w:t>Available abstract (not full text):</w:t>
      </w:r>
      <w:r>
        <w:t xml:space="preserve"> Automated Valet Parking (AVP) is a crucial component of advanced autonomous driving systems, focusing on the endpoint task within the "human-vehicle interaction" process to tackle the challenges of the "last mile".The perception module of the automated parking algorithm has evolved from local perception using ultrasonic radar and global scenario precise map matching for localization to a high-level map-free Birds Eye View (BEV) perception solution.The BEV scene places higher demands on the real-time performance and safety of automated parking planning tasks. This paper proposes an improved automated parking algorithm based on the A* algorithm, integrating vehicle kinematic models, heuristic function optimization, bidirectional search, and Bezier curve optimization to enhance the computational speed and real-time capabilities of the planning algorithm.Numerical optimization methods are employed to generate the final parking trajectory, ensuring the safety of the parking path. The proposed approach is experimentally validated in the commonly used industrial CARLA-ROS joint simulation environment. Compared to traditional algorithms, this approach demonstrates reduced computation time with more challenging collision-risk test cases and improved performance in comfort metrics.</w:t>
      </w:r>
    </w:p>
    <w:p>
      <w:pPr/>
      <w:r>
        <w:rPr>
          <w:b/>
        </w:rPr>
        <w:t>POSSIBLE 2024:</w:t>
      </w:r>
      <w:r>
        <w:t xml:space="preserve"> AI Chatbot Adoption in Academia: Task Fit, Usefulness and Collegial Ties — https://doi.org/10.28945/5260</w:t>
      </w:r>
    </w:p>
    <w:p>
      <w:pPr/>
      <w:r>
        <w:rPr>
          <w:b/>
        </w:rPr>
        <w:t>Shared claim-specific concepts:</w:t>
      </w:r>
      <w:r>
        <w:t xml:space="preserve"> adoption, better, fit, increased; EU scope not established. This is a provisional connection, not an outcome finding.</w:t>
      </w:r>
    </w:p>
    <w:p>
      <w:pPr>
        <w:pStyle w:val="SourceNote"/>
      </w:pPr>
      <w:r>
        <w:rPr>
          <w:b/>
        </w:rPr>
        <w:t>Available abstract (not full text):</w:t>
      </w:r>
      <w:r>
        <w:t xml:space="preserve"> Aim/Purpose: This mixed-methods study aims to examine factors influencing academicians’ intentions to continue using AI-based chatbots by integrating the Task-Technology Fit (TTF) model and social network characteristics. Background: AI-powered chatbots are gaining popularity across industries, including academia. However, empirical research on academicians’ adoption behavior is limited. This study proposes an integrated model incorporating TTF factors and social network characteristics like density, homophily, and connectedness to understand academics’ continuance intentions. Methodology: A qualitative study involving 31 interviews of academics from India examined attitudes and the potential role of social network characteristics like density, homophily, and connectedness in adoption. Results showed positive sentiment towards chatbots and themes on how peer groups accelerate diffusion. In the second phase, a survey of 448 faculty members from prominent Indian universities was conducted to test the proposed research model. Contribution: The study proposes and validates an integrated model of TTF and social network factors that influence academics’ continued usage intentions toward AI chatbots. It highlights the nuanced role of peer networks in shaping adoption. Findings: Task and technology characteristics positively affected academics’ intentions to continue AI chatbot usage. </w:t>
      </w:r>
    </w:p>
    <w:p>
      <w:pPr>
        <w:pStyle w:val="Heading2"/>
      </w:pPr>
      <w:r>
        <w:t>611.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2025:</w:t>
      </w:r>
      <w:r>
        <w:t xml:space="preserve"> Democracy and the European Green Deal — https://doi.org/10.1080/07036337.2025.2459859</w:t>
      </w:r>
    </w:p>
    <w:p>
      <w:pPr/>
      <w:r>
        <w:rPr>
          <w:b/>
        </w:rPr>
        <w:t>Shared claim-specific concepts:</w:t>
      </w:r>
      <w:r>
        <w:t xml:space="preserve"> green, deal, egd, ambitious, different, union; EU scope visible. This is a provisional connection, not an outcome finding.</w:t>
      </w:r>
    </w:p>
    <w:p>
      <w:pPr>
        <w:pStyle w:val="SourceNote"/>
      </w:pPr>
      <w:r>
        <w:rPr>
          <w:b/>
        </w:rPr>
        <w:t>Available abstract (not full text):</w:t>
      </w:r>
      <w:r>
        <w:t xml:space="preserve"> The European Union’s European Green Deal (EGD) was announced as an ambitious endeavour to achieve a just transition, address climate change, biodiversity loss and more. Importantly, it expresses the desire to tackle these challenges in a democratic way. Indeed, the scale of the changes required to meet the EGD’s goals mean that without democratic consent it is likely to fail, with disastrous consequences. With this introduction to the Special Issue on the European Green Deal and democracy we sketch the contours of this wide-ranging debate through a focus on aspects of democracy that are central to the EU and the EGD: representation, participation and deliberation, justice and the just transition, and expertise. The different contributions to this Special Issue examine democratic elements in the EGD and surrounding governance structures by exploring alternative sources of democratic innovation, including deliberative mechanisms and social movements, as potential avenues for transformative change.</w:t>
      </w:r>
    </w:p>
    <w:p>
      <w:pPr/>
      <w:r>
        <w:rPr>
          <w:b/>
        </w:rPr>
        <w:t>POSSIBLE 2025:</w:t>
      </w:r>
      <w:r>
        <w:t xml:space="preserve"> The European Green Deal and the democratic imagination — https://doi.org/10.1080/07036337.2025.2455686</w:t>
      </w:r>
    </w:p>
    <w:p>
      <w:pPr/>
      <w:r>
        <w:rPr>
          <w:b/>
        </w:rPr>
        <w:t>Shared claim-specific concepts:</w:t>
      </w:r>
      <w:r>
        <w:t xml:space="preserve"> green, deal, egd, different, sustainability;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2025:</w:t>
      </w:r>
      <w:r>
        <w:t xml:space="preserve"> Economic potential of renewable energy for business: decarbonisation and climate adaptation strategies in Ukraine and Europe — https://doi.org/10.35774/econa2025.03.180</w:t>
      </w:r>
    </w:p>
    <w:p>
      <w:pPr/>
      <w:r>
        <w:rPr>
          <w:b/>
        </w:rPr>
        <w:t>Shared claim-specific concepts:</w:t>
      </w:r>
      <w:r>
        <w:t xml:space="preserve"> green, deal, decarbonisation, strategy, approach; EU scope visible. This is a provisional connection, not an outcome finding.</w:t>
      </w:r>
    </w:p>
    <w:p>
      <w:pPr>
        <w:pStyle w:val="SourceNote"/>
      </w:pPr>
      <w:r>
        <w:rPr>
          <w:b/>
        </w:rPr>
        <w:t>Available abstract (not full text):</w:t>
      </w:r>
      <w:r>
        <w:t xml:space="preserve"> Introduction. The global shift toward sustainable natural resource use and the minimisation of economic dependence on traditional energy sources represents a necessary stage in societal development within the framework of climate change mitigation and sustainable development. The subject of the study is the potential for integrating renewable energy sources (RES) into business operations in order to reduce greenhouse gas emissions and enhance the climate resilience of corporate processes in Ukraine and Europe. Purpose. The purpose of the study is to identify the key trends, economic incentives, and institutional mechanisms that support the transition of businesses to RES within the strategies of sustainable development, the circular economy, and decarbonisation, with an emphasis on assessing the economic impacts on energy independence, GDP, and investment payback. Methodology. The methodological framework integrates general scientific methods (analysis, synthesis, comparison, abstraction, induction, deduction), a systems approach, as well as economic calculations (ROI, cost–benefit analysis, assessment of savings from reduced energy imports) based on data from IRENA, the Energy Community, the European Investment Bank, and Ukraine’s national energy strategies up to 2035. Results. The article analyses key outcomes of effective European best practices (Germany, Sweden, Romania, Po</w:t>
      </w:r>
    </w:p>
    <w:p>
      <w:pPr/>
      <w:r>
        <w:rPr>
          <w:b/>
        </w:rPr>
        <w:t>POSSIBLE 2025:</w:t>
      </w:r>
      <w:r>
        <w:t xml:space="preserve"> ATWOOD’S PRACTICAL UTOPIAS: A COMPARATIVE ANALYSIS WITH THE EUROPEAN GREEN DEAL — https://doi.org/10.56177/aua.philologica.2.26.2025.art.5</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This article compares Margaret Atwood’s Practical Utopia – an interactive, global, live-learning workshop hosted on the Disco platform – with the European Green Deal (EGD) to examine how imaginative, community-led futures align with and operationalise the EU's policy architecture for climate neutrality. Using content analysis, document analysis, and comparative analysis, the study advances the hypothesis that contemporary "practical utopias" are shaped by EGD targets and strategies, and tests that claim against the project's themes and outcomes, including the Symbiocene showcase. The paper situates Practical Utopias within currents of “real” or “concrete” utopianism (Wright, Albritton, Wilder), where ideals are judged by feasibility and iterative prototyping. Atwood’s pivot from dystopia to practice foregrounds active hope: participants co-designed carbon-neutral/negative communities by tackling basic systems (food, shelter, clothing, energy, mobility, governance, digital infrastructure, justice, and rituals around death) while interrogating the ecological ethics of enabling technologies. In parallel, the article synthesises the EGD's core—climate neutrality by 2050, ≥55% emissions cuts by 2030, and a policy suite spanning circular economy, zero pollution, Farm to Fork, Renovation Wave, industrial decarbonisation, clean mobility, renewables and hydrogen, biodiversity protection</w:t>
      </w:r>
    </w:p>
    <w:p>
      <w:pPr/>
      <w:r>
        <w:rPr>
          <w:b/>
        </w:rPr>
        <w:t>POSSIBLE 2024:</w:t>
      </w:r>
      <w:r>
        <w:t xml:space="preserve"> What was, is and will be: A bibliometric analysis of European Green Deal (EGD) — https://doi.org/10.1386/tmsd_00086_1</w:t>
      </w:r>
    </w:p>
    <w:p>
      <w:pPr/>
      <w:r>
        <w:rPr>
          <w:b/>
        </w:rPr>
        <w:t>Shared claim-specific concepts:</w:t>
      </w:r>
      <w:r>
        <w:t xml:space="preserve"> green, deal, egd, sustainability, union; EU scope visible. This is a provisional connection, not an outcome finding.</w:t>
      </w:r>
    </w:p>
    <w:p>
      <w:pPr>
        <w:pStyle w:val="SourceNote"/>
      </w:pPr>
      <w:r>
        <w:rPr>
          <w:b/>
        </w:rPr>
        <w:t>Available abstract (not full text):</w:t>
      </w:r>
      <w:r>
        <w:t xml:space="preserve"> European Green Deal (EGD) was introduced by the European Union in December 2019 with a pledge to transform the European Union into a carbon-neutral economy by the year 2050. This study intends to undertake a bibliometric evaluation of the existing literature on EGD. This research aims to precisely identify and evaluate the most influential sources, contributors and cited works in the EGD literature, as well as delineate primary research directions and geographical hotspots, thereby offering a comprehensive overview of the current state and trends within the field. An attempt has been made to identify the trends of the research on EGD, along with the top countries contributing to the literature on EGD. The emerging keywords in the EGD literature are traced to provide future research directions. A total of 846 research documents are obtained from the Scopus database, and the Visualization of Similarities (VOS) viewer software is used for data analysis. The results of the analysis reveal that sustainability, sustainable development, energy efficiency, energy policies, greenhouse emissions, climate change, biodiversity, circular economy and renewable energy emerge as prominent and interconnected areas of research within the academic discourse on the EGD.</w:t>
      </w:r>
    </w:p>
    <w:p>
      <w:pPr/>
      <w:r>
        <w:rPr>
          <w:b/>
        </w:rPr>
        <w:t>POSSIBLE 2024:</w:t>
      </w:r>
      <w:r>
        <w:t xml:space="preserve"> DIGITALIZATION OF THE EUROPEAN GREEN DEAL (EGD) AND SUSTAINABLE DEVELOPMENT GOALS (SDG) - A FACTOR IN EMPOWERING SUSTAINABLE LOCAL PROJECTS: A REVIEW OF LITERATURE AND POTENTIAL ACHIEVEMENTS — https://doi.org/10.61432/cpne0201129g</w:t>
      </w:r>
    </w:p>
    <w:p>
      <w:pPr/>
      <w:r>
        <w:rPr>
          <w:b/>
        </w:rPr>
        <w:t>Shared claim-specific concepts:</w:t>
      </w:r>
      <w:r>
        <w:t xml:space="preserve"> green, deal, egd, sustainability, union; EU scope visible. This is a provisional connection, not an outcome finding.</w:t>
      </w:r>
    </w:p>
    <w:p>
      <w:pPr>
        <w:pStyle w:val="SourceNote"/>
      </w:pPr>
      <w:r>
        <w:rPr>
          <w:b/>
        </w:rPr>
        <w:t>Available abstract (not full text):</w:t>
      </w:r>
      <w:r>
        <w:t xml:space="preserve"> The Sustainable Development Goals and the European Green Deal are calls to action for countries around the world, and especially for the member states of the European Union, to address and practically solve many common problems. When discussing the European Green Deal (EGD) in particular, these problems are predominantly ecological in nature. The goal of decarbonization is closely linked to the structure of the economy, and to properly implement the provisions of greening the economy, proper education is necessary. For mass education, the use of IoT is a step towards the digitalization of education, project and other networking, as well as harmonious innovations on the path to sustainability. To highlight the importance and interdependence of these areas, the paper presents a systematic review of the literature on these fields.</w:t>
      </w:r>
    </w:p>
    <w:p>
      <w:pPr/>
      <w:r>
        <w:rPr>
          <w:b/>
        </w:rPr>
        <w:t>POSSIBLE 2024:</w:t>
      </w:r>
      <w:r>
        <w:t xml:space="preserve"> Romanian Legislation Based on The EU Green Deal Strategy — https://doi.org/10.58603/dgms8788</w:t>
      </w:r>
    </w:p>
    <w:p>
      <w:pPr/>
      <w:r>
        <w:rPr>
          <w:b/>
        </w:rPr>
        <w:t>Shared claim-specific concepts:</w:t>
      </w:r>
      <w:r>
        <w:t xml:space="preserve"> green, deal, decarbonisation, strategy; EU scope visible. This is a provisional connection, not an outcome finding.</w:t>
      </w:r>
    </w:p>
    <w:p>
      <w:pPr>
        <w:pStyle w:val="SourceNote"/>
      </w:pPr>
      <w:r>
        <w:rPr>
          <w:b/>
        </w:rPr>
        <w:t>Available abstract (not full text):</w:t>
      </w:r>
      <w:r>
        <w:t xml:space="preserve"> The present paper presents some of the latest Romanian legal provisions to support the European Green Deal objectives and the adoption of the "Fit for 55" package. Our paper presents some of the latest Romanian legislative initiatives and programs as part of the joint European effort to make Europe the first green continent. Thus, we briefly discuss The National Integrated Energy and Climate Change Plan 2021-2030, Emergency Ordinance 71/2021 on the promotion of non-polluting road transport vehicles, in support of low-emission mobility, Rabla Plus Program 2024, Emergency Ordinance 108/2022 regarding the decarbonisation of the energy sector, the proposed National Hydrogen Strategy and presents the modifications to the Law 220/ 2008.</w:t>
      </w:r>
    </w:p>
    <w:p>
      <w:pPr/>
      <w:r>
        <w:rPr>
          <w:b/>
        </w:rPr>
        <w:t>POSSIBLE 2024:</w:t>
      </w:r>
      <w:r>
        <w:t xml:space="preserve"> Decarbonisation scenarios for the European residential sector — https://doi.org/10.1016/j.buildenv.2024.112408</w:t>
      </w:r>
    </w:p>
    <w:p>
      <w:pPr/>
      <w:r>
        <w:rPr>
          <w:b/>
        </w:rPr>
        <w:t>Shared claim-specific concepts:</w:t>
      </w:r>
      <w:r>
        <w:t xml:space="preserve"> green, deal, ambitious, decarbonisation, mix; EU scope visible. This is a provisional connection, not an outcome finding.</w:t>
      </w:r>
    </w:p>
    <w:p>
      <w:pPr>
        <w:pStyle w:val="SourceNote"/>
      </w:pPr>
      <w:r>
        <w:rPr>
          <w:b/>
        </w:rPr>
        <w:t>Available abstract (not full text):</w:t>
      </w:r>
      <w:r>
        <w:t xml:space="preserve"> The urgency to combat global climate change has prompted the implementation of many regional and national policies, with the European Green Deal standing out as one of the most significant initiatives. We use the recently developed TIMES-Europe energy system model to study the pivotal role of the residential sector in achieving the ambitious energy savings goal formulated by the EU in the broad framework of its Fit-for-55 policy package. We observe improved energy efficiency in households across a set of scenarios that differ in terms of climate policy ambition and level of collaboration between European countries. We find that, by 2030, residential buildings can realize up to 3000 PJ in overall energy savings. Cross-country collaboration may yield an additional 11% reduction in residential energy consumption, which could increase to 18% when combined with dwelling retrofitting subsidies. Our analysis of the transformation of the residential fuel mix, particularly the interplay between biomass and natural gas usage, reveals a trade-off between short-term energy efficiency gains and long-term CO 2 reduction goals. In the short run, scenarios lacking stringent climate control measures exhibit higher energy savings in comparison to those embracing ambitious climate targets. This initial difference, however, diminishes over time: energy savings from climate-compliant scenarios near</w:t>
      </w:r>
    </w:p>
    <w:p>
      <w:pPr/>
      <w:r>
        <w:rPr>
          <w:b/>
        </w:rPr>
        <w:t>POSSIBLE 2024:</w:t>
      </w:r>
      <w:r>
        <w:t xml:space="preserve"> Cutting the Gordian Knot: Industrial Strategies of the EU’s Green Deal:Policy Brief — https://openalex.org/W7159742445</w:t>
      </w:r>
    </w:p>
    <w:p>
      <w:pPr/>
      <w:r>
        <w:rPr>
          <w:b/>
        </w:rPr>
        <w:t>Shared claim-specific concepts:</w:t>
      </w:r>
      <w:r>
        <w:t xml:space="preserve"> green, deal, ambitious, decarbonisation, mix, instruments; EU scope visible. This is a provisional connection, not an outcome finding.</w:t>
      </w:r>
    </w:p>
    <w:p>
      <w:pPr>
        <w:pStyle w:val="SourceNote"/>
      </w:pPr>
      <w:r>
        <w:rPr>
          <w:b/>
        </w:rPr>
        <w:t>Available abstract (not full text):</w:t>
      </w:r>
      <w:r>
        <w:t xml:space="preserve"> The European Green Deal sets ambitious targets for decarbonising the European Union, particularly within its industrial sector. To achieve industrial decarbonisation, the Green Deal deploys a mix of instruments including binding goals, investment support, and carbon pricing. However, there is a noticeable gap in understanding the key policies and their corresponding impacts. Consequently, the eff ectiveness of the multitude of strategies and instruments designed to promote industrial decarbonisation remains unclear. This policy brief aims to address this gap by providing a comprehensive overview of the European Green Deal’s strategies for industrial decarbonisation, tailored for non-experts.</w:t>
      </w:r>
    </w:p>
    <w:p>
      <w:pPr/>
      <w:r>
        <w:rPr>
          <w:b/>
        </w:rPr>
        <w:t>POSSIBLE 2024:</w:t>
      </w:r>
      <w:r>
        <w:t xml:space="preserve"> Validating decarbonisation strategies of climate action plans via digital twins: a Limerick case study — https://doi.org/10.3389/frsc.2024.1393798</w:t>
      </w:r>
    </w:p>
    <w:p>
      <w:pPr/>
      <w:r>
        <w:rPr>
          <w:b/>
        </w:rPr>
        <w:t>Shared claim-specific concepts:</w:t>
      </w:r>
      <w:r>
        <w:t xml:space="preserve"> green, deal, egd, decarbonisation, strategy, complex; EU scope visible. This is a provisional connection, not an outcome finding.</w:t>
      </w:r>
    </w:p>
    <w:p>
      <w:pPr>
        <w:pStyle w:val="SourceNote"/>
      </w:pPr>
      <w:r>
        <w:rPr>
          <w:b/>
        </w:rPr>
        <w:t>Available abstract (not full text):</w:t>
      </w:r>
      <w:r>
        <w:t xml:space="preserve"> The European Green Deal (EGD) represents the response of the European Union (EU) to the climate crisis and a strategy to mitigate against climate change and the associated environmental degradation. European Climate Law supports the EGD by setting the legally binding target of climate neutrality for the EU on a time horizon of 2050 and mandates that member states develop and implement their own Climate Action Plans (CAP), which are strategic roadmaps outlining steps to reduce greenhouse gas (GHG) emissions and adapt to the impacts of climate change. Within the Irish context, the CAP focuses on six specific sectors, three of which, namely the energy grid, the built environment and transportation are considered in this research. This policy proposes the retrofitting of all residential buildings in the country to a B2 energy performance certificate (EPC), all public transport and 60% of private vehicles electrified and the full decarbonisation of the electrical grid by 2050. This study aims to implement the targets and goals outlined within CAP 2021 in an urban area of Ireland, specifically a historical city centre. The research leverages digital twin technology developed by IES to model the carbon emissions associated with the built environment, while also incorporating GHG emissions associated with transportation and the grid. Furthermore, CAP scenarios are applied systematicall</w:t>
      </w:r>
    </w:p>
    <w:p>
      <w:pPr>
        <w:pStyle w:val="Heading2"/>
      </w:pPr>
      <w:r>
        <w:t>612.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r>
        <w:rPr>
          <w:b/>
        </w:rPr>
        <w:t>POSSIBLE 2022:</w:t>
      </w:r>
      <w:r>
        <w:t xml:space="preserve"> Investigating European Union Decarbonization Strategies: Evaluating the Pathway to Carbon Neutrality by 2050 — https://doi.org/10.3390/su14084728</w:t>
      </w:r>
    </w:p>
    <w:p>
      <w:pPr/>
      <w:r>
        <w:rPr>
          <w:b/>
        </w:rPr>
        <w:t>Shared claim-specific concepts:</w:t>
      </w:r>
      <w:r>
        <w:t xml:space="preserve"> very, member, states; EU scope visible. This is a provisional connection, not an outcome finding.</w:t>
      </w:r>
    </w:p>
    <w:p>
      <w:pPr>
        <w:pStyle w:val="SourceNote"/>
      </w:pPr>
      <w:r>
        <w:rPr>
          <w:b/>
        </w:rPr>
        <w:t>Available abstract (not full text):</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 This research aims to fill this gap, proposing a simple but exhaustive semantic scaling methodology that allows, for the first time, a quantitative evaluation of the quality of the National Plans based on European Commission assessments to measure their compliance with the European Green Deal objectives. Results show that Member States have more clearly set the Green Deal targets than the actions to deliver against those targets. Actions, in term of nationals policies and funds administration, are still immature and partially addressed.</w:t>
      </w:r>
    </w:p>
    <w:p>
      <w:pPr>
        <w:pStyle w:val="Heading2"/>
      </w:pPr>
      <w:r>
        <w:t>613.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2024:</w:t>
      </w:r>
      <w:r>
        <w:t xml:space="preserve"> Between policy issues and values: the public discourse of constrained presidents in Western Europe — https://doi.org/10.1080/14782804.2024.2445299</w:t>
      </w:r>
    </w:p>
    <w:p>
      <w:pPr/>
      <w:r>
        <w:rPr>
          <w:b/>
        </w:rPr>
        <w:t>Shared claim-specific concepts:</w:t>
      </w:r>
      <w:r>
        <w:t xml:space="preserve"> addition, compared, values, findings; EU scope visible. This is a provisional connection, not an outcome finding.</w:t>
      </w:r>
    </w:p>
    <w:p>
      <w:pPr>
        <w:pStyle w:val="SourceNote"/>
      </w:pPr>
      <w:r>
        <w:rPr>
          <w:b/>
        </w:rPr>
        <w:t>Available abstract (not full text):</w:t>
      </w:r>
      <w:r>
        <w:t xml:space="preserve"> Constrained presidents considerably use going-public strategies among their possible patterns of behaviour. However, presidential going public is under-investigated in Europe. This paper specifically addresses this gap in literature by focusing on New Year (NY) and Christmas (CH) speeches of Western European presidents in office since the 1990s. The paper aims at investigating if and to what extent policy issues are relevant in their public discourse and what issues they specifically prime. This is a comparative research involving four semi-presidential (Austria, Finland, Ireland and Portugal) and two parliamentary regimes (Germany and Italy) for a total of 21 presidents and 144 speeches. By combining qualitative content analysis and descriptive statistics the most relevant coding references have been linked to the characteristics of presidents (i.e. their party family and their term of office) as well as to the characteristics of the political system where they operate (parliamentary vs. semi-presidential systems) to understand if certain specific patterns may be identified or not. The main findings are that although policy issues are not always the most developed compared to polity issues and values, presidents often succeed in transforming a ceremonial speech into a means of agenda setting. In addition, domestic issues are more developed than EU and foreign policy issues in </w:t>
      </w:r>
    </w:p>
    <w:p>
      <w:pPr/>
      <w:r>
        <w:rPr>
          <w:b/>
        </w:rPr>
        <w:t>POSSIBLE 2024:</w:t>
      </w:r>
      <w:r>
        <w:t xml:space="preserve"> Soil bulk density assessment in Europe — https://doi.org/10.1016/j.agee.2024.108907</w:t>
      </w:r>
    </w:p>
    <w:p>
      <w:pPr/>
      <w:r>
        <w:rPr>
          <w:b/>
        </w:rPr>
        <w:t>Shared claim-specific concepts:</w:t>
      </w:r>
      <w:r>
        <w:t xml:space="preserve"> compared, very, good;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European soybean to benefit people and the environment — https://doi.org/10.1038/s41598-024-57522-z</w:t>
      </w:r>
    </w:p>
    <w:p>
      <w:pPr/>
      <w:r>
        <w:rPr>
          <w:b/>
        </w:rPr>
        <w:t>Shared claim-specific concepts:</w:t>
      </w:r>
      <w:r>
        <w:t xml:space="preserve"> addition, compared, findings; EU scope visible. This is a provisional connection, not an outcome finding.</w:t>
      </w:r>
    </w:p>
    <w:p>
      <w:pPr>
        <w:pStyle w:val="SourceNote"/>
      </w:pPr>
      <w:r>
        <w:rPr>
          <w:b/>
        </w:rPr>
        <w:t>Available abstract (not full text):</w:t>
      </w:r>
      <w:r>
        <w:t xml:space="preserve"> Abstract Europe imports large amounts of soybean that are predominantly used for livestock feed, mainly sourced from Brazil, USA and Argentina. In addition, the demand for GM-free soybean for human consumption is project to increase. Soybean has higher protein quality and digestibility than other legumes, along with high concentrations of isoflavones, phytosterols and minerals that enhance the nutritional value as a human food ingredient. Here, we examine the potential to increase soybean production across Europe for livestock feed and direct human consumption, and review possible effects on the environment and human health. Simulations and field data indicate rainfed soybean yields of 3.1 ± 1.2 t ha−1 from southern UK through to southern Europe (compared to a 3.5 t ha−1 average from North America). Drought-prone southern regions and cooler northern regions require breeding to incorporate stress-tolerance traits. Literature synthesized in this work evidenced soybean properties important to human nutrition, health, and traits related to food processing compared to alternative protein sources. While acknowledging the uncertainties inherent in any modelling exercise, our findings suggest that further integrating soybean into European agriculture could reduce GHG emissions by 37–291 Mt CO2e year−1 and fertiliser N use by 0.6–1.2 Mt year−1, concurrently improving human health and nu</w:t>
      </w:r>
    </w:p>
    <w:p>
      <w:pPr/>
      <w:r>
        <w:rPr>
          <w:b/>
        </w:rPr>
        <w:t>POSSIBLE 2024:</w:t>
      </w:r>
      <w:r>
        <w:t xml:space="preserve"> Enforcement actions against European banks in the years 2005–2022. Do financial penalties imposed on European banks follow any patterns? — https://doi.org/10.1057/s41261-024-00242-1</w:t>
      </w:r>
    </w:p>
    <w:p>
      <w:pPr/>
      <w:r>
        <w:rPr>
          <w:b/>
        </w:rPr>
        <w:t>Shared claim-specific concepts:</w:t>
      </w:r>
      <w:r>
        <w:t xml:space="preserve"> bank, database, approach, countries; EU scope visible. This is a provisional connection, not an outcome finding.</w:t>
      </w:r>
    </w:p>
    <w:p>
      <w:pPr>
        <w:pStyle w:val="SourceNote"/>
      </w:pPr>
      <w:r>
        <w:rPr>
          <w:b/>
        </w:rPr>
        <w:t>Available abstract (not full text):</w:t>
      </w:r>
      <w:r>
        <w:t xml:space="preserve"> Abstract This study aims to identify, by year and over the entire period under study (2005–2022), the countries with the most restrictive bank sanctioning policies in terms of amounts and numbers of penalties to point out the most active institutions in terms of imposing penalties, and to determine the regularities governing the process of imposing these burdens. Using linear ordering methods, groups of countries with similar levels of supervisory stringency identified with one of the supervisory actions, which are financial penalties, are distinguished. A total of 53 banks (the 50 largest European banks and an additional three banks designated as G-SIIs by the EBA) are identified from a constructed database of more than 300 European banks with penalties imposed between 2005 and 2022. The study’s conclusions indicate that the frequency of penalties cannot be clearly equated with the restrictiveness of supervisory institutions, as evidenced by the example of Hungary (multiplication of small penalties). The positioning of countries regarding the number of penalties, their value and grouping using linear ordering allows the conclusion that highly developed countries are characterized by relatively high restrictiveness. The results also show the difference between the Anglo-Saxon and continental models. The analysis in this article is the first comprehensive study of penalties impo</w:t>
      </w:r>
    </w:p>
    <w:p>
      <w:pPr/>
      <w:r>
        <w:rPr>
          <w:b/>
        </w:rPr>
        <w:t>POSSIBLE 2024:</w:t>
      </w:r>
      <w:r>
        <w:t xml:space="preserve"> An evaluation of the inflation forecasting performance of the European Central Bank, the Federal Reserve, and the Bank of England — https://doi.org/10.1002/for.3063</w:t>
      </w:r>
    </w:p>
    <w:p>
      <w:pPr/>
      <w:r>
        <w:rPr>
          <w:b/>
        </w:rPr>
        <w:t>Shared claim-specific concepts:</w:t>
      </w:r>
      <w:r>
        <w:t xml:space="preserve"> bank, very, approach; EU scope visible. This is a provisional connection, not an outcome finding.</w:t>
      </w:r>
    </w:p>
    <w:p>
      <w:pPr>
        <w:pStyle w:val="SourceNote"/>
      </w:pPr>
      <w:r>
        <w:rPr>
          <w:b/>
        </w:rPr>
        <w:t>Available abstract (not full text):</w:t>
      </w:r>
      <w:r>
        <w:t xml:space="preserve"> Abstract We provide an overview of the formulation of the forecasts of the European Central Bank, the Federal Reserve, and the Bank of England. We also provide statistical assessments of the performance of the forecasting process of those central banks. We find that the inflation forecasts have, by‐and‐large, been unbiased and efficient at the very short‐term forecast horizon. The performance deteriorates over longer horizons. This latter finding could be attributable, inter alia, to the approach applied in the integration in the forecasting process of the assumptions on the future market‐implied interest rate path.</w:t>
      </w:r>
    </w:p>
    <w:p>
      <w:pPr/>
      <w:r>
        <w:rPr>
          <w:b/>
        </w:rPr>
        <w:t>POSSIBLE 2023:</w:t>
      </w:r>
      <w:r>
        <w:t xml:space="preserve"> Ecological Indicator Values for Europe (EIVE) 1.0 — https://doi.org/10.3897/vcs.98324</w:t>
      </w:r>
    </w:p>
    <w:p>
      <w:pPr/>
      <w:r>
        <w:rPr>
          <w:b/>
        </w:rPr>
        <w:t>Shared claim-specific concepts:</w:t>
      </w:r>
      <w:r>
        <w:t xml:space="preserve"> addition, values, database; EU scope visible. This is a provisional connection, not an outcome finding.</w:t>
      </w:r>
    </w:p>
    <w:p>
      <w:pPr>
        <w:pStyle w:val="SourceNote"/>
      </w:pPr>
      <w:r>
        <w:rPr>
          <w:b/>
        </w:rPr>
        <w:t>Available abstract (not full text):</w:t>
      </w:r>
      <w:r>
        <w:t xml:space="preserve"> Aims : To develop a consistent ecological indicator value system for Europe for five of the main plant niche dimensions: soil moisture (M), soil nitrogen (N), soil reaction (R), light (L) and temperature (T). Study area : Europe (and closely adjacent regions). Methods : We identified 31 indicator value systems for vascular plants in Europe that contained assessments on at least one of the five aforementioned niche dimensions. We rescaled the indicator values of each dimension to a continuous scale, in which 0 represents the minimum and 10 the maximum value present in Europe. Taxon names were harmonised to the Euro+Med Plantbase. For each of the five dimensions, we calculated European values for niche position and niche width by combining the values from the individual EIV systems. Using T values as an example, we externally validated our European indicator values against the median of bioclimatic conditions for global occurrence data of the taxa. Results : In total, we derived European indicator values of niche position and niche width for 14,835 taxa (14,714 for M, 13,748 for N, 14,254 for R, 14,054 for L, 14,496 for T). Relating the obtained values for temperature niche position to the bioclimatic data of species yielded a higher correlation than any of the original EIV systems ( r = 0.859). The database : The newly developed Ecological Indicator Values for Europe (EIVE) 1.0,</w:t>
      </w:r>
    </w:p>
    <w:p>
      <w:pPr/>
      <w:r>
        <w:rPr>
          <w:b/>
        </w:rPr>
        <w:t>POSSIBLE 2023:</w:t>
      </w:r>
      <w:r>
        <w:t xml:space="preserve"> Genetic diversity and selection signatures in a gene bank panel of maize inbred lines from Southeast Europe compared with two West European panels — https://doi.org/10.1186/s12870-023-04336-2</w:t>
      </w:r>
    </w:p>
    <w:p>
      <w:pPr/>
      <w:r>
        <w:rPr>
          <w:b/>
        </w:rPr>
        <w:t>Shared claim-specific concepts:</w:t>
      </w:r>
      <w:r>
        <w:t xml:space="preserve"> compared, bank, very; EU scope visible. This is a provisional connection, not an outcome finding.</w:t>
      </w:r>
    </w:p>
    <w:p>
      <w:pPr>
        <w:pStyle w:val="SourceNote"/>
      </w:pPr>
      <w:r>
        <w:rPr>
          <w:b/>
        </w:rPr>
        <w:t>Available abstract (not full text):</w:t>
      </w:r>
      <w:r>
        <w:t xml:space="preserve"> Southeast Europe (SEE) is a very important maize-growing region, comparable to the Corn belt region of the United States, with similar dent germplasm (dent by dent hybrids). Historically, this region has undergone several genetic material swaps, following the trends in the US, with one of the most significant swaps related to US aid programs after WWII. The imported accessions used to make double-cross hybrids were also mixed with previously adapted germplasm originating from several more distant OPVs, supporting the transition to single cross-breeding. Many of these materials were deposited at the Maize Gene Bank of the Maize Research Institute Zemun Polje (MRIZP) between the 1960s and 1980s. A part of this Gene Bank (572 inbreds) was genotyped with Affymetrix Axiom Maize Genotyping Array with 616,201 polymorphic variants. Data were merged with two other genotyping datasets with mostly European flint (TUM dataset) and dent (DROPS dataset) germplasm. The final pan-European dataset consisted of 974 inbreds and 460,243 markers. Admixture analysis showed seven ancestral populations representing European flint, B73/B14, Lancaster, B37, Wf9/Oh07, A374, and Iodent pools. Subpanel of inbreds with SEE origin showed a lack of Iodent germplasm, marking its historical context. Several signatures of selection were identified at chromosomes 1, 3, 6, 7, 8, 9, and 10. The regions under select</w:t>
      </w:r>
    </w:p>
    <w:p>
      <w:pPr/>
      <w:r>
        <w:rPr>
          <w:b/>
        </w:rPr>
        <w:t>POSSIBLE 2023:</w:t>
      </w:r>
      <w:r>
        <w:t xml:space="preserve"> On the relationship between corruption and bank lending activity: European evidence — https://doi.org/10.1108/jfc-10-2022-0253</w:t>
      </w:r>
    </w:p>
    <w:p>
      <w:pPr/>
      <w:r>
        <w:rPr>
          <w:b/>
        </w:rPr>
        <w:t>Shared claim-specific concepts:</w:t>
      </w:r>
      <w:r>
        <w:t xml:space="preserve"> addition, world, bank, findings, approach, countries; EU scope visible. This is a provisional connection, not an outcome finding.</w:t>
      </w:r>
    </w:p>
    <w:p>
      <w:pPr>
        <w:pStyle w:val="SourceNote"/>
      </w:pPr>
      <w:r>
        <w:rPr>
          <w:b/>
        </w:rPr>
        <w:t>Available abstract (not full text):</w:t>
      </w:r>
      <w:r>
        <w:t xml:space="preserve"> Purpose This paper aims to study the effect of country-level perceptions of corruption on commercial banks’ lending activity over the importance of loans and the quality of loan portfolios of banks in Europe. Design/methodology/approach The paper uses country-level perceptions of corruption scores from Transparency International, individual bank-specific data from ORBIS and macroeconomic data from the World Bank. The sample is composed of 640 commercial banks in 42 European countries from 2013 to 2019. The authors estimate, by pooled OLS, the relationship between corruption and the importance of loans and the quality of the banks’ loan portfolios. In addition, several robustness tests reinforce the results. Findings The results show that corruption negatively impacts the importance of loans in bank assets and positively impacts the proportion of bad loans. In addition, trade openness increases the weight of loans and the weight of nonperforming loans. Bank size, capital and risk also affect bank lending activity. Finally, European Monetary Union (EMU) membership reinforces the negative (positive) effect on loans (bad loans). Research limitations/implications The results highlight the importance of fighting corruption. Governments, regulators and banks benefit from pursuing transparency-oriented policies to decrease the perception of corruption and foster economic development. O</w:t>
      </w:r>
    </w:p>
    <w:p>
      <w:pPr/>
      <w:r>
        <w:rPr>
          <w:b/>
        </w:rPr>
        <w:t>POSSIBLE 2023:</w:t>
      </w:r>
      <w:r>
        <w:t xml:space="preserve"> Value relevance of IFRS 9: The influence of country factors and heterogeneous strengths in the European banking sector — https://doi.org/10.1111/jifm.12193</w:t>
      </w:r>
    </w:p>
    <w:p>
      <w:pPr/>
      <w:r>
        <w:rPr>
          <w:b/>
        </w:rPr>
        <w:t>Shared claim-specific concepts:</w:t>
      </w:r>
      <w:r>
        <w:t xml:space="preserve"> addition, compared, bank, findings, good, countries; EU scope visible. This is a provisional connection, not an outcome finding.</w:t>
      </w:r>
    </w:p>
    <w:p>
      <w:pPr>
        <w:pStyle w:val="SourceNote"/>
      </w:pPr>
      <w:r>
        <w:rPr>
          <w:b/>
        </w:rPr>
        <w:t>Available abstract (not full text):</w:t>
      </w:r>
      <w:r>
        <w:t xml:space="preserve"> Abstract This study focuses on investor reactions to financial instrument recognition and measurement in the banking sector under the new International Financial Reporting Standard (IFRS) 9, Financial Instruments. The research tests the combined value relevance of accounting numbers before and after the mandatory transition to IFRS 9 in Europe. Furthermore, we verify the influence of country factors and heterogeneous strengths on the value relevance of the aforementioned standard. To this end, we adopt a sample consisting of 215 banks listed in Europe, for the years 2015–2020. We find a significant change in the explanatory power of value‐relevance regressions in 2015–2017 compared to 2018–2020. In addition, we find that accounting numbers have incremental value relevance in countries characterized by “good” governance indicators and high heterogeneous strength, namely investors pay attention to the strength of the bank authority. This study makes three main contributions to the literature. First, it complements the IFRS 9 literature by providing new evidence. Second, its insights can be used to support investment decisions. Last, the findings help regulators and standard‐setters to verify the impact of the new measures delineated by the standard.</w:t>
      </w:r>
    </w:p>
    <w:p>
      <w:pPr>
        <w:pStyle w:val="Heading2"/>
      </w:pPr>
      <w:r>
        <w:t>614.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2025:</w:t>
      </w:r>
      <w:r>
        <w:t xml:space="preserve"> Biodiversity change under human depopulation in Japan — https://doi.org/10.1038/s41893-025-01578-w</w:t>
      </w:r>
    </w:p>
    <w:p>
      <w:pPr/>
      <w:r>
        <w:rPr>
          <w:b/>
        </w:rPr>
        <w:t>Shared claim-specific concepts:</w:t>
      </w:r>
      <w:r>
        <w:t xml:space="preserve"> abstract, depopulation, also, areas; EU scope not established. This is a provisional connection, not an outcome finding.</w:t>
      </w:r>
    </w:p>
    <w:p>
      <w:pPr>
        <w:pStyle w:val="SourceNote"/>
      </w:pPr>
      <w:r>
        <w:rPr>
          <w:b/>
        </w:rPr>
        <w:t>Available abstract (not full text):</w:t>
      </w:r>
      <w:r>
        <w:t xml:space="preserve"> Abstract Global studies consistently highlight a direct relationship between habitat and species losses, and human population and economic growth. Nevertheless, countries are experiencing below-replacement human fertility and starting to depopulate; among these countries, Japan is a global forerunner. To better understand whether human depopulation automatically yields environmentally restorative outcomes, we examine the impacts of human depopulation on aspects of biodiversity in Japan. Alongside population, land use and surface temperature, we analyse biodiversity change among 464 taxonomic species of bird, butterfly, firefly and frog egg masses, and 2,922 native and non-native plant species in wooded, agricultural and peri-urban landscapes across Japan over periods of 5–17 years from 2004. Irrespective of human population increase or decrease, biodiversity losses continue among most species studied mainly because of change in agricultural land use, either due to urbanization, disuse and abandonment, or intensification. Only where human numbers are currently stable, biodiversity is also more stable, although we anticipate that this may also change as ageing deepens into depopulation in these areas. We conclude by urging countries facing depopulation to account for its outcomes in their biodiversity conservation and restoration strategies.</w:t>
      </w:r>
    </w:p>
    <w:p>
      <w:pPr/>
      <w:r>
        <w:rPr>
          <w:b/>
        </w:rPr>
        <w:t>POSSIBLE 2025:</w:t>
      </w:r>
      <w:r>
        <w:t xml:space="preserve"> Shaping the Residential Attractiveness of Towns in Lesser Poland in the Context of Urban Shrinkage — https://doi.org/10.2478/he-2025-0031</w:t>
      </w:r>
    </w:p>
    <w:p>
      <w:pPr/>
      <w:r>
        <w:rPr>
          <w:b/>
        </w:rPr>
        <w:t>Shared claim-specific concepts:</w:t>
      </w:r>
      <w:r>
        <w:t xml:space="preserve"> abstract, shrinkage, depopulation, decline, present, article; EU scope visible. This is a provisional connection, not an outcome finding.</w:t>
      </w:r>
    </w:p>
    <w:p>
      <w:pPr>
        <w:pStyle w:val="SourceNote"/>
      </w:pPr>
      <w:r>
        <w:rPr>
          <w:b/>
        </w:rPr>
        <w:t>Available abstract (not full text):</w:t>
      </w:r>
      <w:r>
        <w:t xml:space="preserve"> Abstract This article addresses the challenge of enhancing the residential attractiveness of towns experiencing rapid population decline and demographic aging. The aim of the study is to analyse and evaluate the actions undertaken by towns in Lesser Poland to improve residential appeal in the face of depopulation, and to identify key determinants and tools for mitigating the negative effects of these processes. The spatial scope includes 12 small towns in the region characterized by depopulation both within the town and its immediate surroundings. The temporal scope covers the early 21st century to the present. The research methodology combines quantitative methods (statistical data analysis, Webb’s typology) with qualitative approaches (analysis of strategic, revitalization, and planning documents). The study also includes a literature review and an examination of official websites and social media platform. The studied towns counteract depopulation by focusing on enhancing residential attractiveness through housing development, revitalization, improved quality of life, and rational spatial management.</w:t>
      </w:r>
    </w:p>
    <w:p>
      <w:pPr/>
      <w:r>
        <w:rPr>
          <w:b/>
        </w:rPr>
        <w:t>POSSIBLE 2025:</w:t>
      </w:r>
      <w:r>
        <w:t xml:space="preserve"> Thriving or sinking? The emplacement process of Ukrainian refugees in depopulating, peripheral areas in the Netherlands — https://doi.org/10.1111/geoj.12621</w:t>
      </w:r>
    </w:p>
    <w:p>
      <w:pPr/>
      <w:r>
        <w:rPr>
          <w:b/>
        </w:rPr>
        <w:t>Shared claim-specific concepts:</w:t>
      </w:r>
      <w:r>
        <w:t xml:space="preserve"> abstract, depopulation, areas; EU scope visible. This is a provisional connection, not an outcome finding.</w:t>
      </w:r>
    </w:p>
    <w:p>
      <w:pPr>
        <w:pStyle w:val="SourceNote"/>
      </w:pPr>
      <w:r>
        <w:rPr>
          <w:b/>
        </w:rPr>
        <w:t>Available abstract (not full text):</w:t>
      </w:r>
      <w:r>
        <w:t xml:space="preserve"> Abstract The ‘free‐to‐work, free‐to‐settle’ feature of the EU's temporary protection for Ukrainian refugees has led millions to various locations, with the majority gravitating towards urban areas. However, due to housing shortages, a significant number have moved to peripheral municipalities experiencing depopulation. These refugees often find themselves in villages without a network and where the Ukrainian diaspora is small or non‐existent. Reflecting on their settlement and everyday ‘unproblematic’ encounters (conviviality) with neighbours, colleagues at work, and networks at various institutions in Het Hogeland and Pekela, The Netherlands, this analysis explores the emplacement process of Ukrainian refugees. Based on this reflection, the paper aims to address the question: Which factors facilitate or hinder positive encounters among Ukrainian refugees in these peripheral areas, motivating them to (re)consider taking root in these host localities?</w:t>
      </w:r>
    </w:p>
    <w:p>
      <w:pPr/>
      <w:r>
        <w:rPr>
          <w:b/>
        </w:rPr>
        <w:t>POSSIBLE 2025:</w:t>
      </w:r>
      <w:r>
        <w:t xml:space="preserve"> How Service Exclusion Affects Rural Depopulation. An Approach Based on Structural Equation Modelling — https://doi.org/10.1111/soru.70005</w:t>
      </w:r>
    </w:p>
    <w:p>
      <w:pPr/>
      <w:r>
        <w:rPr>
          <w:b/>
        </w:rPr>
        <w:t>Shared claim-specific concepts:</w:t>
      </w:r>
      <w:r>
        <w:t xml:space="preserve"> abstract, depopulation, structural; EU scope visible. This is a provisional connection, not an outcome finding.</w:t>
      </w:r>
    </w:p>
    <w:p>
      <w:pPr>
        <w:pStyle w:val="SourceNote"/>
      </w:pPr>
      <w:r>
        <w:rPr>
          <w:b/>
        </w:rPr>
        <w:t>Available abstract (not full text):</w:t>
      </w:r>
      <w:r>
        <w:t xml:space="preserve"> ABSTRACT This paper explores the relationship between service exclusion and the depopulation phenomenon. To achieve this, we apply structural equation modelling (SEM) to evaluate the lack of development of primary services (healthcare, education, social services, commerce, restaurants and bars, as well as Internet access) at the municipal level, considering their relationship with population loss and ageing—two of the most defining aspects of depopulation. Additionally, using cluster analysis techniques, we classify municipalities based on their degree of service exclusion, identifying distinct typologies and highlighting the most critical service deficits within each group. The study focuses on the Spanish region of Aragon, a striking example of severe rural population loss and pronounced ageing within the European context. Our findings reveal significant heterogeneity in both depopulation patterns and service exclusion. This heterogeneity highlights the need to propose specific rural policy measures adapted to the peculiarities of each territory to contribute to more resilient rural communities.</w:t>
      </w:r>
    </w:p>
    <w:p>
      <w:pPr/>
      <w:r>
        <w:rPr>
          <w:b/>
        </w:rPr>
        <w:t>POSSIBLE 2025:</w:t>
      </w:r>
      <w:r>
        <w:t xml:space="preserve"> The Level of Preparedness among the Local Governments of the Katowice Conurbation for Risks Associated with Depopulation and Ageing of the Population — https://doi.org/10.58036/stss.v12i2.923</w:t>
      </w:r>
    </w:p>
    <w:p>
      <w:pPr/>
      <w:r>
        <w:rPr>
          <w:b/>
        </w:rPr>
        <w:t>Shared claim-specific concepts:</w:t>
      </w:r>
      <w:r>
        <w:t xml:space="preserve"> shrinkage, depopulation, article, also; EU scope visible. This is a provisional connection, not an outcome finding.</w:t>
      </w:r>
    </w:p>
    <w:p>
      <w:pPr>
        <w:pStyle w:val="SourceNote"/>
      </w:pPr>
      <w:r>
        <w:rPr>
          <w:b/>
        </w:rPr>
        <w:t>Available abstract (not full text):</w:t>
      </w:r>
      <w:r>
        <w:t xml:space="preserve"> The Katowice conurbation is the largest traditional economic region in Central Europe and simultaneously a complex settlement system. Yet it faces numerous problems. The article attempts to answer the questions: (1) Does the hitherto relatively uniform economic structure of the Katowice conurbation, based on mining and metallurgy, cause similar intensities of depopulation, demographic ageing and urban shrinkage in 16 neighbouring towns? (2) Is the scope of policies mitigating the effects of these processes similar? The analysis of statistical data for 1999 and 2018 and the development strategies of individual towns shows that both the trends in population changes and the policies adopted towards them differ. The severity of the negative processes varies, with the largest being in Katowice, Sosnowiec and Bytom. Most towns recognize the problem yet consider its solution through selective actions (improvement in housing conditions, development of services or launching new industrial activities). There are also towns that, although seeing problems, marginalize them in their development strategies. Only Czeladź has a multifaceted approach to this problem. The general conclusion shows a need to coordinate the policies of local governments of the entire conurbation for the benefit of multifaceted measures to mitigate depopulation, demographic ageing and urban shrinkage.</w:t>
      </w:r>
    </w:p>
    <w:p>
      <w:pPr>
        <w:pStyle w:val="Heading2"/>
      </w:pPr>
      <w:r>
        <w:t>615.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2026:</w:t>
      </w:r>
      <w:r>
        <w:t xml:space="preserve"> Diversity and zoogeography of mammals at the Levantine Land Bridge, Jordan — https://doi.org/10.13057/biodiv/d270709</w:t>
      </w:r>
    </w:p>
    <w:p>
      <w:pPr/>
      <w:r>
        <w:rPr>
          <w:b/>
        </w:rPr>
        <w:t>Shared claim-specific concepts:</w:t>
      </w:r>
      <w:r>
        <w:t xml:space="preserve"> distribution, species, current; EU scope not established. This is a provisional connection, not an outcome finding.</w:t>
      </w:r>
    </w:p>
    <w:p>
      <w:pPr>
        <w:pStyle w:val="SourceNote"/>
      </w:pPr>
      <w:r>
        <w:rPr>
          <w:b/>
        </w:rPr>
        <w:t>Available abstract (not full text):</w:t>
      </w:r>
      <w:r>
        <w:t xml:space="preserve"> Abstract. Abu Baker MA, Amr ZS. 2026. Diversity and zoogeography of mammals at the Levantine Land Bridge, Jordan. Biodiversitas 27 (7): d270709. https://doi.org/10.13057/biodiv/d270709. Jordan hosts a remarkably diverse mammalian fauna owing to its position at the intersection of three major zoogeographic realms (Afrotropical, Oriental, and Palaearctic) within the Levantine Land Bridge. This study aims to synthesize current knowledge of mammalian diversity in Jordan and interpret its biogeographic patterns in relation to habitat heterogeneity and historical processes. The analysis is based on published records, faunal surveys, and historical accounts documenting species occurrence across the country. A total of 83 mammalian species representing 8 orders have been recorded in Jordan, reflecting both wide-ranging taxa and habitat-restricted specialists. Zoogeographically, 46.84% of species are of Palaearctic origin, 31.65% Saharo-Sindian, 16.46% Afrotropical, and 7.59% Oriental. Approximately 39.24% of species are habitat-restricted, while 39.24% occur at the edges of their global distribution ranges. Species distributions correspond strongly to ecological gradients: forest-associated taxa, such as wood mice, stone marten, and several horseshoe bats, are largely confined to Mediterranean woodland habitats; Psammophilous gerbils occupy isolated sand dune systems within desert land</w:t>
      </w:r>
    </w:p>
    <w:p>
      <w:pPr/>
      <w:r>
        <w:rPr>
          <w:b/>
        </w:rPr>
        <w:t>POSSIBLE 2026:</w:t>
      </w:r>
      <w:r>
        <w:t xml:space="preserve"> Nosocomial outbreaks with rare yeasts: Trends, characteristics and preventive measures — https://doi.org/10.1016/j.jinf.2026.106765</w:t>
      </w:r>
    </w:p>
    <w:p>
      <w:pPr/>
      <w:r>
        <w:rPr>
          <w:b/>
        </w:rPr>
        <w:t>Shared claim-specific concepts:</w:t>
      </w:r>
      <w:r>
        <w:t xml:space="preserve"> anomalus, associated, species; EU scope not established. This is a provisional connection, not an outcome finding.</w:t>
      </w:r>
    </w:p>
    <w:p>
      <w:pPr>
        <w:pStyle w:val="SourceNote"/>
      </w:pPr>
      <w:r>
        <w:rPr>
          <w:b/>
        </w:rPr>
        <w:t>Available abstract (not full text):</w:t>
      </w:r>
      <w:r>
        <w:t xml:space="preserve"> OBJECTIVES: This narrative review aims to aggregate all reports of nosocomial transmission of rare yeast species, to provide an overview of global trends, causative species, clinical characteristics and preventive measures. METHODS: A comprehensive literature search of multiple databases was conducted, to identify all reported nosocomial transmission events involving rare yeast species. The five most common yeasts, Candida albicans, Nakaseomyces glabratus, Candida parapsilosis, Candida tropicalis and Pichia kudriavzevii, in addition to Candida auris were excluded. RESULTS: A total of 76 reports were retrieved since 1984, caused by 28 different species. Wickerhamoyces anomalus was the most common agent, followed by Magnusiomyces, Trichosporon and species of the Candida haemulonii complex. Since the early 2000s, a clear increase was noted both in the number of outbreak reports and range of associated species, largely due to improved diagnostics. Most species were resistant to one or multiple antifungals and although environmental sampling was often performed, virtually all efforts yielded negative results. Once noted, strict hand hygiene practices and proper cleaning and disinfection of medical equipment has shown in curbing nosocomial spread. CONCLUSION: As hospital outbreak events are increasingly reported, accurate species identification and epidemiological surveillance should</w:t>
      </w:r>
    </w:p>
    <w:p>
      <w:pPr/>
      <w:r>
        <w:rPr>
          <w:b/>
        </w:rPr>
        <w:t>POSSIBLE 2026:</w:t>
      </w:r>
      <w:r>
        <w:t xml:space="preserve"> Examining Instagram’s role in the illegal trade of the Caucasian squirrel — https://doi.org/10.1016/j.jnc.2026.127404</w:t>
      </w:r>
    </w:p>
    <w:p>
      <w:pPr/>
      <w:r>
        <w:rPr>
          <w:b/>
        </w:rPr>
        <w:t>Shared claim-specific concepts:</w:t>
      </w:r>
      <w:r>
        <w:t xml:space="preserve"> anomalus, species, four; EU scope not established. This is a provisional connection, not an outcome finding.</w:t>
      </w:r>
    </w:p>
    <w:p>
      <w:pPr>
        <w:pStyle w:val="SourceNote"/>
      </w:pPr>
      <w:r>
        <w:rPr>
          <w:b/>
        </w:rPr>
        <w:t>Available abstract (not full text):</w:t>
      </w:r>
      <w:r>
        <w:t xml:space="preserve"> Illegal wildlife trade is a major threat to biodiversity. In recent years, online platforms, particularly Instagram, have facilitated the widespread marketing of wild animals, enabling the trade. In this study, we analyzed Instagram posts to examine the illegal online trade of Caucasian squirrels ( Sciurus anomalus ) in Iran from August 2021 to January 2023. We found a total of 1,204 advertisements offering 1,494 individual squirrels, with the majority being juveniles. Only 25 posts listed prices, averaging USD 11.51. Most posts lacked geographic location. However, posts with a location tag were predominantly from the capital of Iran (Tehran). We employed a reflexive thematic analysis of advertisement captions and images that revealed four themes used by sellers: (1) emphasis on tameness, (2) persuasive communication to stimulate purchase, (3) legitimizing trade through captive breeding claims, and (4) controlled access. About half of the squirrels (n = 550) were shown in hand-held poses, and over a third were outside cages. The visual strategies used in the postings aimed to promote acceptance of close human-animal interaction and to emphasize the suitability of squirrels as pets. Temporally, postings were unevenly distributed throughout the year, with the highest numbers in April and August and the lowest in the winter months. Although seasonal differences were not statistica</w:t>
      </w:r>
    </w:p>
    <w:p>
      <w:pPr/>
      <w:r>
        <w:rPr>
          <w:b/>
        </w:rPr>
        <w:t>POSSIBLE 2025:</w:t>
      </w:r>
      <w:r>
        <w:t xml:space="preserve"> An updated checklist of the mammals of Türkiye — https://doi.org/10.55730/1300-0179.3232</w:t>
      </w:r>
    </w:p>
    <w:p>
      <w:pPr/>
      <w:r>
        <w:rPr>
          <w:b/>
        </w:rPr>
        <w:t>Shared claim-specific concepts:</w:t>
      </w:r>
      <w:r>
        <w:t xml:space="preserve"> distribution, well, species; EU scope not established. This is a provisional connection, not an outcome finding.</w:t>
      </w:r>
    </w:p>
    <w:p>
      <w:pPr>
        <w:pStyle w:val="SourceNote"/>
      </w:pPr>
      <w:r>
        <w:rPr>
          <w:b/>
        </w:rPr>
        <w:t>Available abstract (not full text):</w:t>
      </w:r>
      <w:r>
        <w:t xml:space="preserve"> Between 1982 and 2025, the number of extant wild mammal species worldwide rose from 4170 to 6706. The Turkish mammal fauna also showed a similar trend, with the number of mammal species listed for Türkiye rising from 89 to 173 in just 33 years, from 1989 to 2021. A shift in species numbers like this calls for regular updates to Türkiye’s mammal species lists as well as the preparation of new checklists. Apart from changes in the number of species, numerous taxonomic changes and rearrangements also lead to changes in mammal lists. We arranged an updated mammal checklist by reviewing the literature and identifying additions, deletions, and changes in the mammal fauna of Türkiye. This study presents the occurrence of 177 wild mammal species, comprising 165 terrestrial and 12 marine mammal species in Türkiye. Among them, 13 are endemic and 12 are regionally endemic terrestrial mammal species to Türkiye. Türkiye also has 10 domestic mammal species. Furthermore, it is anticipated that 16 mammal species with close geographic distribution ranges to Türkiye may be reported in future checklists for Türkiye.</w:t>
      </w:r>
    </w:p>
    <w:p>
      <w:pPr/>
      <w:r>
        <w:rPr>
          <w:b/>
        </w:rPr>
        <w:t>POSSIBLE 2025:</w:t>
      </w:r>
      <w:r>
        <w:t xml:space="preserve"> Update of the list of qualified presumption of safety (QPS) recommended microbiological agents intentionally added to food or feed as notified to EFSA 21: Suitability of taxonomic units notified to EFSA until September 2024 — https://doi.org/10.2903/j.efsa.2025.9169</w:t>
      </w:r>
    </w:p>
    <w:p>
      <w:pPr/>
      <w:r>
        <w:rPr>
          <w:b/>
        </w:rPr>
        <w:t>Shared claim-specific concepts:</w:t>
      </w:r>
      <w:r>
        <w:t xml:space="preserve"> species, respective;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safety assessment approach for microorganisms intended for use in food or feed chains. In the period covered by this Statement, no new information was found that would change the status of previously recommended QPS taxonomic units (TUs). The TUs in the QPS list were updated based on a verification, against their respective authoritative databases, of the correctness of the names and completeness of synonyms. Of 54 microorganisms notified to EFSA between April and September 2024 (33 as feed additives, 17 as food enzymes or additives, 4 as novel foods), 50 were not evaluated because: 12 were filamentous fungi, 1 was Enterococcus faecium and 8 were Escherichia coli (all excluded from the QPS evaluation), and 29 were TUs that already have a QPS status. One notification (Ensifer adhaerens) was already evaluated in a previous Panel Statement. Another notification (Enterococcus lactis) was already evaluated in the previous 3‐year QPS cycle and was reassessed within this document. Two TUs were notified for the first time and were assessed for a possible QPS status: Serratia plymuthica and Lacticaseibacillus huelsenbergensis. Bacillus thuringiensis and Bacillus nakamurai have been assessed for a possible QPS status in response to internal requests. The following was concluded on the five assessed TUs.</w:t>
      </w:r>
    </w:p>
    <w:p>
      <w:pPr/>
      <w:r>
        <w:rPr>
          <w:b/>
        </w:rPr>
        <w:t>POSSIBLE 2024:</w:t>
      </w:r>
      <w:r>
        <w:t xml:space="preserve"> THE RIGHTS OF NON-RESIDENTS OF THE EUROPEAN ECONOMIC AREA TO USE BANK ACCOUNTS IN EUROPEAN BANKS — https://doi.org/10.34660/inf.2020.5.54192</w:t>
      </w:r>
    </w:p>
    <w:p>
      <w:pPr/>
      <w:r>
        <w:rPr>
          <w:b/>
        </w:rPr>
        <w:t>Shared claim-specific concepts:</w:t>
      </w:r>
      <w:r>
        <w:t xml:space="preserve"> current, four, relevant; EU scope visible. This is a provisional connection, not an outcome finding.</w:t>
      </w:r>
    </w:p>
    <w:p>
      <w:pPr>
        <w:pStyle w:val="SourceNote"/>
      </w:pPr>
      <w:r>
        <w:rPr>
          <w:b/>
        </w:rPr>
        <w:t>Available abstract (not full text):</w:t>
      </w:r>
      <w:r>
        <w:t xml:space="preserve"> The article explores some features of exemption from criminal liability for tax crimes and insurance crimes.The reasons and conditions are specified under which criminal proceedings against citizens (individuals) are terminated in connection with active repentance for economic crimes.Keywords: exemption from criminal liability, taxes and fees, insurance payments, insurance premiums, compensation for damages. Process Management and Scientific Developmentsthan ten percent of the amount payable, or non-payment in the amount of two million seven hundred thousand rubles or more.A particularly large amount, respectively, is four million five hundred thousand rubles, if this is more than twenty percent of the amount payable, or non-payment of more than thirteen million five hundred thousand rubles.Now let us dwell on the issue of the grounds for exemption from criminal liability for insurance crimes.So, on the basis of the current legislation, the guilty person is not subject to criminal prosecution if the criminal act was committed for the first time, full payment of arrears of insurance premiums will also be a necessary condition; fully refunded interest; full amount paid fine.To summarize what has been said, the following points can be distinguished.The Constitution of the Russian Federation obliges every employed citizen to pay legally established taxes and fees.Failure to comply </w:t>
      </w:r>
    </w:p>
    <w:p>
      <w:pPr/>
      <w:r>
        <w:rPr>
          <w:b/>
        </w:rPr>
        <w:t>POSSIBLE 2024:</w:t>
      </w:r>
      <w:r>
        <w:t xml:space="preserve"> Convergence of accounting systems through the lens of accounting theory and harmonization paradigms — https://doi.org/10.17072/1994-9960-2024-3-300-325</w:t>
      </w:r>
    </w:p>
    <w:p>
      <w:pPr/>
      <w:r>
        <w:rPr>
          <w:b/>
        </w:rPr>
        <w:t>Shared claim-specific concepts:</w:t>
      </w:r>
      <w:r>
        <w:t xml:space="preserve"> took, materials, well, relevant; EU scope visible. This is a provisional connection, not an outcome finding.</w:t>
      </w:r>
    </w:p>
    <w:p>
      <w:pPr>
        <w:pStyle w:val="SourceNote"/>
      </w:pPr>
      <w:r>
        <w:rPr>
          <w:b/>
        </w:rPr>
        <w:t>Available abstract (not full text):</w:t>
      </w:r>
      <w:r>
        <w:t xml:space="preserve"> Introduction. Contemporary research in international accounting lacks a thread linking the fundamental principles of accounting science to the key purpose of the accounting system – to promote the efficient allocation of capital by providing reliable and relevant information. This has led to the fact that accounting infrastructure focuses more on the interests of transnational companies, accounting standard makers and, in general, regional zones, which took advantage of the idea of global convergence for the sake of personal benefits, rather than on public purposes. Purpose. The aim is to show that the existing notions of global convergence of accounting systems are untenable and should be revised. To achieve the latter, the paper characterrizes the nature of convergence with accounting theory and harmonization paradigms. Materials and Methods. The work is theoretical; traditional scientific methods are used: a dialectical method of scientific cognition, a method of collecting theoretical and regulatory-legal information, a method of formalization, as well as analysis, synthesis, observation, and comparison. Results. The standards are perceived to be the benchmark of quality with no deductively-derived regulatory grounds in accounting science. This automatically gives rise to many contradictions and inconsistencies in understanding and applying existing accounting rules/princip</w:t>
      </w:r>
    </w:p>
    <w:p>
      <w:pPr/>
      <w:r>
        <w:rPr>
          <w:b/>
        </w:rPr>
        <w:t>POSSIBLE 2024:</w:t>
      </w:r>
      <w:r>
        <w:t xml:space="preserve"> Insights into the fine-scale habitat use of Eurasian Water Shrew ( Neomys fodiens ) using radio tracking and LiDAR — https://doi.org/10.1093/jmammal/gyae146</w:t>
      </w:r>
    </w:p>
    <w:p>
      <w:pPr/>
      <w:r>
        <w:rPr>
          <w:b/>
        </w:rPr>
        <w:t>Shared claim-specific concepts:</w:t>
      </w:r>
      <w:r>
        <w:t xml:space="preserve"> distribution, species, variables, combined; EU scope visible. This is a provisional connection, not an outcome finding.</w:t>
      </w:r>
    </w:p>
    <w:p>
      <w:pPr>
        <w:pStyle w:val="SourceNote"/>
      </w:pPr>
      <w:r>
        <w:rPr>
          <w:b/>
        </w:rPr>
        <w:t>Available abstract (not full text):</w:t>
      </w:r>
      <w:r>
        <w:t xml:space="preserve"> ) is one of the largest shrew (Soricidae) species in Eurasia. In Western Europe, this semiaquatic species often occurs in riparian and marshland habitats that have a high degree of naturalness, but is being threatened by habitat degradation and other anthropogenic factors. The species mostly occurs in low abundance and is elusive. Therefore, understanding its habitat use is challenging, yet imperative for establishing species-specific conservation measures. Technological developments in radio tracking and high-resolution remote sensing such as Light Detection And Ranging (LiDAR) now enable the quantification of ecological niches and provide insight into habitat requirements for a species. Here, we combined radio tracking and LiDAR to quantify habitat use by Eurasian water shrews. Alongside a lowland brook in the Netherlands, 20 individuals were tracked between September and October 2022, resulting in 332 unique locations of Eurasian water shrews. For each of these locations, 11 LiDAR-derived variables were calculated and subsequently analyzed in a species distribution model (SDM). The SDM yielded a model with a high accuracy (predictive performance AUC = 0.93). The variable of highest importance was dense and relatively short vegetation &lt;1 m, which had a positive effect on Eurasian Water Shrew occurrence. Open areas seem to be avoided. Vegetation of heights between 1 and 15 m w</w:t>
      </w:r>
    </w:p>
    <w:p>
      <w:pPr/>
      <w:r>
        <w:rPr>
          <w:b/>
        </w:rPr>
        <w:t>POSSIBLE 2024:</w:t>
      </w:r>
      <w:r>
        <w:t xml:space="preserve"> New Additions to the Mammal List Documented in the Portuguese Red Data Book — https://doi.org/10.3390/ani14172514</w:t>
      </w:r>
    </w:p>
    <w:p>
      <w:pPr/>
      <w:r>
        <w:rPr>
          <w:b/>
        </w:rPr>
        <w:t>Shared claim-specific concepts:</w:t>
      </w:r>
      <w:r>
        <w:t xml:space="preserve"> species, four, relevant; EU scope visible. This is a provisional connection, not an outcome finding.</w:t>
      </w:r>
    </w:p>
    <w:p>
      <w:pPr>
        <w:pStyle w:val="SourceNote"/>
      </w:pPr>
      <w:r>
        <w:rPr>
          <w:b/>
        </w:rPr>
        <w:t>Available abstract (not full text):</w:t>
      </w:r>
      <w:r>
        <w:t xml:space="preserve"> This study outlines the procedures used for collecting, processing, and categorizing data on 16 new mammal species for mainland Portugal, belonging to four taxonomic groups: Eulipotyphla (1), Chiroptera (4), Rodentia (2), and Cetacea (9). Data collection and processing encompassed field and lab work and bibliographic compilation. Data categorization involves, whenever possible, the assessment of the approximate number of mature individuals in populations, the extent of occurrence, and the area of occupancy. The approach employed led to the classification of eight out of the 16 species into an IUCN category: two non-volant small mammals and one bat species were designated as Vulnerable, requiring ongoing monitoring; one rodent and three cetaceans were assigned to Data Deficient due to insufficient available information; and a single bat species was classified as Least Concern due to the high abundance of local populations. For small mammals and bats, alterations to natural systems and climate change emerged as the most relevant threatening factors, while for cetaceans, human activities such as fishing, commercial shipping, and tourism were identified as the primary survival risks. It is recommended to maintain action programs that assist in defining strategic orientations for the implementation of conservation measures on a case-by-case basis.</w:t>
      </w:r>
    </w:p>
    <w:p>
      <w:pPr/>
      <w:r>
        <w:rPr>
          <w:b/>
        </w:rPr>
        <w:t>POSSIBLE 2023:</w:t>
      </w:r>
      <w:r>
        <w:t xml:space="preserve"> European Exchanges, Networks and Contexts — https://doi.org/10.3366/edinburgh/9781474499170.003.0016</w:t>
      </w:r>
    </w:p>
    <w:p>
      <w:pPr/>
      <w:r>
        <w:rPr>
          <w:b/>
        </w:rPr>
        <w:t>Shared claim-specific concepts:</w:t>
      </w:r>
      <w:r>
        <w:t xml:space="preserve"> took, account, distribution, well; EU scope visible. This is a provisional connection, not an outcome finding.</w:t>
      </w:r>
    </w:p>
    <w:p>
      <w:pPr>
        <w:pStyle w:val="SourceNote"/>
      </w:pPr>
      <w:r>
        <w:rPr>
          <w:b/>
        </w:rPr>
        <w:t>Available abstract (not full text):</w:t>
      </w:r>
      <w:r>
        <w:t xml:space="preserve"> This chapter investigates the development and integration of European news communication along with the formation of new types of news publication capable of conveying details and impressions of a rapidly changing geopolitical order to the first mass audiences. Particularly fertile generators of new genres were the Thirty Years War and English Civil War, which in turn received the effects of news distribution while supplying new material for consumption. New research demonstrates, for instance, that events occurring as far away as Naples were discussed in London, whereas Neapolitans took cues from regime-changing episodes in Civil War Britain. The study takes account of recent studies tending to emphasise continuities as well as discontinuities, not only between the press history of Britain and Ireland and the press history of neighbouring states, but also between the history of printed newspapers and of older media types.</w:t>
      </w:r>
    </w:p>
    <w:p>
      <w:pPr/>
      <w:r>
        <w:rPr>
          <w:b/>
        </w:rPr>
        <w:t>POSSIBLE 2023:</w:t>
      </w:r>
      <w:r>
        <w:t xml:space="preserve"> Diversity and succession of contaminating yeasts in white-brined cheese during cold storage — https://doi.org/10.1016/j.fm.2023.104266</w:t>
      </w:r>
    </w:p>
    <w:p>
      <w:pPr/>
      <w:r>
        <w:rPr>
          <w:b/>
        </w:rPr>
        <w:t>Shared claim-specific concepts:</w:t>
      </w:r>
      <w:r>
        <w:t xml:space="preserve"> anomalus, well, species; EU scope not established. This is a provisional connection, not an outcome finding.</w:t>
      </w:r>
    </w:p>
    <w:p>
      <w:pPr>
        <w:pStyle w:val="SourceNote"/>
      </w:pPr>
      <w:r>
        <w:rPr>
          <w:b/>
        </w:rPr>
        <w:t>Available abstract (not full text):</w:t>
      </w:r>
      <w:r>
        <w:t xml:space="preserve"> Contamination of white-brined cheeses (WBCs) with yeasts is of major concern in the dairy industry. This study aimed to identify yeast contaminants and characterize their succession in white-brined cheese during a shelf-life of 52 weeks. White-brined cheeses added herbs (WBC1) or sundried tomatoes (WBC2) were produced at a Danish dairy and incubated at 5 °C and 10 °C. An increase in yeast counts was observed for both products within the first 12–14 weeks of incubation and stabilized afterwards varying in a range of 4.19–7.08 log CFU/g. Interestingly, higher incubation temperature, especially in WBC2, led to lower yeast counts, concurrently with higher diversity of yeast species. Observed decrease in yeast counts was, most likely, due to negative interactions between yeast species leading to growth inhibition. In total, 469 yeast isolates from WBC1 and WBC2 were genotypically classified using the (GTG)5-rep-PCR technique. Out of them, 132 representative isolates were further identified by sequencing the D1/D2 domain of the 26 S rRNA gene. Predominant yeast species in WBCs were Candida zeylanoides and Debaryomyces hansenii, while Candida parapsilosis, Kazachstania bulderi, Kluyveromyces lactis, Pichia fermentans, Pichia kudriavzevii, Rhodotorula mucilaginosa, Torulaspora delbrueckii, and Wickerhamomyces anomalus were found in lower frequency. Heterogeneity of yeast species in WBC</w:t>
      </w:r>
    </w:p>
    <w:p>
      <w:pPr>
        <w:pStyle w:val="Heading2"/>
      </w:pPr>
      <w:r>
        <w:t>616.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Filling the Gap to Address Vaccine Hesitancy in Europe — https://doi.org/10.3389/phrs.2025.1608208</w:t>
      </w:r>
    </w:p>
    <w:p>
      <w:pPr/>
      <w:r>
        <w:rPr>
          <w:b/>
        </w:rPr>
        <w:t>Shared claim-specific concepts:</w:t>
      </w:r>
      <w:r>
        <w:t xml:space="preserve"> able, covid-19, regional, like, likely; EU scope visible. This is a provisional connection, not an outcome finding.</w:t>
      </w:r>
    </w:p>
    <w:p>
      <w:pPr>
        <w:pStyle w:val="SourceNote"/>
      </w:pPr>
      <w:r>
        <w:rPr>
          <w:b/>
        </w:rPr>
        <w:t>Available abstract (not full text):</w:t>
      </w:r>
      <w:r>
        <w:t xml:space="preserve"> Vaccine hesitancy (VH) is a state of indecision regarding vaccination, marked by doubts despite vaccine availability. 1 Its relationship with vaccine uptake has been widely debated, though the cause-effect relationship remains unclear. Nevertheless, VH likely threatens the control of vaccine-preventable diseases, such as measles and hepatitis B, imposing unnecessary burdens on health systems.Inappropriate access to information, inadequate vaccine offers, and administration have been identified as primary contributors to reluctance and doubts surrounding vaccine uptake. However, social and individual factors related to knowledge and attitudes further prolong this psychological state of indecision, leading to delayed vaccinations and even refusal. Despite extensive efforts to promote vaccination across European countries, VH persists, affecting vaccine uptake across various demographic groups and settings. Hesitancy varies by country, type of vaccine (whether recently approved or longstanding), and target populations, including children, vulnerable groups, or the general population.Assessing the frequency, determinants, and impact of vaccine hesitancy presents a significant global and regional challenge. 2 Variations in definitions, data gaps regarding vaccine acceptance, and population coverage hinder precise evaluation. These discrepancies make it more difficult to develop targ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important, regional, disparities;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Paper chase for social justice and equality : civil society’s interplay with the European commission in European economic governance — https://openalex.org/W7128326708</w:t>
      </w:r>
    </w:p>
    <w:p>
      <w:pPr/>
      <w:r>
        <w:rPr>
          <w:b/>
        </w:rPr>
        <w:t>Shared claim-specific concepts:</w:t>
      </w:r>
      <w:r>
        <w:t xml:space="preserve"> important, able, better, structural; EU scope visible. This is a provisional connection, not an outcome finding.</w:t>
      </w:r>
    </w:p>
    <w:p>
      <w:pPr>
        <w:pStyle w:val="SourceNote"/>
      </w:pPr>
      <w:r>
        <w:rPr>
          <w:b/>
        </w:rPr>
        <w:t>Available abstract (not full text):</w:t>
      </w:r>
      <w:r>
        <w:t xml:space="preserve"> This dissertation investigates the role of civil society organisations (CSOs) in European economic governance, focusing on their interaction with the European Commission during the European Semester between 2011 and 2020, an economic governance process monitoring the implementation of the Europe 2020 strategy. The analysis is framed by Gramsci’s theory of hegemony and Power Resources Theory, providing a nuanced understanding of the structural barriers and opportunities for CSO engagement. The study critiques the entrenched neoliberal paradigm that dominates the European Semester, highlighting how social objectives remain subordinated to economic priorities despite the rhetorical commitments to social investment, inclusivity and sustainability promoted through policy initiatives such as the Social Investment Package and the European Pillar of Social Rights. Drawing on empirical data and theoretical insights, the research identifies key challenges faced by CSOs, including fragmented advocacy efforts, limited skills, capacity and resources, and – most importantly – a lack of a cohesive counter-narrative. The findings reveal that while CSOs have gained some access to governance processes, their influence is constrained by structural asymmetries and inconsistent participation. Considering the important role national CSOs have in providing their EU-level counterparts with information</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Innovatively addressing the profession's major questions based on studies of the OT workforce — https://openalex.org/W7162052968</w:t>
      </w:r>
    </w:p>
    <w:p>
      <w:pPr/>
      <w:r>
        <w:rPr>
          <w:b/>
        </w:rPr>
        <w:t>Shared claim-specific concepts:</w:t>
      </w:r>
      <w:r>
        <w:t xml:space="preserve"> important, regional, disparities, provide; EU scope visible. This is a provisional connection, not an outcome finding.</w:t>
      </w:r>
    </w:p>
    <w:p>
      <w:pPr>
        <w:pStyle w:val="SourceNote"/>
      </w:pPr>
      <w:r>
        <w:rPr>
          <w:b/>
        </w:rPr>
        <w:t>Available abstract (not full text):</w:t>
      </w:r>
      <w:r>
        <w:t xml:space="preserve"> In response to a global shortage of occupational therapists (OT) (WFOT, 2020), we conducted a study to collect data on the Swiss OT workforce's size and structure. The aim was to collect data that would allow to address the shortage and to provide insights that can benefit other countries. Our methodology involved an online survey targeting OT employers, team leaders, and self-employed therapists. We gathered quantitative and qualitative data on workforce demographics. Our results encompassed 3’022 OTs. Their average employment level was 67.9%. Ninety percent hold a Diploma/Bachelor degree, 4.9% a Master and 0.1% a Doctoral degree; 90.1% are woman. Overall, Switzerland has a ratio of 3.2 (4.2-4.6) OTs per 10’000 inhabitants but present important regional differences (Ballmer et al., 2023). This study highlights Swiss problems and disparities (regional differences, gender bias, employment levels, and reduced postgraduate degrees), which are exemplary of the situation faced by many other European countries (e.g., DVE, 2017). The results prompt crucial common questions: How can we enhance gender diversity? How can we create opportunities for women to access higher positions? How can we improve OT education and training? Lastly, how can we reduce regional inequalities? These challenges demand innovative solutions to bolster our profession.</w:t>
      </w:r>
    </w:p>
    <w:p>
      <w:pPr/>
      <w:r>
        <w:rPr>
          <w:b/>
        </w:rPr>
        <w:t>POSSIBLE 2024:</w:t>
      </w:r>
      <w:r>
        <w:t xml:space="preserve"> One hundred priority questions for advancing seagrass conservation in Europe — https://doi.org/10.1002/ppp3.10486</w:t>
      </w:r>
    </w:p>
    <w:p>
      <w:pPr/>
      <w:r>
        <w:rPr>
          <w:b/>
        </w:rPr>
        <w:t>Shared claim-specific concepts:</w:t>
      </w:r>
      <w:r>
        <w:t xml:space="preserve"> areas, crisis, provide, place; EU scope visible. This is a provisional connection, not an outcome finding.</w:t>
      </w:r>
    </w:p>
    <w:p>
      <w:pPr>
        <w:pStyle w:val="SourceNote"/>
      </w:pPr>
      <w:r>
        <w:rPr>
          <w:b/>
        </w:rPr>
        <w:t>Available abstract (not full text):</w:t>
      </w:r>
      <w:r>
        <w:t xml:space="preserve"> Societal Impact Statement Seagrass ecosystems are of fundamental importance to our planet and wellbeing. Seagrasses are marine flowering plants, which engineer ecosystems that provide a multitude of ecosystem services, for example, blue foods and carbon sequestration. Seagrass ecosystems have largely been degraded across much of their global range. There is now increasing interest in the conservation and restoration of these systems, particularly in the context of the climate emergency and the biodiversity crisis. The collation of 100 questions from experts across Europe could, if answered, improve our ability to conserve and restore these systems by facilitating a fundamental shift in the success of such work. Summary Seagrass meadows provide numerous ecosystem services including biodiversity, coastal protection, and carbon sequestration. In Europe, seagrasses can be found in shallow sheltered waters along coastlines, in estuaries &amp; lagoons, and around islands, but their distribution has declined. Factors such as poor water quality, coastal modification, mechanical damage, overfishing, land‐sea interactions, climate change and disease have reduced the coverage of Europe’s seagrasses necessitating their recovery. Research, monitoring and conservation efforts on seagrass ecosystems in Europe are mostly uncoordinated and biased towards certain species and regions, resulting in in</w:t>
      </w:r>
    </w:p>
    <w:p>
      <w:pPr/>
      <w:r>
        <w:rPr>
          <w:b/>
        </w:rPr>
        <w:t>POSSIBLE 2023:</w:t>
      </w:r>
      <w:r>
        <w:t xml:space="preserve"> Addressing Environmental Migration in the European Union Discourse — https://doi.org/10.14324/111.444/000203.v1</w:t>
      </w:r>
    </w:p>
    <w:p>
      <w:pPr/>
      <w:r>
        <w:rPr>
          <w:b/>
        </w:rPr>
        <w:t>Shared claim-specific concepts:</w:t>
      </w:r>
      <w:r>
        <w:t xml:space="preserve"> important, areas, crisis; EU scope visible. This is a provisional connection, not an outcome finding.</w:t>
      </w:r>
    </w:p>
    <w:p>
      <w:pPr>
        <w:pStyle w:val="SourceNote"/>
      </w:pPr>
      <w:r>
        <w:rPr>
          <w:b/>
        </w:rPr>
        <w:t>Available abstract (not full text):</w:t>
      </w:r>
      <w:r>
        <w:t xml:space="preserve"> For decades, the European Union (EU) has been addressing issues related to climate change and ecological degradation as a self-proclaimed pro-environmental and human rights-oriented actor. Correspondingly, the topic of environmentally driven migration entered the EU discourse at the dawn of the new millennium. As such, environmental migrants around the world find themselves in an existential crisis and are in need of support whether it comes to questions of compensations, relocation, protection of cultural heritage etc. Thus, considering the EU’s interest in the human rights and environmental/climate issue areas, I argue it is important to ask what the Union’s approach to this matter has been. Consequently, this article assesses the European Union discourse related to the topic of environmental migration over a twenty-year period. Through the theoretical lens of the Copenhagen School of Security Studies and the normative power EU conception, this paper critically analyzes the EU’s securitization of climate change in relation to environmental migrants who are experiencing an existential threat to their lives. Based on a qualitative discourse analysis, the preliminary results imply that the topic has been receding into the background of the EU agenda. In line, environmental migrants have been pushed aside by a multiplicity of other subjects threatened by climate change, and their</w:t>
      </w:r>
    </w:p>
    <w:p>
      <w:pPr/>
      <w:r>
        <w:rPr>
          <w:b/>
        </w:rPr>
        <w:t>POSSIBLE 2023:</w:t>
      </w:r>
      <w:r>
        <w:t xml:space="preserve"> Addressing Environmental Migration in the European Union Discourse — https://doi.org/10.14324/111.444/000203.v2</w:t>
      </w:r>
    </w:p>
    <w:p>
      <w:pPr/>
      <w:r>
        <w:rPr>
          <w:b/>
        </w:rPr>
        <w:t>Shared claim-specific concepts:</w:t>
      </w:r>
      <w:r>
        <w:t xml:space="preserve"> important, areas, crisis; EU scope visible. This is a provisional connection, not an outcome finding.</w:t>
      </w:r>
    </w:p>
    <w:p>
      <w:pPr>
        <w:pStyle w:val="SourceNote"/>
      </w:pPr>
      <w:r>
        <w:rPr>
          <w:b/>
        </w:rPr>
        <w:t>Available abstract (not full text):</w:t>
      </w:r>
      <w:r>
        <w:t xml:space="preserve"> For decades, the European Union (EU) has been addressing issues related to climate change and ecological degradation as a self-proclaimed pro-environmental and human rights-oriented actor. Correspondingly, the topic of environmentally driven migration entered the EU discourse at the dawn of the new millennium. As such, environmental migrants around the world find themselves in an existential crisis and are in need of support whether it comes to questions of compensations, relocation, protection of cultural heritage etc. Thus, considering the EU’s interest in the human rights and environmental/climate issue areas, I argue it is important to ask what the Union’s approach to this matter has been. Consequently, this article assesses the European Union discourse related to the topic of environmental migration over a twenty-year period. Through the theoretical lens of the Copenhagen School of Security Studies and the normative power EU conception, this paper critically analyzes the EU’s securitization of climate change in relation to environmental migrants who are experiencing an existential threat to their lives. Based on a qualitative discourse analysis, the preliminary results imply that the topic has been receding into the background of the EU agenda. In line, environmental migrants have been pushed aside by a multiplicity of other subjects threatened by climate change, and their</w:t>
      </w:r>
    </w:p>
    <w:p>
      <w:pPr/>
      <w:r>
        <w:rPr>
          <w:b/>
        </w:rPr>
        <w:t>POSSIBLE 2023:</w:t>
      </w:r>
      <w:r>
        <w:t xml:space="preserve"> An Independent European Macroeconomics? A History of European Macroeconomics through the Lens of the European Economic Review — https://doi.org/10.1016/j.euroecorev.2023.104559</w:t>
      </w:r>
    </w:p>
    <w:p>
      <w:pPr/>
      <w:r>
        <w:rPr>
          <w:b/>
        </w:rPr>
        <w:t>Shared claim-specific concepts:</w:t>
      </w:r>
      <w:r>
        <w:t xml:space="preserve"> important, question, like; EU scope visible. This is a provisional connection, not an outcome finding.</w:t>
      </w:r>
    </w:p>
    <w:p>
      <w:pPr>
        <w:pStyle w:val="SourceNote"/>
      </w:pPr>
      <w:r>
        <w:rPr>
          <w:b/>
        </w:rPr>
        <w:t>Available abstract (not full text):</w:t>
      </w:r>
      <w:r>
        <w:t xml:space="preserve"> Economics in Europe has become more international since the 1970s. To a certain extent, this internationalisation is also an ‘Americanisation’ as many European economists have adopted the standards and approaches of US economics. This prompts an important question: amidst this convergence, are there any fields that have managed to retain a distinctively European character?In this article, we use topic modelling and bibliometric coupling to identify European specialties between 1969 and 2002. We focus on macroeconomic articles published in the European Economic Review and compare their bibliographic references and textual content to what has been published in the top 5 journals.Despite economics internationalization since the 1970s, European macroeconomics displayed distinct characteristics across two distinct periods. In the late 1970s and early 1980s, European macroeconomists maintained a certain distance from US debates centered around rational expectations and new classical economics. However, they embraced the concept of microfoundations through the lens of disequilibrium theory, fostering transnational collaborations and offering a unique framework for addressing various macroeconomic issues. Nevertheless, both the prominence of new classical economics in the US and the decline of the disequilibrium approach after the mid-1980s, European macroeconomics shifted towards clos</w:t>
      </w:r>
    </w:p>
    <w:p>
      <w:pPr/>
      <w:r>
        <w:rPr>
          <w:b/>
        </w:rPr>
        <w:t>POSSIBLE 2023:</w:t>
      </w:r>
      <w:r>
        <w:t xml:space="preserve"> Mapping opportunities for the use of land management strategies to address fire risk in Europe — https://doi.org/10.1016/j.jenvman.2023.118941</w:t>
      </w:r>
    </w:p>
    <w:p>
      <w:pPr/>
      <w:r>
        <w:rPr>
          <w:b/>
        </w:rPr>
        <w:t>Shared claim-specific concepts:</w:t>
      </w:r>
      <w:r>
        <w:t xml:space="preserve"> important, areas, take; EU scope visible. This is a provisional connection, not an outcome finding.</w:t>
      </w:r>
    </w:p>
    <w:p>
      <w:pPr>
        <w:pStyle w:val="SourceNote"/>
      </w:pPr>
      <w:r>
        <w:rPr>
          <w:b/>
        </w:rPr>
        <w:t>Available abstract (not full text):</w:t>
      </w:r>
      <w:r>
        <w:t xml:space="preserve"> Many parts of Europe face increasing challenges managing wildfires. Although wildfire is an integral part of certain ecosystems, fires in many places are becoming larger and more intense, driven largely by climate change, land abandonment, and changes in fuel management with important socioeconomic, environmental, and ecosystem services consequences for Europe. In order to envision a comprehensive fire risk mitigation strategy for Europe, a spatial assessment of opportunities to manage fuels at the landscape-scale is needed. Our study explored the suitability of three land management strategies (LMS)-herbivory, mechanical fuel removal, and prescribed burn-which can create more heterogenous fuelscapes, thereby reducing an element of fire risk. We created suitability maps for each of the LMS using adoption factors identified in a systematic literature review (n = 123). We compared these maps with areas of historical fire occurrence as a proxy for fire risk to prioritize key areas for intervention. We found that over a quarter of Europe was suitable for multiple LMS within areas of greater fire risk, creating opportunities for concurrent and synergistic use of the strategies. Options were more limited in areas of southern Europe, where prescribed burn was found to be uniquely viable amongst the LMS evaluated. Opportunities were also restricted in some areas of high fire risk in no</w:t>
      </w:r>
    </w:p>
    <w:p>
      <w:pPr/>
      <w:r>
        <w:rPr>
          <w:b/>
        </w:rPr>
        <w:t>POSSIBLE 2023:</w:t>
      </w:r>
      <w:r>
        <w:t xml:space="preserve"> Schistosomiasis in Europe — https://doi.org/10.1007/s40475-023-00286-9</w:t>
      </w:r>
    </w:p>
    <w:p>
      <w:pPr/>
      <w:r>
        <w:rPr>
          <w:b/>
        </w:rPr>
        <w:t>Shared claim-specific concepts:</w:t>
      </w:r>
      <w:r>
        <w:t xml:space="preserve"> areas, better, provide;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pStyle w:val="Heading2"/>
      </w:pPr>
      <w:r>
        <w:t>617.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2025:</w:t>
      </w:r>
      <w:r>
        <w:t xml:space="preserve"> Effect and mechanism of the "Three Rights Separation" of agricultural land in empowering the neo-endogenous agricultural and rural development — https://doi.org/10.31497/zrzyxb.20250706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Neo-endogenous development is an important way to realise the modernization of agriculture and rural areas, and the reform of the land property rights system plays an important role in activating the internal and external development momentum of agriculture and rural areas. Based on the multi-period double-difference method, the study analyses and examines the impact of "Three Rights Separation" of agricultural land on the neo-endogenous development of agriculture and rural areas and its mechanism of action using balanced panel data of 206 prefecture-level cities in China from 2008 to 2022. The study finds that: (1) "Three Rights Separation" of agricultural land significantly improves the level of neo-endogenous development in agriculture and rural areas. (2) Promoting land scale and attracting capital investment are two important channels through which we can exert the policy effect of "Three Rights Separation" of agricultural land. (3) "Three Rights Separation" of agricultural land has significantly raised the level of neo-endogenous development in agriculture and rural areas. (4) "Three Rights Separation" of agricultural land will enhance the level of neo-endogenous development of agriculture and rural areas to a greater extent in areas with a lower degree of deepening of agricultural capital and better scientific and educational environments, and the policy effect will not </w:t>
      </w:r>
    </w:p>
    <w:p>
      <w:pPr/>
      <w:r>
        <w:rPr>
          <w:b/>
        </w:rPr>
        <w:t>POSSIBLE 2025:</w:t>
      </w:r>
      <w:r>
        <w:t xml:space="preserve"> Nexus between stock market and agricultural sector development in Nigeria and South Africa: Accounting for three-regime marginal-threshold effects — https://doi.org/10.1016/j.sciaf.2025.e02575</w:t>
      </w:r>
    </w:p>
    <w:p>
      <w:pPr/>
      <w:r>
        <w:rPr>
          <w:b/>
        </w:rPr>
        <w:t>Shared claim-specific concepts:</w:t>
      </w:r>
      <w:r>
        <w:t xml:space="preserve"> three, agricultural, sector; EU scope not established. This is a provisional connection, not an outcome finding.</w:t>
      </w:r>
    </w:p>
    <w:p>
      <w:pPr>
        <w:pStyle w:val="SourceNote"/>
      </w:pPr>
      <w:r>
        <w:rPr>
          <w:b/>
        </w:rPr>
        <w:t>Available abstract (not full text):</w:t>
      </w:r>
      <w:r>
        <w:t xml:space="preserve"> This study empirically examined the link between stock market development and agricultural sector development, accounting for the effect of a three-regime marginal and threshold of interest rate, inflation and exchange rates. The study utilized annual time series data, focusing on two African countries – Nigeria and South Africa for the period 1980 to 2021. The dynamic Autoregressive Distributed Lag (ARDL) estimation technique was adopted as a baseline model while FM-OLS was employed for the sensitivity test. The findings from the baseline model revealed a significant long-run positive association between market capitalization, all-share index, value of traded shares, and agricultural development. However, the turnover ratio was insignificant but exhibited a significant long-run relationship when the interaction effects of interest rate, inflation, and exchange rate were controlled for. The FM-OLS sensitivity estimates were found to coincide with the earlier results. At the country level, evidence from the baseline and sensitivity model revealed that market capitalization and the all-share index in Nigeria have a significant positive link with agricultural development, whereas all measures of stock market development in SA were positively and significantly related to agricultural development. The study recommends policies that promote stock market development to boost its contr</w:t>
      </w:r>
    </w:p>
    <w:p>
      <w:pPr/>
      <w:r>
        <w:rPr>
          <w:b/>
        </w:rPr>
        <w:t>POSSIBLE 2025:</w:t>
      </w:r>
      <w:r>
        <w:t xml:space="preserve"> Nexus Between Stock Market and Agricultural Sector Development in Nigeria and South Africa: Accounting for Three-Regime Marginal-Threshold Effects — https://doi.org/10.2139/ssrn.5336669</w:t>
      </w:r>
    </w:p>
    <w:p>
      <w:pPr/>
      <w:r>
        <w:rPr>
          <w:b/>
        </w:rPr>
        <w:t>Shared claim-specific concepts:</w:t>
      </w:r>
      <w:r>
        <w:t xml:space="preserve"> agricultural, sector;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Prospects of the renewable economy as a “green” vector of sustainable development of the national economy of Ukraine — https://doi.org/10.35774/visnyk2025.02.259</w:t>
      </w:r>
    </w:p>
    <w:p>
      <w:pPr/>
      <w:r>
        <w:rPr>
          <w:b/>
        </w:rPr>
        <w:t>Shared claim-specific concepts:</w:t>
      </w:r>
      <w:r>
        <w:t xml:space="preserve"> three, sector, ukraine, economy, article; EU scope not established. This is a provisional connection, not an outcome finding.</w:t>
      </w:r>
    </w:p>
    <w:p>
      <w:pPr>
        <w:pStyle w:val="SourceNote"/>
      </w:pPr>
      <w:r>
        <w:rPr>
          <w:b/>
        </w:rPr>
        <w:t>Available abstract (not full text):</w:t>
      </w:r>
      <w:r>
        <w:t xml:space="preserve"> Introduction. In the context of global environmental challenges, energy security and national well-being, the issue of developing renewable energy sources (RES) is gaining priority for state development strategies. Ukraine, as a state with powerful natural resource potential, faces the challenges of energy transformation, which are determined by both foreign policy factors and internal socio-economic prerequisites. Purpose. Substantiation of the prospects for the development of renewable energy as a key direction of the «green» vector of sustainable development of the national economy of Ukraine. Methods. The research used a set of general scientific and special methods: methods of analysis and synthesis – for a theoretical understanding of the concept of sustainable development and the role of RES in its implementation; comparative analysis –for studying international experience in developing «green» energy and adapting it to Ukrainian realities; statistical method – for assessing the dynamics of the implementation of RES in Ukraine; the method of a systems approach – for considering renewable energy as a component of economic, environmental and social subsystems of sustainable development. Results. The article reveals that the system of development of renewable energy sources has great potential for the modernization of the energy sector of Ukraine. It is determined that inve</w:t>
      </w:r>
    </w:p>
    <w:p>
      <w:pPr/>
      <w:r>
        <w:rPr>
          <w:b/>
        </w:rPr>
        <w:t>POSSIBLE 2025:</w:t>
      </w:r>
      <w:r>
        <w:t xml:space="preserve"> DEVELOPMENT OF THE AGRICULTURAL SECTOR OF THE ECONOMY OF UKRAINE IN THE CONDITIONS OF EUROPEAN INTEGRATION — https://doi.org/10.37332/2309-1533.2025.3.3</w:t>
      </w:r>
    </w:p>
    <w:p>
      <w:pPr/>
      <w:r>
        <w:rPr>
          <w:b/>
        </w:rPr>
        <w:t>Shared claim-specific concepts:</w:t>
      </w:r>
      <w:r>
        <w:t xml:space="preserve"> three, agricultural, sector, ukraine, economy, pessimistic; EU scope visible. This is a provisional connection, not an outcome finding.</w:t>
      </w:r>
    </w:p>
    <w:p>
      <w:pPr>
        <w:pStyle w:val="SourceNote"/>
      </w:pPr>
      <w:r>
        <w:rPr>
          <w:b/>
        </w:rPr>
        <w:t>Available abstract (not full text):</w:t>
      </w:r>
      <w:r>
        <w:t xml:space="preserve"> Voloshchuk K.B., Voloshchuk V.R., Ilash O.M. DEVELOPMENT OF THE AGRICULTURAL SECTOR OF THE ECONOMY OF UKRAINE IN THE CONDITIONS OF EUROPEAN INTEGRATION Purpose. The aim of the article is to identify the main trends, consequences and deepen scientific approaches to substantiating scenarios for the development of the agricultural sector of Ukraine, while simultaneously identifying new opportunities for exporting products that are opening up in the context of European integration. Methodology of research. The following methods were used in the research process: analysis and synthesis – when studying the complex multi-component process of development of the agricultural sector of Ukraine, which requires harmonization of legal, economic and technical components in the context of European integration; dialectical and monographic – when studying the experience of the EU and Ukraine; using SWOT analysis, an interpretation of strengths and weaknesses, opportunities and threats was carried out; the Monte Carlo method was used to interpret the probability distribution of possible development scenarios; abstract and logical – when forming conclusions and proposals. Findings. Three possible scenarios for the development of the agricultural sector of the Ukrainian economy in the context of European integration have been identified: optimistic – expanding access to the EU and world markets, i</w:t>
      </w:r>
    </w:p>
    <w:p>
      <w:pPr/>
      <w:r>
        <w:rPr>
          <w:b/>
        </w:rPr>
        <w:t>POSSIBLE 2025:</w:t>
      </w:r>
      <w:r>
        <w:t xml:space="preserve"> Green Economy in Ukraine: Main Challenges and Prospects for Development in Wartime Conditions — https://doi.org/10.12958/1817-3772-2025-2(80)-14-18</w:t>
      </w:r>
    </w:p>
    <w:p>
      <w:pPr/>
      <w:r>
        <w:rPr>
          <w:b/>
        </w:rPr>
        <w:t>Shared claim-specific concepts:</w:t>
      </w:r>
      <w:r>
        <w:t xml:space="preserve"> three, ukraine, economy, article; EU scope visible. This is a provisional connection, not an outcome finding.</w:t>
      </w:r>
    </w:p>
    <w:p>
      <w:pPr>
        <w:pStyle w:val="SourceNote"/>
      </w:pPr>
      <w:r>
        <w:rPr>
          <w:b/>
        </w:rPr>
        <w:t>Available abstract (not full text):</w:t>
      </w:r>
      <w:r>
        <w:t xml:space="preserve"> The article explores the essence of the concept of «green economy». Its main goal is determined – achieving sustainable development based on three components: ecological, economic and social. The main characteristics of a «green» economy have been formed: efficient use of natural resources, preservation and increase of natural capital, reduction of pollution, low carbon emissions, prevention of loss of ecosystem services and biodiversity, growth of income and employment, etc. The ranking of countries according to the «Green Future Index» was analyzed. The top 10 countries in terms of environmental sustainability were determined, which are Iceland, Finland and Norway. It was found that Ukraine demonstrates an initial level of preparation in the field of the environment and climate change and occupies only 63rd place in the ranking out of 79 countries. The reasons for Ukraine's low position are well-founded: an imperfect regulatory framework, war in the country, limited financial resources, fragmentation of environmental policy, insufficient state support for green initiatives, and the lack of a strategic vision in the field of climate policy. It has been proven that the green economy remains a promising direction for the economic recovery and sustainable development of Ukraine. Its effective development is possible under the condition of sustainable development of all industries</w:t>
      </w:r>
    </w:p>
    <w:p>
      <w:pPr/>
      <w:r>
        <w:rPr>
          <w:b/>
        </w:rPr>
        <w:t>POSSIBLE 2024:</w:t>
      </w:r>
      <w:r>
        <w:t xml:space="preserve"> The Development and Institutionalization of Urban Agriculture Policy: Emerging Governance Models in Three Norwegian Cities — https://doi.org/10.1007/978-3-031-41550-0_12</w:t>
      </w:r>
    </w:p>
    <w:p>
      <w:pPr/>
      <w:r>
        <w:rPr>
          <w:b/>
        </w:rPr>
        <w:t>Shared claim-specific concepts:</w:t>
      </w:r>
      <w:r>
        <w:t xml:space="preserve"> three, sector; EU scope not established. This is a provisional connection, not an outcome finding.</w:t>
      </w:r>
    </w:p>
    <w:p>
      <w:pPr>
        <w:pStyle w:val="SourceNote"/>
      </w:pPr>
      <w:r>
        <w:rPr>
          <w:b/>
        </w:rPr>
        <w:t>Available abstract (not full text):</w:t>
      </w:r>
      <w:r>
        <w:t xml:space="preserve"> Abstract Urban agriculture has been closely associated with citizen activism and voluntary work based on local bottom-up initiatives. However, municipalities have been interested in urban agriculture, and this chapter presents the development of public policies and the main actors in three cities, Oslo, Bergen and Trondheim. They show many common traits in institutionalization of urban agriculture policy. But there are also differences particularly between role of voluntary groups and bottom-up and top-down processes, degree of networking, relationship to ordinary peri-urban agriculture and new forms of urban agriculture, and the implementation of urban agriculture in plans. Oslo shows a politically driven implementation through traditional participatory methods with plans and visions for developing urban agriculture as a social activity in green/urban spaces and as new ways of professional production of food in dense urban areas. In Bergen, the voluntary sector has an active role as co-creators of policy through political activism and participation in strategy development and in running competence center. In Trondheim, the policy is co-produced with the growers each year based on their experiences, and the connection to ordinary, professional agriculture is strong. While Oslo and Bergen have developed strategies for developing urban agriculture, Trondheim has consciously chose</w:t>
      </w:r>
    </w:p>
    <w:p>
      <w:pPr/>
      <w:r>
        <w:rPr>
          <w:b/>
        </w:rPr>
        <w:t>POSSIBLE 2024:</w:t>
      </w:r>
      <w:r>
        <w:t xml:space="preserve"> THE EFFECTS OF SUSTAINABLE DEVELOPMENT ON AGRICULTURE, INFLATION, AND UNDEREMPLOYMENT ACROSS NATIONS: A COMPARATIVE STUDY BETWEEN THREE OECD COUNTRIES — https://doi.org/10.29121/shodhkosh.v5.i6.2024.2091</w:t>
      </w:r>
    </w:p>
    <w:p>
      <w:pPr/>
      <w:r>
        <w:rPr>
          <w:b/>
        </w:rPr>
        <w:t>Shared claim-specific concepts:</w:t>
      </w:r>
      <w:r>
        <w:t xml:space="preserve"> three, agricultural, economy; EU scope not established. This is a provisional connection, not an outcome finding.</w:t>
      </w:r>
    </w:p>
    <w:p>
      <w:pPr>
        <w:pStyle w:val="SourceNote"/>
      </w:pPr>
      <w:r>
        <w:rPr>
          <w:b/>
        </w:rPr>
        <w:t>Available abstract (not full text):</w:t>
      </w:r>
      <w:r>
        <w:t xml:space="preserve"> This study aims to analyse the outcomes of sustainable development on agriculture, inflation, and underemployment in three diverse countries - Australia, Canada, and India. By comparing these countries, we can gain insights into how sustainable development practices differ across different economic and social contexts. Additionally, this comparative analysis will help identify potential strategies and policies that can be adopted to promote sustainable development in both developed and developing nations. The study found that Government should hasten the spread of technology, particularly that which organizes agricultural output. To allay the worries of agriculturalists, recent agricultural inflation rates have been estimated to range between 5% and 10%. Input and equipment costs are rising, and the government's responsibility in creating a sustainable economy includes funding basic research necessary for renewable energy and resource technology, as well as tax management. The results among others demonstrate that sustainable development lowers inflation in mature nations, which lowers the unemployment rate in developing economies and creates space for increased supply and increased demand, which eventually leads to the perfection of a standard economy. More-so, the government must offer the necessary support in the form of financing, technical knowledge, and other specialized </w:t>
      </w:r>
    </w:p>
    <w:p>
      <w:pPr/>
      <w:r>
        <w:rPr>
          <w:b/>
        </w:rPr>
        <w:t>POSSIBLE 2024:</w:t>
      </w:r>
      <w:r>
        <w:t xml:space="preserve"> FINANCIAL SUPPORT FOR THE ECONOMY DEVELOPMENT OF UKRAINE — https://doi.org/10.55643/fcaptp.1.54.2024.4253</w:t>
      </w:r>
    </w:p>
    <w:p>
      <w:pPr/>
      <w:r>
        <w:rPr>
          <w:b/>
        </w:rPr>
        <w:t>Shared claim-specific concepts:</w:t>
      </w:r>
      <w:r>
        <w:t xml:space="preserve"> ukraine, economy; EU scope not established. This is a provisional connection, not an outcome finding.</w:t>
      </w:r>
    </w:p>
    <w:p>
      <w:pPr>
        <w:pStyle w:val="SourceNote"/>
      </w:pPr>
      <w:r>
        <w:rPr>
          <w:b/>
        </w:rPr>
        <w:t>Available abstract (not full text):</w:t>
      </w:r>
      <w:r>
        <w:t xml:space="preserve"> Preserving the fiscal and financial stability of countries, and supporting economic recovery in order to create conditions for the sustainable growth of a socially inclusive economy is a strategic task of state institutions under martial law. Despite the unpredictability that Ukraine faces in war conditions, it is important to develop a constructive financial instrument for the recovery of the country's economy now. The research is based on the hypothesis that defining the conceptual foundations of financial support for the recovery of the Ukrainian economy, raising the quality level of the financial risk management mechanism, and minimizing their consequences, will help ensure macro-financial stability. General scientific and special methods are used, namely: dialectical, complex analysis, scientific generalization, selective, scientific abstraction, economic and statistical. Provisions regarding international financial instruments for the economic recovery of Ukraine's economy have been disclosed. A study of the main problems in the financial sphere, which must be solved in the context of the recovery of Ukraine, was carried out. The peculiarities of the implementation of the state programs "Affordable loans 5-7-9%" and "Affordable financial leasing 5-7-9%" are revealed, which play an important role in supporting entrepreneurial activity and ensuring the country's economic se</w:t>
      </w:r>
    </w:p>
    <w:p>
      <w:pPr/>
      <w:r>
        <w:rPr>
          <w:b/>
        </w:rPr>
        <w:t>POSSIBLE 2024:</w:t>
      </w:r>
      <w:r>
        <w:t xml:space="preserve"> FINANCING OF INNOVATIVE DEVELOPMENT OF THE UKRAINIAN ECONOMY — https://doi.org/10.32782/2786-8273/2024-5-8</w:t>
      </w:r>
    </w:p>
    <w:p>
      <w:pPr/>
      <w:r>
        <w:rPr>
          <w:b/>
        </w:rPr>
        <w:t>Shared claim-specific concepts:</w:t>
      </w:r>
      <w:r>
        <w:t xml:space="preserve"> ukraine, economy, article; EU scope not established. This is a provisional connection, not an outcome finding.</w:t>
      </w:r>
    </w:p>
    <w:p>
      <w:pPr>
        <w:pStyle w:val="SourceNote"/>
      </w:pPr>
      <w:r>
        <w:rPr>
          <w:b/>
        </w:rPr>
        <w:t>Available abstract (not full text):</w:t>
      </w:r>
      <w:r>
        <w:t xml:space="preserve"> Introduction Innovative activity becomes an integral and necessary element of the successful development of the country's economy, and the task of the state is to implement an effective financial and innovative policy in order to ensure its stable growth. The article reveals the theoretical foundations of innovative development and states that some scientists considered the territorial aspect of innovative growth, which is caused by fluctuations in the level of innovative activity of different countries and civilizations. The purpose of the article is to study the theoretical foundations of innovative development and assess the current state of financing innovative development of the Ukrainian economy. Methods. The article uses general scientific methods of scientific knowledge, in particular, epistemological method, dialectical method, induction and deduction, formal-logical method, comparative and systematic methods. Results. The article states that a complex of issues related to the quality financing of innovative processes, which require systematicity and predictability, can be solved on the basis of a program-targeted approach to regulating the flow of investments aimed at innovative development. It was established that Ukraine, with a high level of educational and scientific potential, has a low level of implementation of innovations in the field of economic activity and </w:t>
      </w:r>
    </w:p>
    <w:p>
      <w:pPr>
        <w:pStyle w:val="Heading2"/>
      </w:pPr>
      <w:r>
        <w:t>618.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2026:</w:t>
      </w:r>
      <w:r>
        <w:t xml:space="preserve"> Novel pathogenic CTLA4 missense variant associated with autoimmune enteropathy and systemic immune dysregulation — https://doi.org/10.3389/fimmu.2026.1855020</w:t>
      </w:r>
    </w:p>
    <w:p>
      <w:pPr/>
      <w:r>
        <w:rPr>
          <w:b/>
        </w:rPr>
        <w:t>Shared claim-specific concepts:</w:t>
      </w:r>
      <w:r>
        <w:t xml:space="preserve"> systemic, variant, capacity; EU scope not established. This is a provisional connection, not an outcome finding.</w:t>
      </w:r>
    </w:p>
    <w:p>
      <w:pPr>
        <w:pStyle w:val="SourceNote"/>
      </w:pPr>
      <w:r>
        <w:rPr>
          <w:b/>
        </w:rPr>
        <w:t>Available abstract (not full text):</w:t>
      </w:r>
      <w:r>
        <w:t xml:space="preserve"> Background: , yet the structure-function relationships underlying individual pathogenic variants remain incompletely understood. Methods: We performed whole-exome sequencing on a patient with adolescent-onset autoimmune enteropathy, early-onset gastric malignancy and multisystem comorbidities, who was initially misdiagnosed with Crohn's disease and refractory to multiple biologics. Functional assays assessed CTLA4 dimerization and CD80/CD86 binding capacity. Peripheral blood immunophenotyping was conducted using CyTOF and flow cytometry. Intestinal histopathology was evaluated by immunohistochemistry. The patient subsequently received targeted therapy with abatacept. Results: (c.167T&gt;G, p.Phe56Cys) was identified. Functional assays demonstrated that this variant impairs CTLA4 protein dimerization and its binding capacity to CD80/CD86, establishing loss-of-function as the molecular basis of pathogenicity. Comprehensive peripheral blood immunophenotyping by CyTOF revealed a broad adaptive immune dysregulation landscape, characterized by depletion of regulatory T cells (Tregs), γδ T cells, and CD161+ cytotoxic-like CD8+ T cells. Flow cytometry confirmed reduction in CD4+CD25+Foxp3+ Treg cells along with decreased CTLA4 expression. Intestinal histopathology showed crypt apoptosis with T cell-predominant infiltration, distinct from classic inflammatory bowel disease. Notably, target</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2025:</w:t>
      </w:r>
      <w:r>
        <w:t xml:space="preserve"> Predictive Value of Systemic Inflammatory Markers in the Prognosis of Prostate Cancer with Variant Histology. — https://doi.org/10.22037/uj.v22i.8378</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OBJECTIVE: This study aimed to investigate the potential role of systemic inflammatory markers in the management of Prostate Cancer (PCA) with variant pathology. MATERIALS AND METHODS: A retrospective analysis was conducted on 302 patients who underwent radical prostatectomy between 2014 and 2023. After applying exclusion criteria, 279 patients were included: 207 with adenocarcinoma and 72 with variant pathologies. Systemic inflammatory markers such as Neutrophil-to-Lymphocyte Ratio (NLR), Platelet-to-Lymphocyte Ratio (PLR), Systemic Immune-Inflammation Index (SII), and Systemic Inflammation Response Index (SIRI) were compared between the groups. RESULTS: Patients in the variant group were significantly older (p = 0.005). The frequencies of lymphovascular invasion (LVI), perineural invasion (PNI), and positive surgical margins (SM) were significantly higher in the variant histology group (p &lt; 0.001, p = 0.014, and p &lt; 0.001, respectively), as were ISUP grades (p &lt; 0.001). Pretreatment PSA values were also significantly higher in the variant group (p &lt; 0.001), as was the rate of subsequent radiotherapy (p &lt; 0.001). However, no significant differences were found in NLR, PLR, SIRI, or SII values between the groups. Recurrence rates were significantly higher in the variant group (p &lt; 0.05), but overall mortality did not differ. CONCLUSION: Systemic inflammation markers have limited</w:t>
      </w:r>
    </w:p>
    <w:p>
      <w:pPr/>
      <w:r>
        <w:rPr>
          <w:b/>
        </w:rPr>
        <w:t>POSSIBLE 2025:</w:t>
      </w:r>
      <w:r>
        <w:t xml:space="preserve"> Systemic Mastocytosis: Current Status and Challenges in 2024 — https://doi.org/10.1182/bloodadvances.2024012612</w:t>
      </w:r>
    </w:p>
    <w:p>
      <w:pPr/>
      <w:r>
        <w:rPr>
          <w:b/>
        </w:rPr>
        <w:t>Shared claim-specific concepts:</w:t>
      </w:r>
      <w:r>
        <w:t xml:space="preserve"> according, systemic, main; EU scope not established. This is a provisional connection, not an outcome finding.</w:t>
      </w:r>
    </w:p>
    <w:p>
      <w:pPr>
        <w:pStyle w:val="SourceNote"/>
      </w:pPr>
      <w:r>
        <w:rPr>
          <w:b/>
        </w:rPr>
        <w:t>Available abstract (not full text):</w:t>
      </w:r>
      <w:r>
        <w:t xml:space="preserve"> ABSTRACT: Systemic mastocytosis (SM) is a rare disease and has had significant discoveries in its biology, prognostication, and management in the past 2 decades. The latest update of the World Health Organization classification and the new International Consensus Classification are current standards in the diagnosis and prognostication of SM. In clinical practice, SM can be divided into 2 main categories: nonadvanced SM (nonAdvSM) and advanced SM (AdvSM). The integration of clinical signs and symptoms as well as bone marrow morphologic, immunophenotypic, and molecular results is required to diagnose SM variants. In the modern era, data with KIT inhibitors (ie, avapritinib) suggest prolongation of survival in AdvSM. Although this is encouraging progress, and we now have effective drugs for managing both patients with indolent SM and AdvSM, there are remaining challenges in SM. For example, optimal initial treatment in certain patient subsets, such as SM with an associated hematologic neoplasm (SM-AHN), remains under debate (eg, treatments targeting AHN or SM, monotherapy, or combinations). Prospective studies evaluating drugs with different mechanisms of action are needed for such patients. This review provides an updated overview of SM, including the latest methods for diagnosis, patient classification based on their prognosis, and management according to the most significant c</w:t>
      </w:r>
    </w:p>
    <w:p>
      <w:pPr/>
      <w:r>
        <w:rPr>
          <w:b/>
        </w:rPr>
        <w:t>POSSIBLE 2024:</w:t>
      </w:r>
      <w:r>
        <w:t xml:space="preserve"> Standard variant of the systemic veins with significance for operations with cardiopulmonary bypass — https://doi.org/10.1093/ehjcr/ytae670</w:t>
      </w:r>
    </w:p>
    <w:p>
      <w:pPr/>
      <w:r>
        <w:rPr>
          <w:b/>
        </w:rPr>
        <w:t>Shared claim-specific concepts:</w:t>
      </w:r>
      <w:r>
        <w:t xml:space="preserve"> according, systemic, variant, main; EU scope not established. This is a provisional connection, not an outcome finding.</w:t>
      </w:r>
    </w:p>
    <w:p>
      <w:pPr>
        <w:pStyle w:val="SourceNote"/>
      </w:pPr>
      <w:r>
        <w:rPr>
          <w:b/>
        </w:rPr>
        <w:t>Available abstract (not full text):</w:t>
      </w:r>
      <w:r>
        <w:t xml:space="preserve"> We report on a 5-year-old boy who was referred to our department as a newborn for evaluation of a heart murmur. Echocardiography revealed an atrial septal defect (ASD) of the secundum type (ASD II) (Figure 1A); a secondary finding was a significantly enlarged coronary sinus (CS) (Figure 1B). Transoesophageal echocardiography (modified mid-oesophageal aortic valve short-axis view, A)—atrial septal defect of 1.1 cm with almost no rim towards the aorta. Transthoracic echocardiography (modified long-axis view, B)—dilated coronary sinus can be seen in the left atrium. Computed tomography (coronary plane, C; sagittal plane, D)—persistent left superior vena cava with opening into a dilated coronary sinus and agenesis of the right superior vena cava. AAo, ascending aorta; AV, aortic valve; LA, left atrium; LV, left ventricle; MPA, main pulmonary artery; RA, right atrium; RV, right ventricle. An enlargement of the CS can be found in pathologies such as total anomalous pulmonary venous return, which is a severe congenital heart defect. It can also be found in standard variants of the systemic veins like a persistent left superior vena cava (pLSVC) with drainage into the right atrium via the CS.1 During intrauterine development, there is a right and left anterior cardinal vein. Normally, the right SVC develops from the right anterior cardinal vein while the left anterior cardinal vein reg</w:t>
      </w:r>
    </w:p>
    <w:p>
      <w:pPr/>
      <w:r>
        <w:rPr>
          <w:b/>
        </w:rPr>
        <w:t>POSSIBLE 2024:</w:t>
      </w:r>
      <w:r>
        <w:t xml:space="preserve"> Systemic effects of hypophosphatasia characterization of two novel variants in the ALPL gene — https://doi.org/10.3389/fendo.2023.1320516</w:t>
      </w:r>
    </w:p>
    <w:p>
      <w:pPr/>
      <w:r>
        <w:rPr>
          <w:b/>
        </w:rPr>
        <w:t>Shared claim-specific concepts:</w:t>
      </w:r>
      <w:r>
        <w:t xml:space="preserve"> systemic, variant, main; EU scope not established. This is a provisional connection, not an outcome finding.</w:t>
      </w:r>
    </w:p>
    <w:p>
      <w:pPr>
        <w:pStyle w:val="SourceNote"/>
      </w:pPr>
      <w:r>
        <w:rPr>
          <w:b/>
        </w:rPr>
        <w:t>Available abstract (not full text):</w:t>
      </w:r>
      <w:r>
        <w:t xml:space="preserve"> Introduction: Hypophosphatasia (HPP) is an inborn metabolic error caused by mutations in the ALPL gene encoding tissue non-specific alkaline phosphatase (TNSALP) and leading to decreased alkaline phosphatase (ALP) activity. Although the main characteristic of this disease is bone involvement, it presents a great genetic and clinical variability, which makes it a systemic disease. Methods: Patients were recruited based on biochemical assessments. Diagnosis was made by measuring serum ALP and pyridoxal 5-phosphate levels and finally by Sanger sequencing of the ALPL gene from peripheral blood mononuclear cells. Characterization of the new variants was performed by transfection of the variants into HEK293T cells, where ALP activity and cellular localization were measured by flow cytometry. The dominant negative effect was analyzed by co-transfection of each variant with the wild-type gene, measuring ALP activity and analyzing cellular localization by flow cytometry. Results: Two previously undescribed variants were found in the ALPL gene: leucine 6 to serine missense mutation (c.17T&gt;C, L6S) affecting the signal peptide and threonine 167 deletion (c.498_500delCAC, T167del) affecting the vicinity of the active site. These mutations lead mainly to non-pathognomonic symptoms of HPP. Structural prediction and modeling tools indicated the affected residues as critical residues with impor</w:t>
      </w:r>
    </w:p>
    <w:p>
      <w:pPr/>
      <w:r>
        <w:rPr>
          <w:b/>
        </w:rPr>
        <w:t>POSSIBLE 2024:</w:t>
      </w:r>
      <w:r>
        <w:t xml:space="preserve"> A novel variant associated with refractory lymphopenia in systemic lupus erythematosus: Dedicator of cytokinesis 2 gene c.2883_2886dup — https://doi.org/10.1002/rai2.12115</w:t>
      </w:r>
    </w:p>
    <w:p>
      <w:pPr/>
      <w:r>
        <w:rPr>
          <w:b/>
        </w:rPr>
        <w:t>Shared claim-specific concepts:</w:t>
      </w:r>
      <w:r>
        <w:t xml:space="preserve"> according, systemic, variant, period, main; EU scope not established. This is a provisional connection, not an outcome finding.</w:t>
      </w:r>
    </w:p>
    <w:p>
      <w:pPr>
        <w:pStyle w:val="SourceNote"/>
      </w:pPr>
      <w:r>
        <w:rPr>
          <w:b/>
        </w:rPr>
        <w:t>Available abstract (not full text):</w:t>
      </w:r>
      <w:r>
        <w:t xml:space="preserve"> Genetic and phenotypic heterogeneity present challenges for the diagnosis and personalized treatment of systemic lupus erythematosus (SLE).1 Leukopenia, a common clinical presentation of SLE, can vary in severity from mild to severe. Current thinking often attributes the pathogenesis of leukopenia to immune-mediated damage, infections, or iatrogenic factors (azathioprine and cyclophosphamide).2 However, the gene defects associated with leukopenia have only gained limited attention. Here, we report a novel dedicator of cytokinesis 2 (DOCK2) gene mutation that played a nonautoimmune pathogenic role in a woman with SLE who developed refractory lymphopenia. The 37-year-old female patient presented with prolonged thrombocytopenia, hypocomplementemia, and positive titers of antinuclear, antinucleosome, anti-double-stranded DNA (dsDNA), and anticardiolipin (IgG) antibodies. She was diagnosed with SLE 10 years ago according to the American College of Rheumatology 1997 criteria. Clinical evaluation revealed no damage to other systems. Over the course of her illness, she received steroid and hydroxychloroquine therapies and underwent regular reviews. The patient was hospitalized multiple times because of lupus activity, respiratory infection, or cryptococcal meningitis. Upon admission in September 2022, the patient was hospitalized due to lupus activity. Autoantibody testing revealed pos</w:t>
      </w:r>
    </w:p>
    <w:p>
      <w:pPr/>
      <w:r>
        <w:rPr>
          <w:b/>
        </w:rPr>
        <w:t>POSSIBLE 2023:</w:t>
      </w:r>
      <w:r>
        <w:t xml:space="preserve"> Social Capital of the Territorial Communities of Ukraine in the Conditions of War: Current Transformations and Forecasted Changes — https://doi.org/10.15407/dse2023.02.054</w:t>
      </w:r>
    </w:p>
    <w:p>
      <w:pPr/>
      <w:r>
        <w:rPr>
          <w:b/>
        </w:rPr>
        <w:t>Shared claim-specific concepts:</w:t>
      </w:r>
      <w:r>
        <w:t xml:space="preserve"> according, systemic, ukraine, period, forecasted, capacity; EU scope not established. This is a provisional connection, not an outcome finding.</w:t>
      </w:r>
    </w:p>
    <w:p>
      <w:pPr>
        <w:pStyle w:val="SourceNote"/>
      </w:pPr>
      <w:r>
        <w:rPr>
          <w:b/>
        </w:rPr>
        <w:t>Available abstract (not full text):</w:t>
      </w:r>
      <w:r>
        <w:t xml:space="preserve"> The relevance of the study of current and forecasted transformations of the social capital of territorial communities is due to the need to strengthen social capital at the local level as a means of consolidating the population in the conditions of the destabilizing pressure of war and the risks of reducing the regulatory capabilities of state administration. The purpose of the study is to reveal the transformational shifts in the social capital of the territorial communities of Ukraine in the war and post-war periods. The scientific novelty of the work consists in revealing the peculiarities of the influence of the Russian-Ukrainian war and the humanitarian crisis caused by it on the trends of the development of social capital of the territorial communities of Ukraine. Forecasting of social capital transformations is based on the use of systemic approach, methods of abstraction and generalization, modeling, and scenario forecasting of time series. The use of the scenario approach is due to the low predictability and instability of military actions and includes realistic, optimistic, and pessimistic forecast versions. The prediction according to the realistic version is based on the assumption of building up the potential of social capital by the communities of the country and, above all, the territories freed from temporary occupation. It is substantiated that social capital w</w:t>
      </w:r>
    </w:p>
    <w:p>
      <w:pPr/>
      <w:r>
        <w:rPr>
          <w:b/>
        </w:rPr>
        <w:t>POSSIBLE 2023:</w:t>
      </w:r>
      <w:r>
        <w:t xml:space="preserve"> Omicron variant dominance and anti-SARS-CoV-2 vaccination are key determinants for a milder course of COVID-19 in patients with systemic autoimmune rheumatic diseases — https://doi.org/10.1007/s10067-023-06769-4</w:t>
      </w:r>
    </w:p>
    <w:p>
      <w:pPr/>
      <w:r>
        <w:rPr>
          <w:b/>
        </w:rPr>
        <w:t>Shared claim-specific concepts:</w:t>
      </w:r>
      <w:r>
        <w:t xml:space="preserve"> according, systemic, variant, period; EU scope not established. This is a provisional connection, not an outcome finding.</w:t>
      </w:r>
    </w:p>
    <w:p>
      <w:pPr>
        <w:pStyle w:val="SourceNote"/>
      </w:pPr>
      <w:r>
        <w:rPr>
          <w:b/>
        </w:rPr>
        <w:t>Available abstract (not full text):</w:t>
      </w:r>
      <w:r>
        <w:t xml:space="preserve"> INTRODUCTION: This study aimed to determine whether the introduction of anti-SARS-CoV-2 vaccines and the dominance of the omicron variant had a significant impact on the outcome of COVID-19 in patients with systemic autoimmune rheumatic diseases (SAIRDs). METHODS: Using data entered to the Greek Rheumatology Society COVID-19 registry, we investigated the incidence of hospitalization and death due to COVID-19, during the successive periods of the pandemic according to the prevalent strain (wild-type, Alpha, Delta, Omicron) in vaccinated and unvaccinated patients. Variables independently associated with hospitalization and death were explored using multivariate regression analyses, while Kaplan-Meier curves were used to depict survival data. RESULTS: From August 2020 until June 30, 2022, 456 cases (70.2% females) of COVID-19 with a mean age (± SD) of 51.4 ± 14.0 years were reported. In unvaccinated patients, the proportions of hospitalization and death were 24.5% and 4%, compared to 12.5% and 0.8% in the vaccinated group (p &lt; 0.001 for both comparisons). The rates of hospitalization for the wild-type, Alpha, Delta, and Omicron periods were 24.7%, 31.3%, 25.9%, and 8.1% respectively (p &lt; 0.0001), while the case fatality rates were 2.7%, 4%, 7%, and 0%, respectively (p = 0.001). Using multivariable regression analysis, factors independently associated with hospitalization were infe</w:t>
      </w:r>
    </w:p>
    <w:p>
      <w:pPr/>
      <w:r>
        <w:rPr>
          <w:b/>
        </w:rPr>
        <w:t>POSSIBLE 2023:</w:t>
      </w:r>
      <w:r>
        <w:t xml:space="preserve"> Systemic juvenile idiopathic arthritis in the pediatric practice of Donetsk region — https://doi.org/10.15421/022337</w:t>
      </w:r>
    </w:p>
    <w:p>
      <w:pPr/>
      <w:r>
        <w:rPr>
          <w:b/>
        </w:rPr>
        <w:t>Shared claim-specific concepts:</w:t>
      </w:r>
      <w:r>
        <w:t xml:space="preserve"> according, systemic, variant, internal, general; EU scope not established. This is a provisional connection, not an outcome finding.</w:t>
      </w:r>
    </w:p>
    <w:p>
      <w:pPr>
        <w:pStyle w:val="SourceNote"/>
      </w:pPr>
      <w:r>
        <w:rPr>
          <w:b/>
        </w:rPr>
        <w:t>Available abstract (not full text):</w:t>
      </w:r>
      <w:r>
        <w:t xml:space="preserve"> Juvenile idiopathic arthritis with systemic onset is a special, rare and the most severe variant of juvenile idiopathic arthritis. The article analyzes the clinical features of the onset and course of juvenile idiopathic arthritis with systemic onset in children living in the ecologically disadvantaged Donetsk region and the efficacy of therapy. Clinical cases are described. According to its clinical manifestations, the systemic variant of juvenile idiopathic arthritis is characterized by the severity of the general inflammatory response, a bright clinical picture, severe damage to internal organs, the development of polyserositis, can lead to the development of life-threatening conditions, such as macrophage activation syndrome, and also leads to the formation of deforming arthritis with early disability of the sick child. The relevance of studying the problem of juvenile idiopathic arthritis with a systemic onset is related to the late diagnosis of the disease, because at the onset of the disease there may be no joint syndrome, and therefore it is impossible to use the criteria of the International League of Rheumatology Associations to verify the diagnosis, which leads to diagnostic errors. Nonsteroidal anti-inflammatory drugs, glucocorticosteroids, and immunosuppressants are used for treatment. The prescription of genetic engineering biological therapy, the choice of the dr</w:t>
      </w:r>
    </w:p>
    <w:p>
      <w:pPr>
        <w:pStyle w:val="Heading2"/>
      </w:pPr>
      <w:r>
        <w:t>619.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conclusion, four, union, within;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Four decades of the european regional &amp; cohesion policy. An overview — https://doi.org/10.38191/iirr-jorr.26.010</w:t>
      </w:r>
    </w:p>
    <w:p>
      <w:pPr/>
      <w:r>
        <w:rPr>
          <w:b/>
        </w:rPr>
        <w:t>Shared claim-specific concepts:</w:t>
      </w:r>
      <w:r>
        <w:t xml:space="preserve"> four, achieve, positive, outcomes; EU scope visible. This is a provisional connection, not an outcome finding.</w:t>
      </w:r>
    </w:p>
    <w:p>
      <w:pPr>
        <w:pStyle w:val="SourceNote"/>
      </w:pPr>
      <w:r>
        <w:rPr>
          <w:b/>
        </w:rPr>
        <w:t>Available abstract (not full text):</w:t>
      </w:r>
      <w:r>
        <w:t xml:space="preserve"> The paper addresses two research questions: ﬁrst, what factors explain the continuity of the Cohesion Policy (CP); and second, to what extent such policy has contributed to reducing territorial disparities across the EU and to achieve other objectives. e article advances some hypotheses, and the analysis highlights the core pillars of the CP: its ‘philosophy’, evolving objectives, ﬁnancial resources, and institutional architecture. It further evaluates outcomes in some key areas: convergence trends, infrastructure investment, human capital formation, and support for SMEs. The ﬁndings suggest that while CP has contributed to reducing territorial disparities and other positive achievements linked to the European economic and welfare growth, its eﬀectiveness varies across regions, and some policy domains face persistent challenges such as eﬀectiveness, bureaucratization, and regional/sectoral policy conﬂicts which give support to important criticisms.</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2024:</w:t>
      </w:r>
      <w:r>
        <w:t xml:space="preserve"> Energy Policy in the European Union within the European Green Deal Strategy — https://doi.org/10.18778/1508-2008.27.13</w:t>
      </w:r>
    </w:p>
    <w:p>
      <w:pPr/>
      <w:r>
        <w:rPr>
          <w:b/>
        </w:rPr>
        <w:t>Shared claim-specific concepts:</w:t>
      </w:r>
      <w:r>
        <w:t xml:space="preserve"> all, union, within;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2024:</w:t>
      </w:r>
      <w:r>
        <w:t xml:space="preserve"> Systematic Review: Strategies for Improving HIV Testing and Detection Rates in European Hospitals — https://doi.org/10.3390/microorganisms12020254</w:t>
      </w:r>
    </w:p>
    <w:p>
      <w:pPr/>
      <w:r>
        <w:rPr>
          <w:b/>
        </w:rPr>
        <w:t>Shared claim-specific concepts:</w:t>
      </w:r>
      <w:r>
        <w:t xml:space="preserve"> conclusion, all, strategies, increase; EU scope visible. This is a provisional connection, not an outcome finding.</w:t>
      </w:r>
    </w:p>
    <w:p>
      <w:pPr>
        <w:pStyle w:val="SourceNote"/>
      </w:pPr>
      <w:r>
        <w:rPr>
          <w:b/>
        </w:rPr>
        <w:t>Available abstract (not full text):</w:t>
      </w:r>
      <w:r>
        <w:t xml:space="preserve"> Undiagnosed HIV infection is a prominent clinical issue throughout Europe that requires the continuous attention of all healthcare professionals and policymakers to prevent missed testing opportunities and late diagnosis. This systematic review aimed to evaluate interventions to increase HIV testing rates and case detection in European hospitals. Out of 4598 articles identified, 29 studies fulfilled the selection criteria. Most of the studies were conducted in single Western European capital cities, and only one study was from Eastern Europe. The main interventions investigated were test-all and indicator-condition-based testing strategies. Overall, the prevalence of undiagnosed HIV was well above 0.1%. The studied interventions increased the HIV testing rate and the case detection rate. The highest prevalence of undiagnosed HIV was found with the indicator-condition-driven testing strategy, whereas the test-all strategy had the most profound impact on the proportion of late diagnoses. Nevertheless, the HIV testing rates and case-finding varied considerably across studies. In conclusion, effective strategies to promote HIV testing in European hospitals are available, but relevant knowledge gaps regarding generalizability and sustainability remain. These gaps require the promotion of adherence to HIV testing guidelines, as well as additional larger studies representing all Europ</w:t>
      </w:r>
    </w:p>
    <w:p>
      <w:pPr/>
      <w:r>
        <w:rPr>
          <w:b/>
        </w:rPr>
        <w:t>POSSIBLE 2024:</w:t>
      </w:r>
      <w:r>
        <w:t xml:space="preserve"> The European Climate Law – a suitable legal basis for the European Advisory Board on Climate Change? — https://openalex.org/W7215143138</w:t>
      </w:r>
    </w:p>
    <w:p>
      <w:pPr/>
      <w:r>
        <w:rPr>
          <w:b/>
        </w:rPr>
        <w:t>Shared claim-specific concepts:</w:t>
      </w:r>
      <w:r>
        <w:t xml:space="preserve"> basis, increase, union; EU scope visible. This is a provisional connection, not an outcome finding.</w:t>
      </w:r>
    </w:p>
    <w:p>
      <w:pPr>
        <w:pStyle w:val="SourceNote"/>
      </w:pPr>
      <w:r>
        <w:rPr>
          <w:b/>
        </w:rPr>
        <w:t>Available abstract (not full text):</w:t>
      </w:r>
      <w:r>
        <w:t xml:space="preserve"> To combat climate change, the European Union (EU) adopted the European Climate Law (ECL) which, inter alia, establishes the European Scientific Advisory Board on Climate Change (ESABCC).This new scientific advisory body shall serve as a point of reference for the EU regarding scientific knowledge on climate change.In this context, the thesis examines whether the ECL is a suitable legal basis for the successful operation of the ESABCC, and what aspects could be improved.Therefore, the thesis identifies by literature review the most crucial elements of the legal basis of scientific advisory bodies on climate change and conducts based on those factors a comparative legal analysis.During this, the strengths and weaknesses of the United Kingdom's Climate Change Committee (CCC), the German Council of Experts on Climate Change (ERK), and the Climate Change Advisory Council of Ireland (CCAC) are analyzed and compared with the ESABCC.The final analysis of the ESABCC concludes that the ECL only partly provides a suitable legal basis for the ESABCC.The ECL's strengths are identified to lay in the stability and scope of the legal mandate, the composition and capacity as well as the degree of self-determination.However, particularly with regards to the specificity of the legal mandate, transparency, and the ESABCC's role in the policy context, significant amendments are required to increase</w:t>
      </w:r>
    </w:p>
    <w:p>
      <w:pPr/>
      <w:r>
        <w:rPr>
          <w:b/>
        </w:rPr>
        <w:t>POSSIBLE 2024:</w:t>
      </w:r>
      <w:r>
        <w:t xml:space="preserve"> Nature-based school environments for all children? comparing exposure to school-related green and blue infrastructure in four European cities — https://doi.org/10.1016/j.ecolind.2024.112374</w:t>
      </w:r>
    </w:p>
    <w:p>
      <w:pPr/>
      <w:r>
        <w:rPr>
          <w:b/>
        </w:rPr>
        <w:t>Shared claim-specific concepts:</w:t>
      </w:r>
      <w:r>
        <w:t xml:space="preserve"> all, four, increase, positive; EU scope visible. This is a provisional connection, not an outcome finding.</w:t>
      </w:r>
    </w:p>
    <w:p>
      <w:pPr>
        <w:pStyle w:val="SourceNote"/>
      </w:pPr>
      <w:r>
        <w:rPr>
          <w:b/>
        </w:rPr>
        <w:t>Available abstract (not full text):</w:t>
      </w:r>
      <w:r>
        <w:t xml:space="preserve"> Children’s unequal exposure to nature is associated with the uneven distribution of green and blue infrastructure (GBI) in cities, which often disproportionately affects children living in disadvantaged neighbourhoods. School environments are increasingly recognised, both by scientists and policymakers, as priority areas to increase children’s exposure to GBI. However, studies analysing the spatial and temporal patterns of GBI in school environments are still scarce, especially those considering a cross-city and equity perspective. To contribute to the expanding field of urban environmental justice in the context of children’s geographies, our research aims to assess the (un)equal spatial patterns of school-related GBI across four large European cities (Brussels, Barcelona, Rotterdam, and Paris) and over time (between 2006 and 2018). For this purpose, we used EU-comparable green and blue land cover and tree canopy cover data, together with schools’ socio-economic characteristics (median income and educational attainment) based on local neighbourhood-level data. Through geospatial and statistical analyses on 1259 primary schools, our study reveals significant positive correlations between school-related GBI indicators and socio-economic variables in Brussels and Rotterdam. In contrast, negative correlations were found in Barcelona and Paris. Overall, the four cities show very di</w:t>
      </w:r>
    </w:p>
    <w:p>
      <w:pPr>
        <w:pStyle w:val="Heading2"/>
      </w:pPr>
      <w:r>
        <w:t>620.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2026:</w:t>
      </w:r>
      <w:r>
        <w:t xml:space="preserve"> The Lifecycle of Inequality : Childhood Neighborhoods, Redistribution, and Lifetime Pensions in Finland and Europe — https://openalex.org/W7197944645</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This doctoral dissertation investigates the mechanics of inequality throughout the human lifecycle. It starts from the formation of opportunity in childhood, continues through the mitigation of inequality during working age, and ends with the realization of different life expectancies and pension wealth in retirement. Consisting of an introduction and three essays, the thesis examines these dynamics within the institutional contexts of the Nordic welfare state and Europe. In the first essay, The Impact of Childhood Neighborhoods on Intergenerational Mobility in Finland, I exploit a movers design to isolate the role of location in determining long-term outcomes. My results remain inconclusive. On the other hand, I find significant exposure effects: every additional year spent in a neighborhood where children have a higher income in adulthood improves a child’s future income. Surprisingly, for the probability of high school matriculation, this seems to be the opposite. Every additional year in a neighborhood with high proportion of children matriculating from high school lowers a child's own probability of matriculating. These effect sizes are comparable to recent findings from the United States, suggesting that even within the Finnish welfare state characterized by uniform schooling and social security, residential location might still remain a determinant of opportunity. Howeve</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findings, suggest, baseline, conclusions;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r>
        <w:rPr>
          <w:b/>
        </w:rPr>
        <w:t>POSSIBLE 2025:</w:t>
      </w:r>
      <w:r>
        <w:t xml:space="preserve"> An Appraisal of the Strategies for Effective Implementation of the Rural Access and Mobility Project (RAMP) in Osun State, Nigeria — https://doi.org/10.69739/jsrd.v1i1.747</w:t>
      </w:r>
    </w:p>
    <w:p>
      <w:pPr/>
      <w:r>
        <w:rPr>
          <w:b/>
        </w:rPr>
        <w:t>Shared claim-specific concepts:</w:t>
      </w:r>
      <w:r>
        <w:t xml:space="preserve"> findings, needs, strategies, ramp, infrastructure; EU scope not established. This is a provisional connection, not an outcome finding.</w:t>
      </w:r>
    </w:p>
    <w:p>
      <w:pPr>
        <w:pStyle w:val="SourceNote"/>
      </w:pPr>
      <w:r>
        <w:rPr>
          <w:b/>
        </w:rPr>
        <w:t>Available abstract (not full text):</w:t>
      </w:r>
      <w:r>
        <w:t xml:space="preserve"> The Rural Access and Mobility Project (RAMP) faces challenges in effective implementation which may hinder its potential to improve rural accessibility, mobility, and economic development. Previous studies on rural road infrastructure projects, including RAMP, have not adequately assessed the effectiveness of implementation strategies in Osun State, Nigeria. This study, therefore, appraise the strategies for effective implementation of the Rural Access and Mobility Project (RAMP) in Osun State, Nigeria. The study was anchored on the Theory of Change, while concurrent mixed-method design approach was employed. Four-hundred and fifty respondents residing within the RAMP projects regions comprised Iwo, Ife and Ilesha were sampled using both probability and non-probability sampling procedures. A self-designed instrument was used to obtained information from the participants. Mean, standard deviation, t-test and correlation analysis were used for data analysis, while the responses from the KII were thematically analysed. The findings revealed that the top strategies for effective implementation of RAMP-2 in Osun State, Nigeria, comprised establishment of a dedicated project management unit, strengthen stakeholder coordination mechanisms, build capacity of local government institutions, enhance budget allocation efficiency, and ensure transparent and accountable funding. The study fo</w:t>
      </w:r>
    </w:p>
    <w:p>
      <w:pPr/>
      <w:r>
        <w:rPr>
          <w:b/>
        </w:rPr>
        <w:t>POSSIBLE 2025:</w:t>
      </w:r>
      <w:r>
        <w:t xml:space="preserve"> Ramp metering revealed: a comprehensive literature review — https://doi.org/10.1108/srt-10-2024-0014</w:t>
      </w:r>
    </w:p>
    <w:p>
      <w:pPr/>
      <w:r>
        <w:rPr>
          <w:b/>
        </w:rPr>
        <w:t>Shared claim-specific concepts:</w:t>
      </w:r>
      <w:r>
        <w:t xml:space="preserve"> findings, ramp, technological; EU scope not established. This is a provisional connection, not an outcome finding.</w:t>
      </w:r>
    </w:p>
    <w:p>
      <w:pPr>
        <w:pStyle w:val="SourceNote"/>
      </w:pPr>
      <w:r>
        <w:rPr>
          <w:b/>
        </w:rPr>
        <w:t>Available abstract (not full text):</w:t>
      </w:r>
      <w:r>
        <w:t xml:space="preserve"> Purpose The purpose of this study is to analyze and synthesize existing research on various ramp metering systems to evaluate their effectiveness in optimizing traffic flow, enhancing safety, reducing congestion, and identifying future research directions for integrating advanced technologies. Design/methodology/approach This literature review synthesizes research spanning several decades to evaluate the effectiveness of various ramp metering systems, including fixed-time, actuated, traffic-responsive and adaptive methods. Findings The success of ramp metering is contingent upon several factors. Public compliance is crucial, as resistance to ramp metering signals can diminish its effectiveness. Effective public education is necessary to convey the long-term benefits of smoother traffic and safer roads. Technological challenges, particularly regarding sensor accuracy and data processing, also present obstacles to system performance. Originality/value This study provides a comprehensive literature review on ramp metering as a traffic management strategy, showcasing its evolution and effectiveness over decades in optimizing highway entry rates, improving traffic flow, enhancing safety and reducing environmental impacts, while also addressing ongoing challenges and future opportunities for innovation.</w:t>
      </w:r>
    </w:p>
    <w:p>
      <w:pPr/>
      <w:r>
        <w:rPr>
          <w:b/>
        </w:rPr>
        <w:t>POSSIBLE 2025:</w:t>
      </w:r>
      <w:r>
        <w:t xml:space="preserve"> Power−efficient ramped stimulation in a fully implantable cochlear implant — https://doi.org/10.1038/s41598-025-25077-2</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Cochlear implants (CIs) are among the most established neuromodulation devices, providing auditory perception through electrical stimulation of the auditory nerve. While conventional stimulation strategies rely on symmetric biphasic rectangular pulses, alternative pulse shapes may offer improvements in neural activation and energy efficiency-particularly for fully implantable CI systems where power consumption is a key limitation. In this study, we investigate the efficacy of anodic-first ramped biphasic pulse shapes compared to conventional anodic-first rectangular pulses, using a custom-designed fully implantable cochlear implant (FICI) system in an in vivo guinea pig model. Electrically evoked auditory brainstem responses (eABRs) were recorded in response to four charge-balanced waveform types: Rectangular, RampUp, RampDown, and RampLong. In this single-subject feasibility study, ramped waveforms elicited significantly larger eABR amplitudes, steeper input-output functions, and shorter latencies compared to rectangular pulses. Additionally, we characterized transmission efficiency across the electrode-tissue interface by analyzing waveform spectra and their attenuation through a frequency-dependent medium model. After correcting for these medium-specific losses, in the anodic-first biphasic configuration, RampUp and RampLong pulses demonstrated up to 19-22% improvement in po</w:t>
      </w:r>
    </w:p>
    <w:p>
      <w:pPr/>
      <w:r>
        <w:rPr>
          <w:b/>
        </w:rPr>
        <w:t>POSSIBLE 2025:</w:t>
      </w:r>
      <w:r>
        <w:t xml:space="preserve"> Variability in Paediatric Patch Test Practices Across Europe: A Survey From the European Baseline Series ( EBS ) Working Party on Behalf of the European Society of Contact Dermatitis ( ESCD ) — https://doi.org/10.1111/cod.14824</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BACKGROUND: Allergic contact dermatitis (ACD) is an increasingly recognised condition in children and adolescents. However, there is limited knowledge about the different paediatric patch test procedures in European patch test clinics. OBJECTIVES: To map current European paediatric patch test practices, and to relate these to the existing literature, with the aim of guiding the development of a future paediatric patch test guideline, and a corresponding paediatric European baseline series (pEBS). MATERIALS AND METHODS: In the course of late 2023/early 2024, a standardised paediatric patch test e-mail questionnaire was developed, distributed, and discussed among members of the European Baseline Series (EBS) Working Party of the European Society of Contact Dermatitis (ESCD). RESULTS: Areas of agreement and discussion were identified regarding patch testing in children of different ages, with and without atopic dermatitis: (contra)indications, choice of allergens and patch test chambers, peculiarities regarding the application and fixation of tests, occlusion and reading times. CONCLUSION: Although variability exists in paediatric patch test practices across Europe, there is broad agreement on common procedures, and only a few areas of debate; these findings may be used to inform the development of a future paediatric patch test guideline and pEBS.</w:t>
      </w:r>
    </w:p>
    <w:p>
      <w:pPr/>
      <w:r>
        <w:rPr>
          <w:b/>
        </w:rPr>
        <w:t>POSSIBLE 2025:</w:t>
      </w:r>
      <w:r>
        <w:t xml:space="preserve"> Evaluating the Impact of the Health Navigator Model on Housing Status Among People Experiencing Homelessness in Four European Countries — https://doi.org/10.3390/healthcare13212805</w:t>
      </w:r>
    </w:p>
    <w:p>
      <w:pPr/>
      <w:r>
        <w:rPr>
          <w:b/>
        </w:rPr>
        <w:t>Shared claim-specific concepts:</w:t>
      </w:r>
      <w:r>
        <w:t xml:space="preserve"> findings, baseline, needs, strategies, conclusions, four; EU scope visible. This is a provisional connection, not an outcome finding.</w:t>
      </w:r>
    </w:p>
    <w:p>
      <w:pPr>
        <w:pStyle w:val="SourceNote"/>
      </w:pPr>
      <w:r>
        <w:rPr>
          <w:b/>
        </w:rPr>
        <w:t>Available abstract (not full text):</w:t>
      </w:r>
      <w:r>
        <w:t xml:space="preserve"> Background: People experiencing homelessness (PEH) face significant health disparities and systemic barriers to healthcare, elevating their risk for cancer and other chronic diseases. To tackle PEHs’ challenges in accessing cancer preventive care, the CANCERLESS project implemented the Health Navigator Model (HNM)—a person-centered intervention that utilizes trained Health Navigators to provide tailored support and facilitate service access. Recognizing housing as a key determinant of health, this analysis assessed changes in housing status associated with participation in the HNM among CANCERLESS participants in Austria, Greece, Spain, and the UK. Methods: This was a secondary analysis of cross-national data collected during a single-arm interventional study. Of 652 enrolled PEH, 277 (42.5%) completed the HNM intervention follow-up and were included in the analysis. Changes in housing status from baseline to follow-up were categorized using the European Typology of Homelessness and Housing Exclusion (ETHOS) and treated as an ordered outcome. Descriptive statistics were complemented by a cumulative link mixed model with a participant random intercept to estimate the association between time (follow-up vs. baseline) and housing transitions among completers, adjusting for age, residence/legal status, and daily smoking. Results: Participants had a mean age of 47.4 (SD 13.8), prima</w:t>
      </w:r>
    </w:p>
    <w:p>
      <w:pPr/>
      <w:r>
        <w:rPr>
          <w:b/>
        </w:rPr>
        <w:t>POSSIBLE 2024:</w:t>
      </w:r>
      <w:r>
        <w:t xml:space="preserve"> Phytoliths in dicotyledons occurring in Northwest Europe: establishing a baseline — https://doi.org/10.1093/aob/mcae217</w:t>
      </w:r>
    </w:p>
    <w:p>
      <w:pPr/>
      <w:r>
        <w:rPr>
          <w:b/>
        </w:rPr>
        <w:t>Shared claim-specific concepts:</w:t>
      </w:r>
      <w:r>
        <w:t xml:space="preserve"> findings, baseline, conclusions; EU scope visible. This is a provisional connection, not an outcome finding.</w:t>
      </w:r>
    </w:p>
    <w:p>
      <w:pPr>
        <w:pStyle w:val="SourceNote"/>
      </w:pPr>
      <w:r>
        <w:rPr>
          <w:b/>
        </w:rPr>
        <w:t>Available abstract (not full text):</w:t>
      </w:r>
      <w:r>
        <w:t xml:space="preserve"> BACKGROUND AND AIMS: The absence of a modern plant-based 'dicotyledon' phytolith reference baseline impedes the accurate interpretation of fossil phytolith records in archaeological and palaeoecological research within Northwest (NW) Europe. This study aims to fill this gap by documenting and analysing the phytolith record from modern dicotyledon taxa occurring in this region. METHODS: Phytoliths were extracted from several plant parts of 117 plant specimens representing 74 species (one or two specimens per species). The study employed light microscopy to examine phytolith production (non-producer, trace, common or abundant) and phytolith assemblage composition. The data were analysed statistically to (1) determine the influence of taxonomy and plant part on phytolith presence (absent/present) using a mixed model, (2) assess phytolith assemblage variation using a permutational multivariate analysis of variance (PerMANOVA) and (3) identify patterns among sample groups including segregation for plant part, life form (forbs vs. shrubs/trees) and order using linear discriminant analyses (LDA). KEY RESULTS: Morphotype analysis revealed diagnostic morphotypes and features for specific plant families, genera and plant parts. LDA effectively segregated plant parts and life forms, though taxonomic groupings showed limited segregation. Phytolith presence (absent/present) was found to var</w:t>
      </w:r>
    </w:p>
    <w:p>
      <w:pPr>
        <w:pStyle w:val="Heading2"/>
      </w:pPr>
      <w:r>
        <w:t>621.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2025:</w:t>
      </w:r>
      <w:r>
        <w:t xml:space="preserve"> Future Changes of European Windstorm Losses in EURO-CORDEX Simulations — https://doi.org/10.16993/tellusa.4094</w:t>
      </w:r>
    </w:p>
    <w:p>
      <w:pPr/>
      <w:r>
        <w:rPr>
          <w:b/>
        </w:rPr>
        <w:t>Shared claim-specific concepts:</w:t>
      </w:r>
      <w:r>
        <w:t xml:space="preserve"> simulations, show, without, increase, individual; EU scope visible. This is a provisional connection, not an outcome finding.</w:t>
      </w:r>
    </w:p>
    <w:p>
      <w:pPr>
        <w:pStyle w:val="SourceNote"/>
      </w:pPr>
      <w:r>
        <w:rPr>
          <w:b/>
        </w:rPr>
        <w:t>Available abstract (not full text):</w:t>
      </w:r>
      <w:r>
        <w:t xml:space="preserve">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individual, lower;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Europe's way from natural gas to green hydrogen: Modeling and simulation of the transforming European gas transport infrastructure — https://doi.org/10.1016/j.ijhydene.2025.04.408</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Achieving the EU's 2050 climate neutrality target requires rapid energy system transformation, with hydrogen expected to play a central role. This study presents a high-resolution modeling framework to support the transition of Europe's natural gas infrastructure into a cost-efficient hydrogen network while maintaining residual gas transport capabilities. Using the Steiner tree algorithm, optimized hydrogen network topologies were derived by repurposing existing pipelines and selectively building new corridors. Scenario data were spatially and temporally disaggregated to NUTS-3 and hourly resolution. Fluid-dynamic simulations for 2030, 2040, and 2050 validate the technical feasibility and identify infrastructure bottlenecks. Results show that by 2040, 98 % of the projected 38,000 km hydrogen network can be repurposed infrastructure, requiring an estimated €72.5 billion investment by 2050. The proposed methodology enables scalable and adaptive planning and offers critical insights into hydrogen corridor prioritization, infrastructure phasing, and cross-border coordination, supporting policy and investment decisions across the EU energy landscape.</w:t>
      </w:r>
    </w:p>
    <w:p>
      <w:pPr/>
      <w:r>
        <w:rPr>
          <w:b/>
        </w:rPr>
        <w:t>POSSIBLE 2025:</w:t>
      </w:r>
      <w:r>
        <w:t xml:space="preserve"> An Agent-based simulation model for vehicle fleet growth to review public policies for transport demand management — https://doi.org/10.17533/udea.redin.20250472</w:t>
      </w:r>
    </w:p>
    <w:p>
      <w:pPr/>
      <w:r>
        <w:rPr>
          <w:b/>
        </w:rPr>
        <w:t>Shared claim-specific concepts:</w:t>
      </w:r>
      <w:r>
        <w:t xml:space="preserve"> transport, increase, traffic; EU scope not established. This is a provisional connection, not an outcome finding.</w:t>
      </w:r>
    </w:p>
    <w:p>
      <w:pPr>
        <w:pStyle w:val="SourceNote"/>
      </w:pPr>
      <w:r>
        <w:rPr>
          <w:b/>
        </w:rPr>
        <w:t>Available abstract (not full text):</w:t>
      </w:r>
      <w:r>
        <w:t xml:space="preserve"> The increase in the number of vehicles in highly dense areas with a limited road network has become a challenge for main cities worldwide. Recent decades demographic and economic growth has generated a gradual increase in traffic congestion and the commutation times of inhabitants, which directly affects their productivity and quality of life. To counteract these impacts, governments have implemented Travel Demand Management (TDM) that restrict the circulation of private vehicles to reduce traffic congestion, while discouraging their acquisition and promoting the use of public transport. However, due to their coercive characteristics, the effectiveness of TDM to discourage the acquisition of private vehicles and their long-term effect on controlling the growth of the vehicle fleet has been harshly questioned. This research presents the recent scientific methodologies to estimate variations in car fleet growth and shows estimation variables in Medellín city using publicly available databases, as well as one method proper for the selection of the proper evaluation model. These set up scenarios for projecting the vehicle fleet based on the implementation of public policies for demand management of demand such as the restriction due to license plate-based (L&amp;P) use and scrapping. This allows for evaluating the relationship between vehicle age allowed for the circulation of vehicles</w:t>
      </w:r>
    </w:p>
    <w:p>
      <w:pPr/>
      <w:r>
        <w:rPr>
          <w:b/>
        </w:rPr>
        <w:t>POSSIBLE 2025:</w:t>
      </w:r>
      <w:r>
        <w:t xml:space="preserve"> A diagnostic intercomparison of modeled ozone dry deposition over North America and Europe using AQMEII4 regional-scale simulations — https://doi.org/10.5194/acp-25-12629-2025</w:t>
      </w:r>
    </w:p>
    <w:p>
      <w:pPr/>
      <w:r>
        <w:rPr>
          <w:b/>
        </w:rPr>
        <w:t>Shared claim-specific concepts:</w:t>
      </w:r>
      <w:r>
        <w:t xml:space="preserve"> simulations, significant, increase; EU scope visible. This is a provisional connection, not an outcome finding.</w:t>
      </w:r>
    </w:p>
    <w:p>
      <w:pPr>
        <w:pStyle w:val="SourceNote"/>
      </w:pPr>
      <w:r>
        <w:rPr>
          <w:b/>
        </w:rPr>
        <w:t>Available abstract (not full text):</w:t>
      </w:r>
      <w:r>
        <w:t xml:space="preserve"> This study analyzes ozone (O3) dry deposition fluxes and velocities (Vd) from twelve regional-scale simulations that were performed over North America and Europe in Phase 4 of the Air Quality Model Evaluation International Initiative (AQMEII4). AQMEII4 collected grid-aggregated and land use (LU)-specific O3 Vd and effective conductances and fluxes for the four major dry deposition pathways. Consistent with recent findings in the AQMEII4 point model intercomparison study, analysis of the grid-aggregated fields shows that grid models with similar Vd can exhibit significant differences in the absolute and relative contributions of the different depositional pathways. Analysis of LU-specific Vd and effective conductances reveals a general increase in model spread compared to grid-aggregated values. This indicates that an analysis of only grid-aggregated deposition diagnostics can mask process-specific differences that exist between schemes. An analysis of AQMEII4 LU distributions across models revealed substantial differences in the spatial patterns and abundance of certain LU categories over both domains, especially for non-forest partially vegetated categories such as agricultural areas, shrubland, and grassland. We demonstrate that these differences can significantly contribute to or even drive differences in LU-specific dry deposition fluxes which can increase the variability i</w:t>
      </w:r>
    </w:p>
    <w:p>
      <w:pPr/>
      <w:r>
        <w:rPr>
          <w:b/>
        </w:rPr>
        <w:t>POSSIBLE 2024:</w:t>
      </w:r>
      <w:r>
        <w:t xml:space="preserve"> Bias-adjusting for underestimated large-scale European warming in regional climate model simulations and implications for future extremes — https://doi.org/10.5194/egusphere-egu24-18186</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Our warming climate enhances both the frequency and intensity of weather extremes. To enable adequate mitigation and adaptation decision-making and planning, accurate long-term climate projections across scales are essential. Europe has warmed faster than any other World Meteorological Organization region in the last decades, yet a vast majority of RCM simulations does not capture the strong observed temperature rise. This discrepancy is in part related to the widespread use of constant aerosol representations in RCMs, and emerges most clearly during summer, i.e. the period of strong insolation. Thereby it also affects (changes in) heat extremes even more strongly than the mean warming. This warming mismatch is, crucially, not restricted to the past but also affects climate projections. Several European national climate services of several European countries still rely on these simulations and solutions are required.Here, we present a novel method to adjust the large-scale warming in RCM simulations based on a reference such as observations or other model simulations. In particular, we re-assemble RCM simulations to match the long-term annual mean temperature evolution over Western Europe in state-of-the-art GCMs, which show less (or no) underestimation of the observed summer warming than the RCMs. We demonstrate that our approach preserves the high-resolution information provi</w:t>
      </w:r>
    </w:p>
    <w:p>
      <w:pPr/>
      <w:r>
        <w:rPr>
          <w:b/>
        </w:rPr>
        <w:t>POSSIBLE 2024:</w:t>
      </w:r>
      <w:r>
        <w:t xml:space="preserve"> Energy transition in sustainable transport: concepts, policies, and methodologies — https://doi.org/10.1007/s11356-024-34862-x</w:t>
      </w:r>
    </w:p>
    <w:p>
      <w:pPr/>
      <w:r>
        <w:rPr>
          <w:b/>
        </w:rPr>
        <w:t>Shared claim-specific concepts:</w:t>
      </w:r>
      <w:r>
        <w:t xml:space="preserve"> transport, mobility; EU scope not established. This is a provisional connection, not an outcome finding.</w:t>
      </w:r>
    </w:p>
    <w:p>
      <w:pPr>
        <w:pStyle w:val="SourceNote"/>
      </w:pPr>
      <w:r>
        <w:rPr>
          <w:b/>
        </w:rPr>
        <w:t>Available abstract (not full text):</w:t>
      </w:r>
      <w:r>
        <w:t xml:space="preserve"> The growth in population, economic expansion, and urban dynamism has collectively driven a surge in the use of public and private transport, resulting in increased energy consumption in this sector. Consequently, the transport sector requires an energy transition to meet mobility demands, foster economic growth, and achieve emission reduction. The main objective of this article is to systematically review the literature on energy transition in transportation, categorizing research, identifying barriers, and providing analysis to guide future steps, with a special focus on developing countries. The methodology used in this study follows a sequence for a systematic review based on an evidence-informed approach and specific guidelines for systematic reviews, exploring the concepts, methodologies, and policies within the context of the energy transition, considering transport modes and geographical scope. The findings indicate that electricity is the predominant energy source in this transition, although its prevalence varies by transport mode. Biofuels present an alternative, primarily contributing to emission reduction associated with fossil fuel use. Natural gas emerges as a cost-effective option for heavy transport, while hydrogen represents another alternative, with the challenge of developing recharging infrastructure. Determinants of this transition include recharging infras</w:t>
      </w:r>
    </w:p>
    <w:p>
      <w:pPr/>
      <w:r>
        <w:rPr>
          <w:b/>
        </w:rPr>
        <w:t>POSSIBLE 2024:</w:t>
      </w:r>
      <w:r>
        <w:t xml:space="preserve"> External Transport Costs and Implications for Sustainable Transport Policy — https://doi.org/10.3390/su16229687</w:t>
      </w:r>
    </w:p>
    <w:p>
      <w:pPr/>
      <w:r>
        <w:rPr>
          <w:b/>
        </w:rPr>
        <w:t>Shared claim-specific concepts:</w:t>
      </w:r>
      <w:r>
        <w:t xml:space="preserve"> transport, modal; EU scope visible. This is a provisional connection, not an outcome finding.</w:t>
      </w:r>
    </w:p>
    <w:p>
      <w:pPr>
        <w:pStyle w:val="SourceNote"/>
      </w:pPr>
      <w:r>
        <w:rPr>
          <w:b/>
        </w:rPr>
        <w:t>Available abstract (not full text):</w:t>
      </w:r>
      <w:r>
        <w:t xml:space="preserve"> This study investigated the external costs of different transport modes and their implications for sustainable transport policy. Utilising the INCONE60 Cargo Flow Model, we quantified and compared road and maritime transport’s environmental and health impacts within European logistics networks. Our findings revealed that road transport incurred external costs up to four times higher than sea transport due to greater emissions and health-related impacts. By implementing strategic modal shifts and optimising routes, we demonstrated the potential to reduce external costs by up to 80%. These results underscore the importance of integrating external costs into decision-making processes, aligning with global sustainability goals, and providing actionable insights for policymakers to promote sustainable practices in global trade.</w:t>
      </w:r>
    </w:p>
    <w:p>
      <w:pPr/>
      <w:r>
        <w:rPr>
          <w:b/>
        </w:rPr>
        <w:t>POSSIBLE 2024:</w:t>
      </w:r>
      <w:r>
        <w:t xml:space="preserve"> Digital twin simulation modelling shows that mass testing and local lockdowns effectively controlled COVID-19 in Denmark — https://doi.org/10.1038/s43856-024-00621-9</w:t>
      </w:r>
    </w:p>
    <w:p>
      <w:pPr/>
      <w:r>
        <w:rPr>
          <w:b/>
        </w:rPr>
        <w:t>Shared claim-specific concepts:</w:t>
      </w:r>
      <w:r>
        <w:t xml:space="preserve"> simulations, show, without, increase; EU scope visible. This is a provisional connection, not an outcome finding.</w:t>
      </w:r>
    </w:p>
    <w:p>
      <w:pPr>
        <w:pStyle w:val="SourceNote"/>
      </w:pPr>
      <w:r>
        <w:rPr>
          <w:b/>
        </w:rPr>
        <w:t>Available abstract (not full text):</w:t>
      </w:r>
      <w:r>
        <w:t xml:space="preserve"> BACKGROUND: Following the COVID-19 pandemic, it is important to evaluate different mitigation strategies for future preparedness. Mass testing and local lockdowns were employed during the Alpha wave in Denmark, which led to ten times more tests than the typical European member state and incidence-based restrictions at the parish level. This study aims to quantify the effects of these interventions in terms of hospital admissions and societal freedom. METHODS: This study assesses the effectiveness of these strategies via counterfactual scenarios using a detailed, individual-based simulation model that replicates the entire Danish population. The model considers multiple factors, including evolving societal restrictions, vaccination roll-out, seasonal influences, and varying intensities of PCR and antigen testing across different age groups and degree of completed vaccination. It also integrates adaptive human behavior in response to changes in incidences at the municipality and parish levels. RESULTS: The simulations show, that without mass testing in Denmark, there would have been a 150% increase in hospital admissions, and additional local lockdowns equivalent to 21 days of strict national lockdown. Without the policy of local lockdowns, hospitalizations would have increased by 50%. CONCLUSIONS: In conclusion, the combination of mass testing and local lockdowns likely prevente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simulations, show, suitable, increase;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A roadmap to estimating agricultural ammonia volatilization over Europe using satellite observations and simulation data — https://doi.org/10.5194/acp-23-12505-2023</w:t>
      </w:r>
    </w:p>
    <w:p>
      <w:pPr/>
      <w:r>
        <w:rPr>
          <w:b/>
        </w:rPr>
        <w:t>Shared claim-specific concepts:</w:t>
      </w:r>
      <w:r>
        <w:t xml:space="preserve"> simulations, show, increase; EU scope visible. This is a provisional connection, not an outcome finding.</w:t>
      </w:r>
    </w:p>
    <w:p>
      <w:pPr>
        <w:pStyle w:val="SourceNote"/>
      </w:pPr>
      <w:r>
        <w:rPr>
          <w:b/>
        </w:rPr>
        <w:t>Available abstract (not full text):</w:t>
      </w:r>
      <w:r>
        <w:t xml:space="preserve"> Abstract. Ammonia (NH3) is one of the most important gases emitted from agricultural practices. It affects air quality and the overall climate, and in turn influenced by long term climate trends as well as by short term fluctuations in local and regional meteorology. Previous studies have established the capability of the Infrared Atmospheric Sounding Interferometer (IASI) series of instruments aboard the Metop satellites to measure ammonia from space since 2007. In this study, we explore the interactions between atmospheric ammonia, land and meteorological variability, and long-term climate trends in Europe. We investigate the emission potential (Γsoil) of ammonia from the soil, which describes the soil – atmosphere ammonia exchange. Γsoil is generally calculated in-field or in laboratory experiments; here, and for the first time, we investigate a method which assesses it remotely using satellite data, reanalysis data products, and model simulations. We focus on ammonia emission potential during March 2011, which marks the start of growing season in Europe. Our results show that Γsoil ranges from 2 × 103 to 9.5 × 104 (dimensionless) in a fertilized cropland, such as in the North European Plain, and is of the order of 10–102 in a non-fertilized soil (e.g. forest and grassland). These results agree with in-field measurements from the literature, suggesting that our method can be</w:t>
      </w:r>
    </w:p>
    <w:p>
      <w:pPr>
        <w:pStyle w:val="Heading2"/>
      </w:pPr>
      <w:r>
        <w:t>622.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2026:</w:t>
      </w:r>
      <w:r>
        <w:t xml:space="preserve"> On the Reverse Projection Inequality — https://doi.org/10.5281/zenodo.22037129</w:t>
      </w:r>
    </w:p>
    <w:p>
      <w:pPr/>
      <w:r>
        <w:rPr>
          <w:b/>
        </w:rPr>
        <w:t>Shared claim-specific concepts:</w:t>
      </w:r>
      <w:r>
        <w:t xml:space="preserve"> show, three, abstract; EU scope not established. This is a provisional connection, not an outcome finding.</w:t>
      </w:r>
    </w:p>
    <w:p>
      <w:pPr>
        <w:pStyle w:val="SourceNote"/>
      </w:pPr>
      <w:r>
        <w:rPr>
          <w:b/>
        </w:rPr>
        <w:t>Available abstract (not full text):</w:t>
      </w:r>
      <w:r>
        <w:t xml:space="preserve"> In \cite {ChenFengLiXiXu2026}, a reverse projection inequality for general convex bodies was established in three dimensions. In this paper, we completely characterize the equality cases of this inequality. We further show that the reverse projection inequality fails in every dimension $n\geq9$. The counterexamples are constructed as full-dimensional polytopes with at most $n+2$ facets. \end{abstract}</w:t>
      </w:r>
    </w:p>
    <w:p>
      <w:pPr/>
      <w:r>
        <w:rPr>
          <w:b/>
        </w:rPr>
        <w:t>POSSIBLE 2026:</w:t>
      </w:r>
      <w:r>
        <w:t xml:space="preserve"> The Grammar of Addressability: Recognition, Projection, and the Continuous Gradient — https://doi.org/10.5281/zenodo.21840862</w:t>
      </w:r>
    </w:p>
    <w:p>
      <w:pPr/>
      <w:r>
        <w:rPr>
          <w:b/>
        </w:rPr>
        <w:t>Shared claim-specific concepts:</w:t>
      </w:r>
      <w:r>
        <w:t xml:space="preserve"> projections, three, next; EU scope not established. This is a provisional connection, not an outcome finding.</w:t>
      </w:r>
    </w:p>
    <w:p>
      <w:pPr>
        <w:pStyle w:val="SourceNote"/>
      </w:pPr>
      <w:r>
        <w:rPr>
          <w:b/>
        </w:rPr>
        <w:t>Available abstract (not full text):</w:t>
      </w:r>
      <w:r>
        <w:t xml:space="preserve"> Description This archive brings together three documents that articulate one structure from three distinct addresses: The Note — recognitionFrom Availability to Projection — derivationThe Continuous Gradient — unfolding They are included together because none is simply a shorter or longer version of the others. Each performs a different function. Together they trace one movement: from direct recognition,to explicit derivation,to the consequences that become visible once the derived structure is carried across domains. The Note — Recognition The Note presents the grammar at the address of immediate recognition. It begins from a single statement: There is only addressability. Not a field containing things.Not a space in which events occur.Not a substrate beneath appearance. Addressability is treated as the immediate availability for pattern to instantiate. From there, the document articulates distinction and unity as conjugate rather than opposed, and identifies three inseparable aspects of one articulation: the formative,the operator,the containing — phenomenologically recognizable as: Awareness.Address.Occurrence. The document then develops the distinction between fragmentation and coherence: Fragmentation is differentiation with suppression.Coherence is differentiation without suppression. Relation is primary. What appears as self, other, body, memory, desire, integration, see</w:t>
      </w:r>
    </w:p>
    <w:p>
      <w:pPr/>
      <w:r>
        <w:rPr>
          <w:b/>
        </w:rPr>
        <w:t>POSSIBLE 2025:</w:t>
      </w:r>
      <w:r>
        <w:t xml:space="preserve"> On masas of the Calkin algebra generated by projections — https://doi.org/10.48550/arxiv.2512.06580</w:t>
      </w:r>
    </w:p>
    <w:p>
      <w:pPr/>
      <w:r>
        <w:rPr>
          <w:b/>
        </w:rPr>
        <w:t>Shared claim-specific concepts:</w:t>
      </w:r>
      <w:r>
        <w:t xml:space="preserve"> projections, three, compared; EU scope not established. This is a provisional connection, not an outcome finding.</w:t>
      </w:r>
    </w:p>
    <w:p>
      <w:pPr>
        <w:pStyle w:val="SourceNote"/>
      </w:pPr>
      <w:r>
        <w:rPr>
          <w:b/>
        </w:rPr>
        <w:t>Available abstract (not full text):</w:t>
      </w:r>
      <w:r>
        <w:t xml:space="preserve"> Assuming the continuum hypothesis CH, we obtain complete $*$-isomorphic classification of maximal abelian self-adjoint subalgebras (masas) of the Calkin algebra $\mathcal Q(\ell_2)$ (bounded operators on a separable Hilbert space modulo compact operators) generated by projections. In particular, for any compact totally disconnected Hausdorff space $K$ of weight not exceeding the continuum and not admitting $G_δ$ points we construct under CH a masa of $\mathcal Q(\ell_2)$ which is $*$-isomorphic to the algebra $C(K)$ of complex-valued continuous functions on $K$. This, among others, shows that masas of the Calkin algebra could have rather unexpected properties compared to the previously known three $*$-isomorphic types of them generated by projections: $\ell_\infty/c_0$, $L_\infty$ and $\ell_\infty/c_0\oplus L_\infty$. It can be shown that some additional set-theoretic hypothesis, like CH, is necessary for such results. However, without making any additional set-theoretic assumptions we still construct a family of maximal possible cardinality (of the power set of $\mathbb R$) of pairwise non-$*$-isomorphic masas of $\mathcal Q(\ell_2)$ generated by projections and with properties unlike the three above examples.</w:t>
      </w:r>
    </w:p>
    <w:p>
      <w:pPr/>
      <w:r>
        <w:rPr>
          <w:b/>
        </w:rPr>
        <w:t>POSSIBLE 2024:</w:t>
      </w:r>
      <w:r>
        <w:t xml:space="preserve"> Projection in Arabic: a typological overview — https://doi.org/10.1515/jwl-2024-0019</w:t>
      </w:r>
    </w:p>
    <w:p>
      <w:pPr/>
      <w:r>
        <w:rPr>
          <w:b/>
        </w:rPr>
        <w:t>Shared claim-specific concepts:</w:t>
      </w:r>
      <w:r>
        <w:t xml:space="preserve"> show, three, abstract, examines; EU scope not established. This is a provisional connection, not an outcome finding.</w:t>
      </w:r>
    </w:p>
    <w:p>
      <w:pPr>
        <w:pStyle w:val="SourceNote"/>
      </w:pPr>
      <w:r>
        <w:rPr>
          <w:b/>
        </w:rPr>
        <w:t>Available abstract (not full text):</w:t>
      </w:r>
      <w:r>
        <w:t xml:space="preserve"> Abstract This article examines the different aspects of projection by focusing on the processes construing this area of the lexicogrammar. It also explores how Arabic construes this dimension of the lexicogrammar across the rank scale and beyond. Within the Hallidayan Systemic Functional paradigm, there are three variables that differentiate between any type of projection and this article investigates all three of them. It more precisely explores the three different projection systems which consist of (i) the level of projection which is about the distinction between mental and verbal projection. (ii) The mode of projection which is about tactic interdependency relations and whether what is projected is a quote (paratactic) or a report (hypotactic) and (iii) the speech function of projection which is where projection interacts with the system of mood and the projection of propositions and proposals. The last section studies the manifestation of projection patterns in a wide variety of lexico-grammatical environments. The findings will show how this pervasiveness substantiates the interpretation of projection as a fractal motif.</w:t>
      </w:r>
    </w:p>
    <w:p>
      <w:pPr/>
      <w:r>
        <w:rPr>
          <w:b/>
        </w:rPr>
        <w:t>POSSIBLE 2024:</w:t>
      </w:r>
      <w:r>
        <w:t xml:space="preserve"> Long-term population projections: Scenarios of low or rebounding fertility — https://doi.org/10.1371/journal.pone.0298190</w:t>
      </w:r>
    </w:p>
    <w:p>
      <w:pPr/>
      <w:r>
        <w:rPr>
          <w:b/>
        </w:rPr>
        <w:t>Shared claim-specific concepts:</w:t>
      </w:r>
      <w:r>
        <w:t xml:space="preserve"> projections, show, fertility, decline, recent; EU scope not established. This is a provisional connection, not an outcome finding.</w:t>
      </w:r>
    </w:p>
    <w:p>
      <w:pPr>
        <w:pStyle w:val="SourceNote"/>
      </w:pPr>
      <w:r>
        <w:rPr>
          <w:b/>
        </w:rPr>
        <w:t>Available abstract (not full text):</w:t>
      </w:r>
      <w:r>
        <w:t xml:space="preserve"> The size of the human population is projected to peak in the 21st century. But quantitative projections past 2100 are rare, and none quantify the possibility of a rebound from low fertility to replacement-level fertility. Moreover, the most recent long-term deterministic projections were published a decade ago; since then there has been further global fertility decline. Here we provide updated long-term cohort-component population projections and extend the set of scenarios in the literature to include scenarios in which future fertility (a) stays below replacement or (b) recovers and increases. We also characterize old-age dependency ratios. We show that any stable, long-run size of the world population would persistently depend on when an increase towards replacement fertility begins. Without such an increase, the 400-year span when more than 2 billion people were alive would be a brief spike in history. Indeed, four-fifths of all births-past, present, and future-would have already happened.</w:t>
      </w:r>
    </w:p>
    <w:p>
      <w:pPr/>
      <w:r>
        <w:rPr>
          <w:b/>
        </w:rPr>
        <w:t>POSSIBLE 2024:</w:t>
      </w:r>
      <w:r>
        <w:t xml:space="preserve"> Subnational probabilistic projections of fertility: rethinking from Latin America — https://doi.org/10.56808/2730-3934.1358</w:t>
      </w:r>
    </w:p>
    <w:p>
      <w:pPr/>
      <w:r>
        <w:rPr>
          <w:b/>
        </w:rPr>
        <w:t>Shared claim-specific concepts:</w:t>
      </w:r>
      <w:r>
        <w:t xml:space="preserve"> projections, show, fertility, over, compared, period; EU scope not established. This is a provisional connection, not an outcome finding.</w:t>
      </w:r>
    </w:p>
    <w:p>
      <w:pPr>
        <w:pStyle w:val="SourceNote"/>
      </w:pPr>
      <w:r>
        <w:rPr>
          <w:b/>
        </w:rPr>
        <w:t>Available abstract (not full text):</w:t>
      </w:r>
      <w:r>
        <w:t xml:space="preserve"> General trends in fertility, mortality, and migration can be discerned and projected into the future with reasonable results, however, there is considerable uncertainty attached to each specific trend from a particular country or region. Then, subnational projections then represent a special chapter within the demographic projections. After introducing subnational projections and its close relationship with the fertility, this work proposes as the main objective to project fertility rates at the subnational level for Argentina using a probabilistic method; the bayesian hierarchical model (BHM), and then compare the results with the point estimates of deterministic projections published by the national organism of statistics. Forecasts were obtained from two models, one including all the countries available in World Population Prospects (WPP) and a second model based only in a subgroup of countries; Argentina, Colombia, Chile, Cuba and Uruguay, both based on data from 1980 to 2010. This set of countries where selected using the transitional to identify a subset of countries with similar patterns among them, that includes Argentina, but show different patterns compared to the rest region. Time period is selected to include years for which these countries reach an adequate data quality. BHM for subnational projections is an extremely useful and flexible method. It presents many ad</w:t>
      </w:r>
    </w:p>
    <w:p>
      <w:pPr/>
      <w:r>
        <w:rPr>
          <w:b/>
        </w:rPr>
        <w:t>POSSIBLE 2024:</w:t>
      </w:r>
      <w:r>
        <w:t xml:space="preserve"> Global fertility in 204 countries and territories, 1950–2021, with forecasts to 2100: a comprehensive demographic analysis for the Global Burden of Disease Study 2021 — https://doi.org/10.1016/s0140-6736(24)00550-6</w:t>
      </w:r>
    </w:p>
    <w:p>
      <w:pPr/>
      <w:r>
        <w:rPr>
          <w:b/>
        </w:rPr>
        <w:t>Shared claim-specific concepts:</w:t>
      </w:r>
      <w:r>
        <w:t xml:space="preserve"> projections, three, four, fertility, decline, over; EU scope not established. This is a provisional connection, not an outcome finding.</w:t>
      </w:r>
    </w:p>
    <w:p>
      <w:pPr>
        <w:pStyle w:val="SourceNote"/>
      </w:pPr>
      <w:r>
        <w:rPr>
          <w:b/>
        </w:rPr>
        <w:t>Available abstract (not full text):</w:t>
      </w:r>
      <w:r>
        <w:t xml:space="preserve"> BACKGROUND: Accurate assessments of current and future fertility-including overall trends and changing population age structures across countries and regions-are essential to help plan for the profound social, economic, environmental, and geopolitical challenges that these changes will bring. Estimates and projections of fertility are necessary to inform policies involving resource and health-care needs, labour supply, education, gender equality, and family planning and support. The Global Burden of Diseases, Injuries, and Risk Factors Study (GBD) 2021 produced up-to-date and comprehensive demographic assessments of key fertility indicators at global, regional, and national levels from 1950 to 2021 and forecast fertility metrics to 2100 based on a reference scenario and key policy-dependent alternative scenarios. METHODS: To estimate fertility indicators from 1950 to 2021, mixed-effects regression models and spatiotemporal Gaussian process regression were used to synthesise data from 8709 country-years of vital and sample registrations, 1455 surveys and censuses, and 150 other sources, and to generate age-specific fertility rates (ASFRs) for 5-year age groups from age 10 years to 54 years. ASFRs were summed across age groups to produce estimates of total fertility rate (TFR). Livebirths were calculated by multiplying ASFR and age-specific female population, then summing across </w:t>
      </w:r>
    </w:p>
    <w:p>
      <w:pPr/>
      <w:r>
        <w:rPr>
          <w:b/>
        </w:rPr>
        <w:t>POSSIBLE 2024:</w:t>
      </w:r>
      <w:r>
        <w:t xml:space="preserve"> Decomposition of official population projections in Brazil — https://doi.org/10.20947/s0102-3098a0263</w:t>
      </w:r>
    </w:p>
    <w:p>
      <w:pPr/>
      <w:r>
        <w:rPr>
          <w:b/>
        </w:rPr>
        <w:t>Shared claim-specific concepts:</w:t>
      </w:r>
      <w:r>
        <w:t xml:space="preserve"> projections, four, fertility, decline, over; EU scope not established. This is a provisional connection, not an outcome finding.</w:t>
      </w:r>
    </w:p>
    <w:p>
      <w:pPr>
        <w:pStyle w:val="SourceNote"/>
      </w:pPr>
      <w:r>
        <w:rPr>
          <w:b/>
        </w:rPr>
        <w:t>Available abstract (not full text):</w:t>
      </w:r>
      <w:r>
        <w:t xml:space="preserve"> Brazil’s population has continually changed over time. However, the effects of each demographic component on official population projections are still unclear. In this research, we replicate the Population Projections Revision 2018 of the Brazilian Institute of Geography and Statistics using a projection matrix model and the cohort-component method by sex, age and geographic regions. Thereafter, we established four alternative scenarios to decompose the official benchmark scenario into four demographic effects (fertility, age structure, mortality, and migration) and one residual effect. The results reveal that fertility and age structure effects have been the main drivers of the population dynamics between 2010 and 2060. On the one hand, the negative effect of fertility below replacement level has been mostly offset by the still positive effect of the age structure, even across regions in the country. On the other hand, age structure effect has been decreasing over time. By 2048, the effects of age structure, mortality and migration will no longer counterbalance fertility effects, resulting in a population decline.</w:t>
      </w:r>
    </w:p>
    <w:p>
      <w:pPr/>
      <w:r>
        <w:rPr>
          <w:b/>
        </w:rPr>
        <w:t>POSSIBLE 2024:</w:t>
      </w:r>
      <w:r>
        <w:t xml:space="preserve"> Fertility and Family Dynamics in the Aftermath of the COVID‐19 Pandemic — https://doi.org/10.1111/padr.12648</w:t>
      </w:r>
    </w:p>
    <w:p>
      <w:pPr/>
      <w:r>
        <w:rPr>
          <w:b/>
        </w:rPr>
        <w:t>Shared claim-specific concepts:</w:t>
      </w:r>
      <w:r>
        <w:t xml:space="preserve"> three, four, fertility, over, pandemic, abstract; EU scope not established. This is a provisional connection, not an outcome finding.</w:t>
      </w:r>
    </w:p>
    <w:p>
      <w:pPr>
        <w:pStyle w:val="SourceNote"/>
      </w:pPr>
      <w:r>
        <w:rPr>
          <w:b/>
        </w:rPr>
        <w:t>Available abstract (not full text):</w:t>
      </w:r>
      <w:r>
        <w:t xml:space="preserve"> Abstract When the COVID‐19 pandemic began in early 2020, speculation was rife both in public and academic spheres over its possible effects on birth rates and partnership behavior. Now, over four years later, we still know surprisingly little about the effect of COVID‐19 on fertility and family dynamics. In this paper, we outline three main takeaways from the scientific literature produced on this topic in the past four years. We argue that (1) we still do not have enough data to answer basic questions about the effect of COVID‐19 on fertility and family dynamics, (2) the data we do have suggest an unexpectedly incoherent and heterogeneous response, and (3) the estimated effects we do have are suspect since shifting and theoretically unexpected prepandemic fertility behavior made identifying a strict causal effect of the pandemic problematic.</w:t>
      </w:r>
    </w:p>
    <w:p>
      <w:pPr>
        <w:pStyle w:val="Heading2"/>
      </w:pPr>
      <w:r>
        <w:t>623.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2026:</w:t>
      </w:r>
      <w:r>
        <w:t xml:space="preserve"> Regional security complexes and African foreign policies: ECOWAS and the Sahel security order, 2012–2025 — https://doi.org/10.3389/fpos.2026.1836500</w:t>
      </w:r>
    </w:p>
    <w:p>
      <w:pPr/>
      <w:r>
        <w:rPr>
          <w:b/>
        </w:rPr>
        <w:t>Shared claim-specific concepts:</w:t>
      </w:r>
      <w:r>
        <w:t xml:space="preserve"> order, security, them; EU scope not established. This is a provisional connection, not an outcome finding.</w:t>
      </w:r>
    </w:p>
    <w:p>
      <w:pPr>
        <w:pStyle w:val="SourceNote"/>
      </w:pPr>
      <w:r>
        <w:rPr>
          <w:b/>
        </w:rPr>
        <w:t>Available abstract (not full text):</w:t>
      </w:r>
      <w:r>
        <w:t xml:space="preserve"> Introduction African regional organisations exhibit uneven effectiveness in responding to regional security challenges, acting decisively in some crises while failing in others. This article examines why the Economic Community of West African States (ECOWAS) successfully imposed sanctions on unconstitutional regimes yet struggled to restore security order in the Sahel. It investigates the structural and political factors underlying this variation through the lens of Regional Security Complex Theory (RSCT). Methods The study adopts a qualitative, exploratory research design based on comparative case analysis of three critical episodes: the Mali crisis (2012–2013), counterterrorism cooperation in the Lake Chad Basin, and the ECOWAS–Alliance of Sahel States (AES) rupture (2023–2025). Using RSCT as the primary analytical framework, the study assesses patterns of regional security governance, institutional capacity, and external involvement to explain variations in ECOWAS’s effectiveness. Results The analysis identifies recurring patterns of thin regional power, shifting amity–enmity relations, and persistent external embedment that constrain ECOWAS’s ability to provide regional security. While ECOWAS has demonstrated effectiveness in enforcing political norms through sanctions, it has remained dependent on external actors for military and security capabilities. To explain this para</w:t>
      </w:r>
    </w:p>
    <w:p>
      <w:pPr/>
      <w:r>
        <w:rPr>
          <w:b/>
        </w:rPr>
        <w:t>POSSIBLE 2026:</w:t>
      </w:r>
      <w:r>
        <w:t xml:space="preserve"> Governing knowledge, shaping Europe: research security in the EU’s geopolitical turn — https://doi.org/10.1080/09662839.2026.2680646</w:t>
      </w:r>
    </w:p>
    <w:p>
      <w:pPr/>
      <w:r>
        <w:rPr>
          <w:b/>
        </w:rPr>
        <w:t>Shared claim-specific concepts:</w:t>
      </w:r>
      <w:r>
        <w:t xml:space="preserve"> developments, security, germany, process; EU scope visible. This is a provisional connection, not an outcome finding.</w:t>
      </w:r>
    </w:p>
    <w:p>
      <w:pPr>
        <w:pStyle w:val="SourceNote"/>
      </w:pPr>
      <w:r>
        <w:rPr>
          <w:b/>
        </w:rPr>
        <w:t>Available abstract (not full text):</w:t>
      </w:r>
      <w:r>
        <w:t xml:space="preserve"> This article examines how the European Union’s turn towards research and knowledge security reflects a transformation in its geopolitical identity. Moving beyond the language of “technological sovereignty”, it conceptualises this shift as the emergence of an epistemic form of sovereignty that governs the conditions of knowledge production and exchange. Drawing on Balzacq’s (Citation2010) practice-based theory of securitisation, the study introduces the notion of securitisation through governance to capture how security rationales are embedded in bureaucratic and regulatory instruments rather than enacted through exceptional measures. Empirically, the analysis traces EU and national policy developments between 2013 and 2025, examining how supranational frameworks are translated into national practice in five Member States: the Netherlands, Germany, Finland, Italy, and Hungary. The findings show that securitisation unfolds as a multi-level process of coordination, translation and adaptation, producing a distinctly European form of geopolitical pragmatism that seeks to reconcile openness with protection, values with interests, and academic freedom with strategic control. By showing how security becomes embedded within routine research governance, the article argues that the EU performs its geopolitical actorness not through coercion but through the regulation of vulnerability, gov</w:t>
      </w:r>
    </w:p>
    <w:p>
      <w:pPr/>
      <w:r>
        <w:rPr>
          <w:b/>
        </w:rPr>
        <w:t>POSSIBLE 2025:</w:t>
      </w:r>
      <w:r>
        <w:t xml:space="preserve"> Electronic commerce patterns in Europe: Cluster analysis of online shopping intensity — https://doi.org/10.5937/mkng2501005b</w:t>
      </w:r>
    </w:p>
    <w:p>
      <w:pPr/>
      <w:r>
        <w:rPr>
          <w:b/>
        </w:rPr>
        <w:t>Shared claim-specific concepts:</w:t>
      </w:r>
      <w:r>
        <w:t xml:space="preserve"> order, illuminate, technologies, basis; EU scope visible. This is a provisional connection, not an outcome finding.</w:t>
      </w:r>
    </w:p>
    <w:p>
      <w:pPr>
        <w:pStyle w:val="SourceNote"/>
      </w:pPr>
      <w:r>
        <w:rPr>
          <w:b/>
        </w:rPr>
        <w:t>Available abstract (not full text):</w:t>
      </w:r>
      <w:r>
        <w:t xml:space="preserve"> Electronic shopping represents a key segment of the digital economy, changing consumer habits and becoming a significant driver of economic development. The development of digital technologies and increased connectivity have contributed to the rapid growth of electronic commerce, but its intensity varies between countries, opening up space for analysis of the factors that shape these differences. This paper analyse electronic commerce in European countries through cluster analysis, grouping countries according to the frequency of online shopping in order to identify pat-terns and determinants of e-commerce development. The research covers countries from the territory of Europe, providing an insight into the various economic, technological and social characteristics of the region. The results showed the existence of four clusters, with significant differences in factors such as internet availability, information literacy, logistics infrastructure, educational level and differences between urban and rural areas. The identified differences illuminate regional disparities and provide a basis for understanding the dynamics of online shopping in Europe.</w:t>
      </w:r>
    </w:p>
    <w:p>
      <w:pPr/>
      <w:r>
        <w:rPr>
          <w:b/>
        </w:rPr>
        <w:t>POSSIBLE 2025:</w:t>
      </w:r>
      <w:r>
        <w:t xml:space="preserve"> The Space–Nuclear Nexus in European Security — https://doi.org/10.55163/gepv2578</w:t>
      </w:r>
    </w:p>
    <w:p>
      <w:pPr/>
      <w:r>
        <w:rPr>
          <w:b/>
        </w:rPr>
        <w:t>Shared claim-specific concepts:</w:t>
      </w:r>
      <w:r>
        <w:t xml:space="preserve"> developments, security, dependencies; EU scope visible. This is a provisional connection, not an outcome finding.</w:t>
      </w:r>
    </w:p>
    <w:p>
      <w:pPr>
        <w:pStyle w:val="SourceNote"/>
      </w:pPr>
      <w:r>
        <w:rPr>
          <w:b/>
        </w:rPr>
        <w:t>Available abstract (not full text):</w:t>
      </w:r>
      <w:r>
        <w:t xml:space="preserve"> The space–nuclear nexus is prominent in today’s European security environment, amid shifting alliance dynamics and developments in Russia’s war in Ukraine. This paper compares dependencies, priorities and strategic cultures of various actors in the space and nuclear domains, beginning with the North Atlantic Treaty Organization (NATO), the European Union (EU) and their three nuclear-armed states: France, the United Kingdom and the United States. These actors feature centrally in Russian threat perceptions and converge on their sources of threats—primarily Russia, and to a lesser degree China, Iran and North Korea—but diverge significantly on the level of threat. The paper consequently examines Russia and its bilateral cooperation on space and nuclear weapons with China, Iran and North Korea, noting convergences as well as divergences in each relationship. The paper analyses how convergences and divergences in alliances and partnerships can impact stability and shape escalation risks at the space–nuclear nexus. The paper explores stabilizing effects, as well as concerning destabilizing effects of these relationships. The latter include potential to drive escalatory and mirroring behaviours, distort threat perceptions, further blur red lines, legitimize attacks on space systems and encourage inaccurate perceptions of blocs that impede multilateral negotiations. Accordingly, the p</w:t>
      </w:r>
    </w:p>
    <w:p>
      <w:pPr/>
      <w:r>
        <w:rPr>
          <w:b/>
        </w:rPr>
        <w:t>POSSIBLE 2025:</w:t>
      </w:r>
      <w:r>
        <w:t xml:space="preserve"> Trust, Security, and Digital Readiness in B2B E-Business Adoption by MSMEs: An Integrated Framework — https://doi.org/10.52783/eel.v15i3.3727</w:t>
      </w:r>
    </w:p>
    <w:p>
      <w:pPr/>
      <w:r>
        <w:rPr>
          <w:b/>
        </w:rPr>
        <w:t>Shared claim-specific concepts:</w:t>
      </w:r>
      <w:r>
        <w:t xml:space="preserve"> adoption, security, current, literature; EU scope not established. This is a provisional connection, not an outcome finding.</w:t>
      </w:r>
    </w:p>
    <w:p>
      <w:pPr>
        <w:pStyle w:val="SourceNote"/>
      </w:pPr>
      <w:r>
        <w:rPr>
          <w:b/>
        </w:rPr>
        <w:t>Available abstract (not full text):</w:t>
      </w:r>
      <w:r>
        <w:t xml:space="preserve"> Purpose – This paper examines how trust, security, and digital readiness affect the adoption of B2B e-business by Micro, Small, and Medium Enterprises (MSMEs). It integrates these three dimensions as decisive enablers or barriers in B2B digital adoption. Design/methodology/approach – A systematic literature review (SLR) was conducted using the SPAR-4-SLR protocol (Paul et al., 2021). This protocol includes three stages: Assembling (searching and identifying relevant literature), Arranging (screening and organising the studies), and Assessing (evaluating, analysing, and synthesising findings). A total of 140 peer-reviewed studies published between 1990 and 2023 were reviewed and coded against technology adoption frameworks such as TOE, TAM, DOI, and UTAUT, with emphasis on trust, security, and readiness in B2B adoption. Findings – The review reveals that MSME adoption of B2B e-business strongly depends on their ability to establish trust in business relationships, ensure security of digital transactions, and maintain readiness through infrastructure, skills, and organisational capacity. Current research often treats these aspects separately, leading to fragmented insights Research limitations/implications – Future studies should integrate trust, security, and readiness into process-oriented frameworks that capture the dynamics of MSME adoption in B2B contexts. Practical implicat</w:t>
      </w:r>
    </w:p>
    <w:p>
      <w:pPr/>
      <w:r>
        <w:rPr>
          <w:b/>
        </w:rPr>
        <w:t>POSSIBLE 2025:</w:t>
      </w:r>
      <w:r>
        <w:t xml:space="preserve"> Adoption Agrafa, Parts ‘Unwritten’ About Cold War Adoptions from Greece: Adoption Is a Life in a Sentence, Adoption Is a Life Sentence — https://doi.org/10.3390/genealogy9030081</w:t>
      </w:r>
    </w:p>
    <w:p>
      <w:pPr/>
      <w:r>
        <w:rPr>
          <w:b/>
        </w:rPr>
        <w:t>Shared claim-specific concepts:</w:t>
      </w:r>
      <w:r>
        <w:t xml:space="preserve"> adoption, current, process; EU scope visible. This is a provisional connection, not an outcome finding.</w:t>
      </w:r>
    </w:p>
    <w:p>
      <w:pPr>
        <w:pStyle w:val="SourceNote"/>
      </w:pPr>
      <w:r>
        <w:rPr>
          <w:b/>
        </w:rPr>
        <w:t>Available abstract (not full text):</w:t>
      </w:r>
      <w:r>
        <w:t xml:space="preserve"> This essay focuses on the Greek adoptees’ search for identity and on the agrafa, or the “unwritten” territories, into which this search penetrates. The Greek adoptees represent an underresearched case study of the postwar intercountry adoption movement (1950–1975). Creating a narrative of the self is key to the adoptees’ identity formation, but their personal narrative is often undermined by stereotypes and denunciations that stunt its development. The research presented here has been guided by questions that interrogate the verdict-making or “sentencing” associated with the adoptees’ identity-shaping process: their sentencing to subjugation by stock opinions, the denouncing of their alternative viewpoints about “rescue” adoptions, and the verdict of their entrapment in feel-good master narratives. This essay also explores broader research questions pertaining to modes of interrogating “historic” adoptions from Greece. It is concerned with the why rather than with the how or the who of the oldest, post-WWII intercountry adoption flows. In what forums and genres (narrative, visual, journalistic, scholarly) are Greek adoption facts and legacies articulated, mediated, and/or materialized? How do memories, both positive and negative, underpin current projects of self-identification and transformation? What are the adoptees’ preferred outlets to speak about embodied experiences, and</w:t>
      </w:r>
    </w:p>
    <w:p>
      <w:pPr/>
      <w:r>
        <w:rPr>
          <w:b/>
        </w:rPr>
        <w:t>POSSIBLE 2024:</w:t>
      </w:r>
      <w:r>
        <w:t xml:space="preserve"> Retracted: Role of innovative behaviour as a missing linchpin in artificial intelligence adoption to enhancing job security and job performance — https://doi.org/10.1002/sres.3076</w:t>
      </w:r>
    </w:p>
    <w:p>
      <w:pPr/>
      <w:r>
        <w:rPr>
          <w:b/>
        </w:rPr>
        <w:t>Shared claim-specific concepts:</w:t>
      </w:r>
      <w:r>
        <w:t xml:space="preserve"> adoption, security, technologies, present, sociotechnical; EU scope not established. This is a provisional connection, not an outcome finding.</w:t>
      </w:r>
    </w:p>
    <w:p>
      <w:pPr>
        <w:pStyle w:val="SourceNote"/>
      </w:pPr>
      <w:r>
        <w:rPr>
          <w:b/>
        </w:rPr>
        <w:t>Available abstract (not full text):</w:t>
      </w:r>
      <w:r>
        <w:t xml:space="preserve"> Abstract Building upon the sociotechnical system theory, the present study contributes by examining the relationship between artificial intelligence (AI) adoption, employees' innovative behaviour on employee performance and job security (JS). The primary data is collected from 340 employees from firms located in the industrial hub of a developing economy using a simple random technique, and data is analysed using Smart‐PLS 3 from the manufacturing sector. The study evidences that employees' adoption and utilization of AI technologies positively influence their innovative behaviour, job performance (JP), and security. Moreover, the study finds a mediating role of innovative behaviour to connect the dots. Organizations can prioritize using AI‐driven training programmes so employees can use AI tools efficiently. Study findings also encourage employees to engage in innovative work behaviours like investigating novel concepts and experimenting with AI technologies to improve JP. This study invalidates that AI will replace employees at the workplace, as we can safely conclude that AI adoption enhances JP and JS.</w:t>
      </w:r>
    </w:p>
    <w:p>
      <w:pPr/>
      <w:r>
        <w:rPr>
          <w:b/>
        </w:rPr>
        <w:t>POSSIBLE 2023:</w:t>
      </w:r>
      <w:r>
        <w:t xml:space="preserve"> Unraveling the European Agricultural Policy Sustainable Development Trajectory — https://doi.org/10.3390/land12091749</w:t>
      </w:r>
    </w:p>
    <w:p>
      <w:pPr/>
      <w:r>
        <w:rPr>
          <w:b/>
        </w:rPr>
        <w:t>Shared claim-specific concepts:</w:t>
      </w:r>
      <w:r>
        <w:t xml:space="preserve"> developments, present, two, current, process; EU scope visible. This is a provisional connection, not an outcome finding.</w:t>
      </w:r>
    </w:p>
    <w:p>
      <w:pPr>
        <w:pStyle w:val="SourceNote"/>
      </w:pPr>
      <w:r>
        <w:rPr>
          <w:b/>
        </w:rPr>
        <w:t>Available abstract (not full text):</w:t>
      </w:r>
      <w:r>
        <w:t xml:space="preserve"> Amidst growing concerns about the impact of agriculture on the environment, the Common Agricultural Policy (CAP) has been overhauled to prioritize sustainable rural development in European agriculture. Based on this line of thought, the present contribution delves into the details of the CAP’s shift, focusing on the main environmental concerns faced in the policy-making framework. Grounded in a political science perspective, the current study looks at how environmental and climate change concerns were gradually elevated inside the CAP’s policy-making framework and how they helped create the “green architecture” for European agriculture. Examining the process of policy change under the lens of historical institutionalism and neo-institutionalism within the multilevel governance framework of the European Union (EU), the key role played by the gradual introduction of measures aimed at promoting measurable environmental criteria and climatic targets is highlighted. For instance, measures aimed at preserving carbon-rich soils and enhancing water resources can have positive impacts on the environment. However, these measures were also recognized to increase the cost of production for the European farmers, who faced serious difficulties in adjusting to the new framework. Within this context, this research delves into the roles played by two additional fundamental entities: the consume</w:t>
      </w:r>
    </w:p>
    <w:p>
      <w:pPr/>
      <w:r>
        <w:rPr>
          <w:b/>
        </w:rPr>
        <w:t>POSSIBLE 2022:</w:t>
      </w:r>
      <w:r>
        <w:t xml:space="preserve"> Genomes of leafy and leafless Platanthera orchids illuminate the evolution of mycoheterotrophy — https://doi.org/10.1038/s41477-022-01127-9</w:t>
      </w:r>
    </w:p>
    <w:p>
      <w:pPr/>
      <w:r>
        <w:rPr>
          <w:b/>
        </w:rPr>
        <w:t>Shared claim-specific concepts:</w:t>
      </w:r>
      <w:r>
        <w:t xml:space="preserve"> illuminate, present, two; EU scope not established. This is a provisional connection, not an outcome finding.</w:t>
      </w:r>
    </w:p>
    <w:p>
      <w:pPr>
        <w:pStyle w:val="SourceNote"/>
      </w:pPr>
      <w:r>
        <w:rPr>
          <w:b/>
        </w:rPr>
        <w:t>Available abstract (not full text):</w:t>
      </w:r>
      <w:r>
        <w:t xml:space="preserve"> To improve our understanding of the origin and evolution of mycoheterotrophic plants, we here present the chromosome-scale genome assemblies of two sibling orchid species: partially mycoheterotrophic Platanthera zijinensis and holomycoheterotrophic Platanthera guangdongensis. Comparative analysis shows that mycoheterotrophy is associated with increased substitution rates and gene loss, and the deletion of most photoreceptor genes and auxin transporter genes might be linked to the unique phenotypes of fully mycoheterotrophic orchids. Conversely, trehalase genes that catalyse the conversion of trehalose into glucose have expanded in most sequenced orchids, in line with the fact that the germination of orchid non-endosperm seeds needs carbohydrates from fungi during the protocorm stage. We further show that the mature plant of P. guangdongensis, different from photosynthetic orchids, keeps expressing trehalase genes to hijack trehalose from fungi. Therefore, we propose that mycoheterotrophy in mature orchids is a continuation of the protocorm stage by sustaining the expression of trehalase genes. Our results shed light on the molecular mechanism underlying initial, partial and full mycoheterotrophy.</w:t>
      </w:r>
    </w:p>
    <w:p>
      <w:pPr/>
      <w:r>
        <w:rPr>
          <w:b/>
        </w:rPr>
        <w:t>POSSIBLE 2022:</w:t>
      </w:r>
      <w:r>
        <w:t xml:space="preserve"> The Concept of Security in International Law — https://doi.org/10.55682/wpp/esf70cm6aa</w:t>
      </w:r>
    </w:p>
    <w:p>
      <w:pPr/>
      <w:r>
        <w:rPr>
          <w:b/>
        </w:rPr>
        <w:t>Shared claim-specific concepts:</w:t>
      </w:r>
      <w:r>
        <w:t xml:space="preserve"> order, security; EU scope not established. This is a provisional connection, not an outcome finding.</w:t>
      </w:r>
    </w:p>
    <w:p>
      <w:pPr>
        <w:pStyle w:val="SourceNote"/>
      </w:pPr>
      <w:r>
        <w:rPr>
          <w:b/>
        </w:rPr>
        <w:t>Available abstract (not full text):</w:t>
      </w:r>
      <w:r>
        <w:t xml:space="preserve"> Human beings are irrational; this is the premise upon which I approach the subject of international law and security. Modern social sciences have embraced the assumption of human rationalism as the predominant philosophical foundation for intellectual and social advancement. However, when faced with a threat to their own security, human societies are driven by fear and compelled to react under considerable uncertainty. The role and limit of international law as a means of regulating irrational behavior driven by fears in international relations has intrigued me for a long time. Compiled in this book are the outcomes of my research, reflection, and discursive thoughts developed for over a decade. My preliminary efforts to explore the interaction of international law with the discourse of security resulted in the following publications: • Hitoshi Nasu, “The Expanded Conception of Security and International Law: Challenges to the UN Collective Security System,” Amsterdam Law Forum 3, no. 3 (2011) 15–33. • Hitoshi Nasu, “Law and Policy for Antarctic Security: An Analytical Framework,” in Antarctic Security in the Twenty-First Century: Legal and Policy Perspectives, ed. Alan D. Hemmings, Donald R. Rothwell, and Karen N. Scott (London: Routledge, 2012) 18–32. • Hitoshi Nasu, “The Place of Human Security in Collective Security,” Journal of Conflict &amp; Security Law 18 (2013) 95–129. • H</w:t>
      </w:r>
    </w:p>
    <w:p>
      <w:pPr>
        <w:pStyle w:val="Heading2"/>
      </w:pPr>
      <w:r>
        <w:t>624.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possible, achieve, methods, developed,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2025:</w:t>
      </w:r>
      <w:r>
        <w:t xml:space="preserve"> Regional Technology Foresight for Material Technologies — https://doi.org/10.34190/eckm.26.1.3851</w:t>
      </w:r>
    </w:p>
    <w:p>
      <w:pPr/>
      <w:r>
        <w:rPr>
          <w:b/>
        </w:rPr>
        <w:t>Shared claim-specific concepts:</w:t>
      </w:r>
      <w:r>
        <w:t xml:space="preserve"> foresight, technology, application, long-term, trends;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THEORETICAL AND METHODOLOGICAL FOUNDATIONS OF THE USE OF MARKET FORESIGHT TECHNOLOGY IN THE IT SPHERE — https://doi.org/10.20998/2313-8890.2024.11.04</w:t>
      </w:r>
    </w:p>
    <w:p>
      <w:pPr/>
      <w:r>
        <w:rPr>
          <w:b/>
        </w:rPr>
        <w:t>Shared claim-specific concepts:</w:t>
      </w:r>
      <w:r>
        <w:t xml:space="preserve"> use, foresight, technology, possible, strategies, methods; EU scope not established. This is a provisional connection, not an outcome finding.</w:t>
      </w:r>
    </w:p>
    <w:p>
      <w:pPr>
        <w:pStyle w:val="SourceNote"/>
      </w:pPr>
      <w:r>
        <w:rPr>
          <w:b/>
        </w:rPr>
        <w:t>Available abstract (not full text):</w:t>
      </w:r>
      <w:r>
        <w:t xml:space="preserve"> Abstract. The article considers methodological approaches to the transformation of foresight technologies into strategic marketing. It is noted that foresight methods have recently been actively used to predict future trends and develop strategies in conditions of uncertainty. Strategic marketing at the same time performs its tasks, which are at the junction of future trends. Marketing strategy is a medium- and long-term solution that covers the elements of the marketing complex: product, price, place and promotion. In conditions of rapid economic changes, this is not enough for enterprises to maintain their competitiveness. Additional information is needed regarding the technological forecast for the medium and long term. Today, foresight methods solve this problem to a certain extent, but a comprehensive methodology of a strategic approach that helps manufacturing enterprises to stay ahead of technological trends, form new markets and adapt products to the needs of the future has not been created. To solve this problem, the article proposes a new brand - "market foresight". This brand is built on a proactive approach to identifying future trends and changes in the market and responding to them. Its essence is to use retrospective forecast points with the vision of experts on the dynamics and directions of development of technologies of interest to us, for a period of up to 30</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possible, long-term, national;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possible,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Need for Synergy in Foresight Research for Healthcare and Medical Sciences — https://doi.org/10.36401/iddb-25-1</w:t>
      </w:r>
    </w:p>
    <w:p>
      <w:pPr/>
      <w:r>
        <w:rPr>
          <w:b/>
        </w:rPr>
        <w:t>Shared claim-specific concepts:</w:t>
      </w:r>
      <w:r>
        <w:t xml:space="preserve"> use, foresight, technology, possible, image, strategies;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application, national;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Opportunities for supporting humanitarians: Technology foresight concepts — https://doi.org/10.7249/rra3192-4</w:t>
      </w:r>
    </w:p>
    <w:p>
      <w:pPr/>
      <w:r>
        <w:rPr>
          <w:b/>
        </w:rPr>
        <w:t>Shared claim-specific concepts:</w:t>
      </w:r>
      <w:r>
        <w:t xml:space="preserve"> use, foresight, technology, developed, areas; EU scope visible. This is a provisional connection, not an outcome finding.</w:t>
      </w:r>
    </w:p>
    <w:p>
      <w:pPr>
        <w:pStyle w:val="SourceNote"/>
      </w:pPr>
      <w:r>
        <w:rPr>
          <w:b/>
        </w:rPr>
        <w:t>Available abstract (not full text):</w:t>
      </w:r>
      <w:r>
        <w:t xml:space="preserve"> RAND Europe, with Athena Infonomics and glass.ai, conducted a study that characterised the current landscape of technology use in the sector and explored potential development pathways out to 2030, as well as associated risks and opportunities. The study developed five deep dives of promising technology areas, three foresight concepts and a four-step guidance framework to ensure the suitable deployment of technologies in humanitarian contexts.</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use, foresight, technology, possible, strategies, methods;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2024:</w:t>
      </w:r>
      <w:r>
        <w:t xml:space="preserve"> Emerging Biotechnologies in Europe: Foresight for Policy — https://doi.org/10.2760/4814109</w:t>
      </w:r>
    </w:p>
    <w:p>
      <w:pPr/>
      <w:r>
        <w:rPr>
          <w:b/>
        </w:rPr>
        <w:t>Shared claim-specific concepts:</w:t>
      </w:r>
      <w:r>
        <w:t xml:space="preserve"> use, foresight, technology, create, strategies;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Fifty Years to Think Your Futures — https://doi.org/10.1007/978-3-031-66100-6_4</w:t>
      </w:r>
    </w:p>
    <w:p>
      <w:pPr/>
      <w:r>
        <w:rPr>
          <w:b/>
        </w:rPr>
        <w:t>Shared claim-specific concepts:</w:t>
      </w:r>
      <w:r>
        <w:t xml:space="preserve"> use, foresight, technology, possible, methods, developed;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Understanding the vicious cycle of myopic foresight and constrained technology deployment in transforming the European energy system — https://doi.org/10.1016/j.isci.2024.111369</w:t>
      </w:r>
    </w:p>
    <w:p>
      <w:pPr/>
      <w:r>
        <w:rPr>
          <w:b/>
        </w:rPr>
        <w:t>Shared claim-specific concepts:</w:t>
      </w:r>
      <w:r>
        <w:t xml:space="preserve"> foresight, technology, long-term; EU scope visible. This is a provisional connection, not an outcome finding.</w:t>
      </w:r>
    </w:p>
    <w:p>
      <w:pPr>
        <w:pStyle w:val="SourceNote"/>
      </w:pPr>
      <w:r>
        <w:rPr>
          <w:b/>
        </w:rPr>
        <w:t>Available abstract (not full text):</w:t>
      </w:r>
      <w:r>
        <w:t xml:space="preserve"> Short-term planning of myopic decision-makers jeopardizes the long-term energy transition, especially since constraints in deploying clean energy technologies further inhibit their rapid scale-up. Here, we show that the European energy transition followed myopic decision-making in the past and investigate how policy-based tools can secure the energy transition against myopic planning. Short-term decision-making in the European energy transition may fail to comply with climate goals and lead to substantial over-capacities. Carbon prices can only effectively internalize long-term climate goals if they account for constrained technology deployment, increasing to around 400 EUR/tCO 2 in 2050. Idealized carbon prices, conversely, fail to incentivize the decarbonization of those sectors that stand at the beginning of their transition, such as renewable heating or carbon sequestration. Our exploration of myopic decision-making contributes to the understanding of the inhibiting barriers and bridges the gap between short-term decision-making and the long-term energy transition.</w:t>
      </w:r>
    </w:p>
    <w:p>
      <w:pPr>
        <w:pStyle w:val="Heading2"/>
      </w:pPr>
      <w:r>
        <w:t>625.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green;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r>
        <w:rPr>
          <w:b/>
        </w:rPr>
        <w:t>POSSIBLE 2025:</w:t>
      </w:r>
      <w:r>
        <w:t xml:space="preserve"> The Pan-European Personal Pension Product – Managers’ Challenges and Savers’ Expectations — https://doi.org/10.18778/1508-2008.28.23</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Pan-European Personal Pension Product (PEPP) is a strategic initiative of the European Union (EU) aimed at creating a harmonized, portable pension savings framework that addresses the challenges of population aging, increased labor mobility, and the widening pension gap across Member States. This article investigates the implementation and performance of the PEPP in four EU countries – Poland, Slovakia, Croatia, and the Czech Republic – through a mixed-methods research design. The study combines a legal and comparative analysis of national pension systems with qualitative interviews conducted with PEPP fund managers and quantitative surveys of PEPP savers. The findings reveal significant disparities in regulatory approaches, tax treatment, and supervisory frameworks between countries, which affect both the attractiveness and functionality of PEPP. Despite the shared design principles of transparency, safety, and cost-efficiency, savers’ expectations differ notably across countries – especially in relation to customer service, information delivery, and minimum return expectations – while also being shaped by sociodemographic factors. The qualitative research highlights that fund managers face challenges such as regulatory fragmentation, high administrative burdens, and competition from national products with more favorable tax treatment or employer-based incentives. At the s</w:t>
      </w:r>
    </w:p>
    <w:p>
      <w:pPr/>
      <w:r>
        <w:rPr>
          <w:b/>
        </w:rPr>
        <w:t>POSSIBLE 2025:</w:t>
      </w:r>
      <w:r>
        <w:t xml:space="preserve"> The LUX prize and the challenges of European film competitiveness — https://doi.org/10.1080/17411548.2025.2572121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European Union seeks to promote the competitiveness of the European film industry through funding programmes and film initiatives, including the LUX Prize. This article uses a quantitative methodology to analyse how LUX has succeeded in promoting the 17 winning films and how the competitiveness of the initiative has evolved since its launch in 2007. The main promotion indicators – admissions, revenues, distribution, availability on video-on-demand platforms, other film awards received, media recognition, and film ratings – were analysed using a twofold approach. The internal comparison looked at LUX winners before and after the change in 2020, when a wider audience was allowed to participate in selecting the winners. The external comparison compared the LUX winners with the European winners of the Palme d’Or and the Oscar for Best International Feature Film. The quantitative analysis shows that most promotion indicators are significantly, yet unpredictably, correlated with each other. These results underscore the multidimensionality and complexity of the notion of film competitiveness. The comparison shows that the change to an audience award has not significantly impacted the competitiveness of LUX winners. Despite the EU’s strengthened promotion intentions, LUX winners remain uncompetitive in the global and European film scenes.</w:t>
      </w:r>
    </w:p>
    <w:p>
      <w:pPr/>
      <w:r>
        <w:rPr>
          <w:b/>
        </w:rPr>
        <w:t>POSSIBLE 2025:</w:t>
      </w:r>
      <w:r>
        <w:t xml:space="preserve"> Human rights in the European Union in the present — https://doi.org/10.24144/2788-6018.2025.03.3.37</w:t>
      </w:r>
    </w:p>
    <w:p>
      <w:pPr/>
      <w:r>
        <w:rPr>
          <w:b/>
        </w:rPr>
        <w:t>Shared claim-specific concepts:</w:t>
      </w:r>
      <w:r>
        <w:t xml:space="preserve"> article, present, challenges, analyzed; EU scope visible. This is a provisional connection, not an outcome finding.</w:t>
      </w:r>
    </w:p>
    <w:p>
      <w:pPr>
        <w:pStyle w:val="SourceNote"/>
      </w:pPr>
      <w:r>
        <w:rPr>
          <w:b/>
        </w:rPr>
        <w:t>Available abstract (not full text):</w:t>
      </w:r>
      <w:r>
        <w:t xml:space="preserve"> The article examines the state of realization and protection of human rights in the European Union in the face of modern global challenges. The focus of the EU’s basic legal acts, in particular the Charter of Fundamental Rights of the European Union. The role of EU institutions in ensuring human rights, in particular the European Parliament, the European Commission and the Court of Justice, is considered. The impact of migration crisis, digitalization and armed conflicts on citizens’ rights and freedoms is analyzed. Issues related to discrimination, restriction of freedom of speech and interference with privacy are identified. Emphasis on the importance of cooperation between the EU and the European Court of Human Rights. Particular attention is paid to the mechanisms of monitoring and response to human rights violations in Member States. The article also discusses gender equality, minority rights and vulnerable groups. The conclusion was made on the need to strengthen the EU human rights policy in the context of the latest challenges. The article also analyzes the importance of balancing between security and human rights, especially in terrorist threats and emergencies. Issues in the context of the fight against terrorism, in particular in the aspects of migration control and access to personal data, are considered. The importance of the right to information and freedom of exp</w:t>
      </w:r>
    </w:p>
    <w:p>
      <w:pPr/>
      <w:r>
        <w:rPr>
          <w:b/>
        </w:rPr>
        <w:t>POSSIBLE 2025:</w:t>
      </w:r>
      <w:r>
        <w:t xml:space="preserve"> Internationalisation of higher education: its conceptual evolution as a process, intended aims, and unintended effects in the global and European context — https://doi.org/10.5117/ejep2025.3.001.dewi</w:t>
      </w:r>
    </w:p>
    <w:p>
      <w:pPr/>
      <w:r>
        <w:rPr>
          <w:b/>
        </w:rPr>
        <w:t>Shared claim-specific concepts:</w:t>
      </w:r>
      <w:r>
        <w:t xml:space="preserve"> article, present, challenges; EU scope visible. This is a provisional connection, not an outcome finding.</w:t>
      </w:r>
    </w:p>
    <w:p>
      <w:pPr>
        <w:pStyle w:val="SourceNote"/>
      </w:pPr>
      <w:r>
        <w:rPr>
          <w:b/>
        </w:rPr>
        <w:t>Available abstract (not full text):</w:t>
      </w:r>
      <w:r>
        <w:t xml:space="preserve"> Higher education has long been viewed as inherently international, yet the concept of being international is interpreted in various ways. It is shaped by institutional, local, and regional contexts, as well as the diverse intentions of stakeholders both within and outside the sector. As a strategic approach, internationalisation is a relatively recent phenomenon, emerging over the past three to four decades and influenced by political, social, economic, and educational factors. However, most internationalisation actions and policies remain ad hoc, fragmented, and marginal, often misaligned with the core mission of higher education institutions and national higher education policies (de Wit, 2024). This article explores the evolution of the concept of internationalisation from the 1980s to the present, examining its development and varying interpretations. It also analyses the dimensions and actions associated with the process, identifying which are most dominant. Additionally, it reviews key achievements of recent decades and assesses the primary challenges that hinder further progress. The discussion is framed within the context of a shifting global landscape, where political support for internationalism in higher education and research has waned compared to the 1980s and 1990s. The article highlights the European context, where internationalisation efforts have been driven by</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Energy Policy in the European Union within the European Green Deal Strategy — https://doi.org/10.18778/1508-2008.27.13</w:t>
      </w:r>
    </w:p>
    <w:p>
      <w:pPr/>
      <w:r>
        <w:rPr>
          <w:b/>
        </w:rPr>
        <w:t>Shared claim-specific concepts:</w:t>
      </w:r>
      <w:r>
        <w:t xml:space="preserve"> article, main, green, analyzed;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pStyle w:val="Heading2"/>
      </w:pPr>
      <w:r>
        <w:t>626.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2026:</w:t>
      </w:r>
      <w:r>
        <w:t xml:space="preserve"> Balancing strategies of small states: The case of the Republic of Serbia and the issue of Kosovo and Metohija — https://doi.org/10.5937/bastina36-66586</w:t>
      </w:r>
    </w:p>
    <w:p>
      <w:pPr/>
      <w:r>
        <w:rPr>
          <w:b/>
        </w:rPr>
        <w:t>Shared claim-specific concepts:</w:t>
      </w:r>
      <w:r>
        <w:t xml:space="preserve"> strategy, republic, analyzes, energy; EU scope visible. This is a provisional connection, not an outcome finding.</w:t>
      </w:r>
    </w:p>
    <w:p>
      <w:pPr>
        <w:pStyle w:val="SourceNote"/>
      </w:pPr>
      <w:r>
        <w:rPr>
          <w:b/>
        </w:rPr>
        <w:t>Available abstract (not full text):</w:t>
      </w:r>
      <w:r>
        <w:t xml:space="preserve"> This paper analyzes Serbia’s foreign policy as a strategy of balancing between the European Union (EU) and the Russian Federation in the context of the Kosovo and Metohija issue. Treating Kosovo and Metohija as a permanent structural constraint on state strategy, the paper examines political and economic developments since 2000 and their influence on Serbia’s foreign policy positioning. The focus is placed on the economic dimension of balancing, specifically Serbia’s dependence on the EU as its main trade and investment partner, while simultaneously emphasizing partial, particularly critical energy dependencies on the Russian Federation. The analysis indicates that balancing does not imply merely symmetrical distributions of influence, but rather a combination of institutional reliance in the Kosovo issue and economic dependencies concentrated in the energy sector, which increases the costs associated with distancing from Moscow. The aim of the paper is to present the strategy of balancing as a rational, yet long-term unstable response of a small state to structural constraints arising from the Kosovo and Metohija issue, as well as from the unfinished process of European integration in the region. The aim of the paper is to present the strategy of balancing as a rational, yet long-term unstable response of a small state to structural constraints arising from the Kosovo and Meto</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2025:</w:t>
      </w:r>
      <w:r>
        <w:t xml:space="preserve"> Indo-Pacific strategy and Europe: From politics through defence and economy to cultural and AI diplomacy. The example of the Czech Republic — https://doi.org/10.5937/napredak6-62688</w:t>
      </w:r>
    </w:p>
    <w:p>
      <w:pPr/>
      <w:r>
        <w:rPr>
          <w:b/>
        </w:rPr>
        <w:t>Shared claim-specific concepts:</w:t>
      </w:r>
      <w:r>
        <w:t xml:space="preserve"> strategy, republic, adopted; EU scope visible. This is a provisional connection, not an outcome finding.</w:t>
      </w:r>
    </w:p>
    <w:p>
      <w:pPr>
        <w:pStyle w:val="SourceNote"/>
      </w:pPr>
      <w:r>
        <w:rPr>
          <w:b/>
        </w:rPr>
        <w:t>Available abstract (not full text):</w:t>
      </w:r>
      <w:r>
        <w:t xml:space="preserve"> In the past decades, the increase in the importance of the Indo-Pacific region, which has become not only a new geopolitical and geoeconomic, but also a geotechnical centre, led to a series of activities both of individual countries and the European Union and its member-states, resulting in a set of strategies for the Indo-Pacific during the second decade of the 21st century. The same process continued in the current, third decade. Due to their significance, the enacted strategies soon became the subject of study, whereas lately the focus has been placed exactly on analyzing the activities of individual countries. On this occasion, we have dedicated attention to the research of the activities of the Czech Republic, which adopted its strategy in 2022, immediately after the adoption of the European Union's Strategy for the Indo-Pacific (2021) and subsequently, this region also found its place in the official politics of this country, namely in the Foreign Policy Concept (2025), as well in the National Cybersecurity Strategy (2025).</w:t>
      </w:r>
    </w:p>
    <w:p>
      <w:pPr/>
      <w:r>
        <w:rPr>
          <w:b/>
        </w:rPr>
        <w:t>POSSIBLE 2025:</w:t>
      </w:r>
      <w:r>
        <w:t xml:space="preserve"> New Regulation in the Field of Strategic Development of the Energy Sector in the Republic of Serbia — https://doi.org/10.46793/eee25-3.14p</w:t>
      </w:r>
    </w:p>
    <w:p>
      <w:pPr/>
      <w:r>
        <w:rPr>
          <w:b/>
        </w:rPr>
        <w:t>Shared claim-specific concepts:</w:t>
      </w:r>
      <w:r>
        <w:t xml:space="preserve"> beginning, strategy, republic, until, adopted, energy; EU scope visible. This is a provisional connection, not an outcome finding.</w:t>
      </w:r>
    </w:p>
    <w:p>
      <w:pPr>
        <w:pStyle w:val="SourceNote"/>
      </w:pPr>
      <w:r>
        <w:rPr>
          <w:b/>
        </w:rPr>
        <w:t>Available abstract (not full text):</w:t>
      </w:r>
      <w:r>
        <w:t xml:space="preserve"> In the Republic of Serbia, the year 2024 marked the ambitious beginning of a new phase in the development of the energy sector. At the end of July 2024, the Republic of Serbia adopted the Integrated National Energy and Climate Plan (INECP) for the period up to 2030, with projections until 2050. By adopting the INECP, Serbia obtained an important strategic document aligned with the European Union's vision for the decarbonization of the energy sector. This document represents Serbia’s roadmap for energy transition and will contribute to the goal of integrating its electricity market with the EU's single market. In line with the requirements set out in the INECP, Serbia plans to make significant investments in renewable energy sources by 2030 -around 3.5 GW of new solar and wind power plants (to be connected to the electricity grid) - aimed at increasing supply security for consumers, boosting the share of clean energy sources, and enhancing environmental protection. Another important strategic document in the field of energy sector development is the Energy Development Strategy of the Republic of Serbia until 2040, with projections until 2050, which was adopted in November 2024. In addition, amendments and supplements to the Energy Law were adopted in December 2024, with the goal of fulfilling obligations under the Energy Community Treaty. In this paper, the authors will provide </w:t>
      </w:r>
    </w:p>
    <w:p>
      <w:pPr/>
      <w:r>
        <w:rPr>
          <w:b/>
        </w:rPr>
        <w:t>POSSIBLE 2024:</w:t>
      </w:r>
      <w:r>
        <w:t xml:space="preserve"> REFORMING THE SCIENTIFIC SPHERE IN THE REPUBLIC OF CROATIA AT THE END OF THE 20TH – THE BEGINNING OF THE 21ST CENTURY: ACHIEVEMENTS AND SHORTCOMINGS — https://doi.org/10.24919/2308-4863/78-1-2</w:t>
      </w:r>
    </w:p>
    <w:p>
      <w:pPr/>
      <w:r>
        <w:rPr>
          <w:b/>
        </w:rPr>
        <w:t>Shared claim-specific concepts:</w:t>
      </w:r>
      <w:r>
        <w:t xml:space="preserve"> beginning, republic, croatia; EU scope visible. This is a provisional connection, not an outcome finding.</w:t>
      </w:r>
    </w:p>
    <w:p>
      <w:pPr>
        <w:pStyle w:val="SourceNote"/>
      </w:pPr>
      <w:r>
        <w:rPr>
          <w:b/>
        </w:rPr>
        <w:t>Available abstract (not full text):</w:t>
      </w:r>
      <w:r>
        <w:t xml:space="preserve"> The purpose of the article is to analyze the scientific policy of the Republic of Croatia during 1991-2023, to determine its achievements and shortcomings.The research methodology is based on the principles of historicism, authorial objectivity, multifactoriality, historical-genetic, historical-typological and historic-systemic methods.A periodization of the scientific policy of independent Croatia is proposed, which consists of three periods: the first (1991)(1992)(1993)(1994)(1995)(1996)(1997)(1998)(1999)(2000)(2001)(2002)(2003), -preservation of the post-Yugoslav principles of the functioning of the scientific sphere, preservation of the relevant infrastructure and approaches to financing education; the second (2003)(2004)(2005)(2006)(2007)(2008)(2009)(2010)(2011)(2012) -the first attempts at reforming the scientific sphere, the establishment of National Science Council, National Council of Higher Education and Agency for Science and Higher Education, an increase in state funding of scientific research, an increase in the number of scientific and pedagogical workers in connection with the opening of new universities, orientation towards European scientific institutions and foundations; the third (from 2013)carrying out the reform of the scientific sphere, aimed at bringing scientific research and innovations as closely as possible to the needs of the economy and civil societ</w:t>
      </w:r>
    </w:p>
    <w:p>
      <w:pPr/>
      <w:r>
        <w:rPr>
          <w:b/>
        </w:rPr>
        <w:t>POSSIBLE 2024:</w:t>
      </w:r>
      <w:r>
        <w:t xml:space="preserve"> THE REPUBLIC OF CYPRUS AND INTERNATIONAL LAW: ANALYSIS OF THE FOREIGN POLICY STRATEGY OF A SMALL STATE — https://doi.org/10.32842/2078-3736/2024.4.47</w:t>
      </w:r>
    </w:p>
    <w:p>
      <w:pPr/>
      <w:r>
        <w:rPr>
          <w:b/>
        </w:rPr>
        <w:t>Shared claim-specific concepts:</w:t>
      </w:r>
      <w:r>
        <w:t xml:space="preserve"> beginning, strategy, republic, two; EU scope visible. This is a provisional connection, not an outcome finding.</w:t>
      </w:r>
    </w:p>
    <w:p>
      <w:pPr>
        <w:pStyle w:val="SourceNote"/>
      </w:pPr>
      <w:r>
        <w:rPr>
          <w:b/>
        </w:rPr>
        <w:t>Available abstract (not full text):</w:t>
      </w:r>
      <w:r>
        <w:t xml:space="preserve"> A characteristic feature of the evolution of international relations and international law at the end of the 20th and the beginning of the 21st centuries is the growing importance of small states in the international dimension.The decline in the ability of big powers to effectively resolve external conflicts, on the one hand, and, on the other, the ability of small states to look for new ideas of international cooperation, create the preconditions for a further increase in the role of small states in international relations.The Republic of Cyprus is a vivid example of a small state, although at the same time it is the third largest island in the Mediterranean.The experience of this small state in the implementation of foreign policy, as well as European integration, is an atypical precedent from the point of view of the norms of international law, as well as an important example of successful construction of foreign policy and active participation in international relations, despite acute internal crises.The Republic of Cyprus, despite the unresolved territorial problems, is actively developing bilateral and multilateral cooperation with other subjects of international law.The geostrategic position of the island led to the Cyprus problem.The Republic of Cyprus is divided between two ethnic groups -Greeks and Turks.The Cyprus conflict is a frozen issue for Greece and Turkey.The </w:t>
      </w:r>
    </w:p>
    <w:p>
      <w:pPr/>
      <w:r>
        <w:rPr>
          <w:b/>
        </w:rPr>
        <w:t>POSSIBLE 2023:</w:t>
      </w:r>
      <w:r>
        <w:t xml:space="preserve"> Justification of military neutrality of the Republic of Serbia at a time of erosion of neutrality in Europe — https://doi.org/10.5937/spm82-46850</w:t>
      </w:r>
    </w:p>
    <w:p>
      <w:pPr/>
      <w:r>
        <w:rPr>
          <w:b/>
        </w:rPr>
        <w:t>Shared claim-specific concepts:</w:t>
      </w:r>
      <w:r>
        <w:t xml:space="preserve"> beginning, strategy, republic, two; EU scope visible. This is a provisional connection, not an outcome finding.</w:t>
      </w:r>
    </w:p>
    <w:p>
      <w:pPr>
        <w:pStyle w:val="SourceNote"/>
      </w:pPr>
      <w:r>
        <w:rPr>
          <w:b/>
        </w:rPr>
        <w:t>Available abstract (not full text):</w:t>
      </w:r>
      <w:r>
        <w:t xml:space="preserve"> This paper aims to examine the justifiableness of the Republic of Serbia's politics of military neutrality after the beginning of the Russo-Ukrainian conflict, i.e., in an era of extreme tensions between Western countries and Russia. The significance of this topic has been additionally elevated after two neutral countries, Sweden and Finland, renounced neutrality while debates about the appropriateness of neutrality emerged in other neutral countries, such are Ireland, Malta, and Austria. The purpose of the paper is to examine, from a perspective of sociology of politics, whether the position of military neutrality still represents a good foreign-policy strategy aiming to preserve sovereignty and territorial integrity. The hypothesis of this paper is that Serbia's military neutrality is justified by the social reality in Serbia. The first chapter briefly describes the historical decline of neutrality during the first half of the 20th century. In that context, observation made in mid last century, according to which neutrality was becoming an obsolete concept, is true. Increase of NATO members, as well as abandoning neutrality under the influence of globalization and negative experiences of neutral countries in the 20th century, strengthens this assertion. However, we can conclude that neutrality has existed in continuity in Europe throughout the entire modern period of history,</w:t>
      </w:r>
    </w:p>
    <w:p>
      <w:pPr/>
      <w:r>
        <w:rPr>
          <w:b/>
        </w:rPr>
        <w:t>POSSIBLE 2023:</w:t>
      </w:r>
      <w:r>
        <w:t xml:space="preserve"> Strategies of US foreign policy at the end of the 20-th – at the beginning of the 21-st centuries — https://doi.org/10.24144/2307-3322.2022.76.2.30</w:t>
      </w:r>
    </w:p>
    <w:p>
      <w:pPr/>
      <w:r>
        <w:rPr>
          <w:b/>
        </w:rPr>
        <w:t>Shared claim-specific concepts:</w:t>
      </w:r>
      <w:r>
        <w:t xml:space="preserve"> beginning, republic, energy, transition; EU scope visible. This is a provisional connection, not an outcome finding.</w:t>
      </w:r>
    </w:p>
    <w:p>
      <w:pPr>
        <w:pStyle w:val="SourceNote"/>
      </w:pPr>
      <w:r>
        <w:rPr>
          <w:b/>
        </w:rPr>
        <w:t>Available abstract (not full text):</w:t>
      </w:r>
      <w:r>
        <w:t xml:space="preserve"> The article investigates the foreign policy strategies of the United States, beginning with the collapse of the Soviet Union, with an emphasis on key regions - the Middle East, Central and Eastern Europe, and the Indo-Pacific region. The work assesses the international situation and presents the author’s views on future changes in the system of international relations. It is noted that since the beginning of the XXI century, the USA began to lose its position on the international arena, which was due to the difficulty of maintaining existing positions, as well as the incompetence of the state elites that came to power in the USA at the beginning of the XXI century. In view of this, in the process of increasing confrontation between Сhina and USA, the attention of the latter was gradually shifted from the regions of the Middle East and Central-Eastern Europe to the Indo-Pacific region. The article emphasizes that the complexity of the situation for Ukraine lies in the fact that the further involvement of the United States in the confrontation with the Russian Federation will most likely lead to the split of the Western coalition, primarily in the European Union and NATO, and will push states suffering from economic sanctions, lack of energy resources and rare earth materials to ensure the «green transition», to deepen cooperation with China.In this context, it is extremely impor</w:t>
      </w:r>
    </w:p>
    <w:p>
      <w:pPr/>
      <w:r>
        <w:rPr>
          <w:b/>
        </w:rPr>
        <w:t>POSSIBLE 2023:</w:t>
      </w:r>
      <w:r>
        <w:t xml:space="preserve"> Assessing waste management efficiency in the European Union: A focus on the Slovak Republic — https://doi.org/10.19040/ecocycles.v9i2.285</w:t>
      </w:r>
    </w:p>
    <w:p>
      <w:pPr/>
      <w:r>
        <w:rPr>
          <w:b/>
        </w:rPr>
        <w:t>Shared claim-specific concepts:</w:t>
      </w:r>
      <w:r>
        <w:t xml:space="preserve"> republic, adopted, energy; EU scope visible. This is a provisional connection, not an outcome finding.</w:t>
      </w:r>
    </w:p>
    <w:p>
      <w:pPr>
        <w:pStyle w:val="SourceNote"/>
      </w:pPr>
      <w:r>
        <w:rPr>
          <w:b/>
        </w:rPr>
        <w:t>Available abstract (not full text):</w:t>
      </w:r>
      <w:r>
        <w:t xml:space="preserve"> Even though every country in the EU must follow the waste management hierarchy stipulated in Directive (EU) 2018/851 of the European Parliament and of the Council of 30 May 2018 amending Directive 2008/98/EC on waste, there are differences in how the member states manage their municipal waste. For example, the percentage of recyclable and incineration with energy recovery of municipal waste is among the lowest in the Slovak Republic (and the high amount of its disposal by landfilling). However, following the European Union legislation, several strategies in the Slovak Republic, such as the Waste Prevention Program 2019-2025, Waste Management Program 2021-2025, and Envirostrategy 2030, have been adopted. Based on these strategies, the recycling rate is scheduled to increase to 65% by 2035, and the percentage of municipal waste sent to landfills is planned to fall below 25%. These projections assume the successful implementation of the programs. As a result, the Slovak Republic’s waste is significantly lower than that of other member states. When investigating the efficiency of municipal waste management, we utilised partial treatment-specific indicators and a composite indicator based on an approach known as the multi-criteria decision-making method. The highest efficiency of municipal waste management in the EU-27 in 2021, expressed by the composite indicator, was achieved by G</w:t>
      </w:r>
    </w:p>
    <w:p>
      <w:pPr/>
      <w:r>
        <w:rPr>
          <w:b/>
        </w:rPr>
        <w:t>POSSIBLE 2022:</w:t>
      </w:r>
      <w:r>
        <w:t xml:space="preserve"> Agrarian strategy and policy of the Republic of Serbia — https://doi.org/10.5937/ekopolj2203897l</w:t>
      </w:r>
    </w:p>
    <w:p>
      <w:pPr/>
      <w:r>
        <w:rPr>
          <w:b/>
        </w:rPr>
        <w:t>Shared claim-specific concepts:</w:t>
      </w:r>
      <w:r>
        <w:t xml:space="preserve"> strategy, republic, two; EU scope visible. This is a provisional connection, not an outcome finding.</w:t>
      </w:r>
    </w:p>
    <w:p>
      <w:pPr>
        <w:pStyle w:val="SourceNote"/>
      </w:pPr>
      <w:r>
        <w:rPr>
          <w:b/>
        </w:rPr>
        <w:t>Available abstract (not full text):</w:t>
      </w:r>
      <w:r>
        <w:t xml:space="preserve"> The subject matter of this paper are the changes in the directions and content of the agrarian strategy and policy in the Republic of Serbia during the last two decades, which occurred primarily due to the need to adjust to the standards of the Common Agricultural Policy of the European Union. The paper starts from the assumption that the process of creating agrarian policy and its transmission to economic flows is very complex and slow and requires the activity of a large number of actors and relevant institutions. Key strategic documents in the field of agriculture as well as measures of the current agricultural policy were analyzed. The aim of the paper is to examine the compliance of current agricultural policy measures with the priorities of agricultural development that are determined by these strategic documents, and above all the Strategy of Agriculture and Rural Development of the Republic of Serbia for the period 2014-2024.</w:t>
      </w:r>
    </w:p>
    <w:p>
      <w:pPr>
        <w:pStyle w:val="Heading2"/>
      </w:pPr>
      <w:r>
        <w:t>627.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2026:</w:t>
      </w:r>
      <w:r>
        <w:t xml:space="preserve"> Drivers of and barriers to adoption of digital therapeutics in five European countries — https://doi.org/10.1177/20552076261492350</w:t>
      </w:r>
    </w:p>
    <w:p>
      <w:pPr/>
      <w:r>
        <w:rPr>
          <w:b/>
        </w:rPr>
        <w:t>Shared claim-specific concepts:</w:t>
      </w:r>
      <w:r>
        <w:t xml:space="preserve"> findings, five, however, increased; EU scope visible. This is a provisional connection, not an outcome finding.</w:t>
      </w:r>
    </w:p>
    <w:p>
      <w:pPr>
        <w:pStyle w:val="SourceNote"/>
      </w:pPr>
      <w:r>
        <w:rPr>
          <w:b/>
        </w:rPr>
        <w:t>Available abstract (not full text):</w:t>
      </w:r>
      <w:r>
        <w:t xml:space="preserve"> Background Digital therapeutics (DTx) are evidence-based software interventions with potential to complement conventional care; however, their adoption across European healthcare systems remains limited. Evidence on patient-level drivers, barriers, and implementation requirements is still scarce, especially regarding awareness, usability, reimbursement, and stakeholder engagement. Methods This mixed-methods study combined an online survey in five European countries — the United Kingdom, France, Germany, Italy, and Spain — with a qualitative advisory board. Of 915 survey respondents, 682 surveys were included. Respondents were adults who had visited a healthcare professional in the previous 12 months. Survey findings were complemented by an advisory board involving 13 opinion leaders, patient experts, representatives of patient organizations, and industry professionals. Results Awareness and prior use of DTx were limited: 51.03% of respondents were unaware of DTx before the survey, while only 3.40% had previously used DTx. Nevertheless, 63.20% expressed interest in using DTx to better manage their condition. The main drivers of adoption were interest in testing tools (35.63%), physician recommendation (35.48%), 24/7 access to support (26.54%), nurse recommendation (19.21%), and additional support beyond conventional treatments (15.10%). Integration with wearables or health apps </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findings, making, full, improving, coordination, however;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Comparison of countries in the WHO European Region according to noncommunicable disease indicators by multi-criteria decision making methods — https://doi.org/10.32552/2025.actamedica.1067</w:t>
      </w:r>
    </w:p>
    <w:p>
      <w:pPr/>
      <w:r>
        <w:rPr>
          <w:b/>
        </w:rPr>
        <w:t>Shared claim-specific concepts:</w:t>
      </w:r>
      <w:r>
        <w:t xml:space="preserve"> based, findings, making, full, however; EU scope visible. This is a provisional connection, not an outcome finding.</w:t>
      </w:r>
    </w:p>
    <w:p>
      <w:pPr>
        <w:pStyle w:val="SourceNote"/>
      </w:pPr>
      <w:r>
        <w:rPr>
          <w:b/>
        </w:rPr>
        <w:t>Available abstract (not full text):</w:t>
      </w:r>
      <w:r>
        <w:t xml:space="preserve"> Objective: The aim of this study is to compare the relative risk prevalence of noncommunicable diseases (NCDs) in the countries of the European Region as defined by WHO (World Health Organization) using WASPAS (Weighted Aggregated Sum Product Assessment) and MULTIMOORA (Multi-Objective Optimization by Ratio Analysis plus the full Multiplicative Form) multi-criteria decision-making (MCDM) methods. Materials and Methods: The cross-sectional study’s target population consisted of 50 countries in the WHO European Region with complete observations. The study utilizes NCDs data that the WHO publicly released. Analysis was performed using the R programming language and Microsoft Excel. Results: Based on the CRITIC (CRiteria Importance Through Intercorrelated Corrected) weighted WASPAS analysis, it was observed that 24 European countries exhibited Q scores above the average, while 26 countries displayed Q scores below the average. Finland, Cyprus, Switzerland, Spain, Iceland, Iceland, Sweden, Slovenia, Italy, Norway, Latvia, Portugal, Luxembourg, Belgium, France, Greece, the Netherlands, Germany, Malta, Austria, Ireland, Israel, Lithuania, Israel, Lithuania and Estonia have the highest Q scores. Twenty-four countries with above-average Q scores have lower NCD prevalence than twenty-six European countries. In Türkiye, the prevalence of NCDs is above the European average. However, Switze</w:t>
      </w:r>
    </w:p>
    <w:p>
      <w:pPr/>
      <w:r>
        <w:rPr>
          <w:b/>
        </w:rPr>
        <w:t>POSSIBLE 2025:</w:t>
      </w:r>
      <w:r>
        <w:t xml:space="preserve"> Future evolution of large floods in Europe — https://doi.org/10.5194/egusphere-egu25-9464</w:t>
      </w:r>
    </w:p>
    <w:p>
      <w:pPr/>
      <w:r>
        <w:rPr>
          <w:b/>
        </w:rPr>
        <w:t>Shared claim-specific concepts:</w:t>
      </w:r>
      <w:r>
        <w:t xml:space="preserve"> based, findings, five, but, increased;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HEALTH-ORIENTED EMPLOYMENT PROGRAMMES: INTERNATIONAL EXPERIENCE (BASED ON FIVE WESTERN EUROPEAN COUNTRIES) — https://doi.org/10.17323/1999-5431-2025-0-4-182-210</w:t>
      </w:r>
    </w:p>
    <w:p>
      <w:pPr/>
      <w:r>
        <w:rPr>
          <w:b/>
        </w:rPr>
        <w:t>Shared claim-specific concepts:</w:t>
      </w:r>
      <w:r>
        <w:t xml:space="preserve"> based, findings, five, focus; EU scope visible. This is a provisional connection, not an outcome finding.</w:t>
      </w:r>
    </w:p>
    <w:p>
      <w:pPr>
        <w:pStyle w:val="SourceNote"/>
      </w:pPr>
      <w:r>
        <w:rPr>
          <w:b/>
        </w:rPr>
        <w:t>Available abstract (not full text):</w:t>
      </w:r>
      <w:r>
        <w:t xml:space="preserve"> Empirical studies demonstrate a bidirectional relationship between population health status and employment, highlighting the importance of integrating these areas within social policy. This article aims to identify successful international practices for integrating health considerations into employment policy and to develop recommendations for adapting them in the Russian context. Based on the analysis of scientific literature, regulatory documents, and report data, the study examines European approaches to the implementation of employment programs that account for the health status of the population – both universal programs and those targeted at older adults. The findings reveal a steady trend toward cross-sectoral integration, whereby employment initiatives are implemented in partnership with healthcare institutions, insurance funds, and businesses. The analysis also highlights the decentralization of authority to the regional level and the individualization of support, particularly for individuals with chronic illnesses or prolonged absences from the labor market. Programs aimed at older workers focus on extending labor participation through workplace adaptations, continuous learning, and medical-social support. As a key result of the study, a set of measures was proposed to enhance the integration of employment and health policy. These include: the development of remote em</w:t>
      </w:r>
    </w:p>
    <w:p>
      <w:pPr/>
      <w:r>
        <w:rPr>
          <w:b/>
        </w:rPr>
        <w:t>POSSIBLE 2025:</w:t>
      </w:r>
      <w:r>
        <w:t xml:space="preserve"> Teaching for tomorrow: a qualitative exploration of ESD in initial teacher education across five European universities — https://doi.org/10.1108/ijshe-09-2024-0690</w:t>
      </w:r>
    </w:p>
    <w:p>
      <w:pPr/>
      <w:r>
        <w:rPr>
          <w:b/>
        </w:rPr>
        <w:t>Shared claim-specific concepts:</w:t>
      </w:r>
      <w:r>
        <w:t xml:space="preserve"> findings, five, actual, framework; EU scope visible. This is a provisional connection, not an outcome finding.</w:t>
      </w:r>
    </w:p>
    <w:p>
      <w:pPr>
        <w:pStyle w:val="SourceNote"/>
      </w:pPr>
      <w:r>
        <w:rPr>
          <w:b/>
        </w:rPr>
        <w:t>Available abstract (not full text):</w:t>
      </w:r>
      <w:r>
        <w:t xml:space="preserve"> Purpose The purpose of this study is to critucally examine how education for sustainable development (ESD) is integrated into initial teacher education (ITE) across five European universities. Despite strong European Union and United Nations Educational, Scientific and Cultural Organisation (UNESCO) frameworks, the actual practices of embedding ESD competences in pre-service teacher training remain underexplored. Design/methodology/approach The authors reviewed policy documents from Finland, Germany, Ireland, Portugal and Spain to contextualise national strategies for ESD, followed by semi-structured interviews with six university-based educators to explore how ESD is interpreted, implemented and supported in ITE. Thematic analysis informed the interpretation of the data. Findings Results reveal a fragmented landscape of ESD integration, with significant inconsistencies in curricular approaches, institutional support and educator preparedness. ESD often remains optional or implicitly embedded, constrained by structural factors such as rigid credit systems and lack of faculty development. Practical implications Insights inform policy makers, teacher educators and institutions aiming to harmonise ESD competences across diverse European contexts, fostering more consistent and impactful integration. Originality/value By capturing the lived experiences of teacher educators, this stu</w:t>
      </w:r>
    </w:p>
    <w:p>
      <w:pPr/>
      <w:r>
        <w:rPr>
          <w:b/>
        </w:rPr>
        <w:t>POSSIBLE 2025:</w:t>
      </w:r>
      <w:r>
        <w:t xml:space="preserve"> Contextualizing inequalities in the gig economy: evidence from online cleaning platforms in five European cities — https://doi.org/10.1108/ijssp-12-2024-0619</w:t>
      </w:r>
    </w:p>
    <w:p>
      <w:pPr/>
      <w:r>
        <w:rPr>
          <w:b/>
        </w:rPr>
        <w:t>Shared claim-specific concepts:</w:t>
      </w:r>
      <w:r>
        <w:t xml:space="preserve"> based, findings, five, focus; EU scope visible. This is a provisional connection, not an outcome finding.</w:t>
      </w:r>
    </w:p>
    <w:p>
      <w:pPr>
        <w:pStyle w:val="SourceNote"/>
      </w:pPr>
      <w:r>
        <w:rPr>
          <w:b/>
        </w:rPr>
        <w:t>Available abstract (not full text):</w:t>
      </w:r>
      <w:r>
        <w:t xml:space="preserve"> Purpose This paper explores the impact of national contexts on the profile of workers in the gig economy, with a specific focus on online cleaning platforms. The study aims to understand how national contexts influence the gender and ethnic composition of workers on domestic cleaning platforms, examining the intersectional effects of gender and ethnicity in platform-based work. Design/methodology/approach Focusing on the case of the Yoopies platform operating in five Western European cities – Berlin, Copenhagen, Paris, Rome and Stockholm – this exploratory research is based on an original dataset that combines platform-based data directly collected from Yoopies with national-level data provided by Eurostat. Hypotheses were tested using simple correlation analysis to assess cross-country differences. Findings The study shows that national contexts play an important role in shaping the gender and ethnic composition of workers on online cleaning platforms. Specifically, it identifies how structural features of the offline labor market influence the gendering and racialization of these platforms, highlighting variations across countries. The research also finds evidence of intersectional effects, where gender and ethnicity intersect to shape the profile of platform workers. Originality/value This paper contributes to the growing literature on domestic work in the digital platform e</w:t>
      </w:r>
    </w:p>
    <w:p>
      <w:pPr/>
      <w:r>
        <w:rPr>
          <w:b/>
        </w:rPr>
        <w:t>POSSIBLE 2025:</w:t>
      </w:r>
      <w:r>
        <w:t xml:space="preserve"> Community versus institutionalised care for people with severe mental illness in five countries in Southeast Europe: pooled analysis of five randomised trials — https://doi.org/10.1136/bmjgh-2024-018594</w:t>
      </w:r>
    </w:p>
    <w:p>
      <w:pPr/>
      <w:r>
        <w:rPr>
          <w:b/>
        </w:rPr>
        <w:t>Shared claim-specific concepts:</w:t>
      </w:r>
      <w:r>
        <w:t xml:space="preserve"> based, findings, five, full, improving; EU scope visible. This is a provisional connection, not an outcome finding.</w:t>
      </w:r>
    </w:p>
    <w:p>
      <w:pPr>
        <w:pStyle w:val="SourceNote"/>
      </w:pPr>
      <w:r>
        <w:rPr>
          <w:b/>
        </w:rPr>
        <w:t>Available abstract (not full text):</w:t>
      </w:r>
      <w:r>
        <w:t xml:space="preserve"> BACKGROUND: The RECOVER-E project implemented community-based mental healthcare (CMH) oriented at functional recovery in people with schizophrenia, bipolar and severe major depressive disorder in five countries: Bulgaria, Croatia, Montenegro, North Macedonia and Romania, with the aim to shift care from institutions to communities. OBJECTIVE: To evaluate the effectiveness of CMH under real-world circumstances across various healthcare ecologies and contexts. METHODS: A randomised comparison of CMH versus treatment as usual (TAU) based on pooled data from all five RECOVER-E trials (N=931). Outcomes were personal and social role functioning (WHO Disability Assessment Schedule, WHODAS 2.0) and health-related quality of life (EuroQoL-5 Dimensions-3 Levels) at baseline, 12 and 18 months postbaseline. Intention-to-treat analysis was conducted with mixed modelling and a sensitivity analysis adjusted for the impact of COVID-19 on healthcare delivery and outcomes. FINDINGS: At 18-month follow-up, CMH had a 4.55 lower WHODAS disability score than TAU, which was significant (b=-4.55, SE=1.21, z=-3.75, p&lt;0.001), and improved quality of life by 0.07 utility (b=0.07, SE=0.014, z=4.56, p&lt;0.001) equivalent to an additional 25 days in full health. Similar effects were observed in each of the five countries and for all WHODAS subdomains (cognition, mobility, self-care, getting along with people, </w:t>
      </w:r>
    </w:p>
    <w:p>
      <w:pPr/>
      <w:r>
        <w:rPr>
          <w:b/>
        </w:rPr>
        <w:t>POSSIBLE 2024:</w:t>
      </w:r>
      <w:r>
        <w:t xml:space="preserve"> Urban labs beyond Europe: the formation and contextualization of experimental climate governance in five Latin American cities — https://doi.org/10.1177/09562478241230462</w:t>
      </w:r>
    </w:p>
    <w:p>
      <w:pPr/>
      <w:r>
        <w:rPr>
          <w:b/>
        </w:rPr>
        <w:t>Shared claim-specific concepts:</w:t>
      </w:r>
      <w:r>
        <w:t xml:space="preserve"> based, findings, five, developed, framework, however; EU scope visible. This is a provisional connection, not an outcome finding.</w:t>
      </w:r>
    </w:p>
    <w:p>
      <w:pPr>
        <w:pStyle w:val="SourceNote"/>
      </w:pPr>
      <w:r>
        <w:rPr>
          <w:b/>
        </w:rPr>
        <w:t>Available abstract (not full text):</w:t>
      </w:r>
      <w:r>
        <w:t xml:space="preserve"> The urban lab is an experimental governance approach for the co-creation of innovative solutions to urban challenges, such as climate change. However, urban lab scholarship has overlooked lab formation as a distinct process and is almost exclusively based on European cases. Therefore, little is known about the role of context conditions for lab formation in general and beyond Europe in particular. To address these gaps, this paper inductively analyses urban lab formation in five cities in Argentina, Brazil and Mexico, develops a framework for the comparative analysis of lab formation challenges, and asks: What do the challenges encountered and the solutions developed during lab formation in these cities tell us about the context dependence of the urban lab approach and what are the implications for its potential beyond Europe? Comparing insights from Europe to the findings from Latin America, the paper answers these questions and identifies future research questions.</w:t>
      </w:r>
    </w:p>
    <w:p>
      <w:pPr/>
      <w:r>
        <w:rPr>
          <w:b/>
        </w:rPr>
        <w:t>POSSIBLE 2024:</w:t>
      </w:r>
      <w:r>
        <w:t xml:space="preserve"> Evaluation of Colon Capsule Utilisation in Europe—CAPTURE EU Survey Findings — https://doi.org/10.3390/jcm14010099</w:t>
      </w:r>
    </w:p>
    <w:p>
      <w:pPr/>
      <w:r>
        <w:rPr>
          <w:b/>
        </w:rPr>
        <w:t>Shared claim-specific concepts:</w:t>
      </w:r>
      <w:r>
        <w:t xml:space="preserve"> findings, full, but; EU scope visible. This is a provisional connection, not an outcome finding.</w:t>
      </w:r>
    </w:p>
    <w:p>
      <w:pPr>
        <w:pStyle w:val="SourceNote"/>
      </w:pPr>
      <w:r>
        <w:rPr>
          <w:b/>
        </w:rPr>
        <w:t>Available abstract (not full text):</w:t>
      </w:r>
      <w:r>
        <w:t xml:space="preserve"> Background/Objectives: Colon capsule endoscopy (CCE) is a non-invasive method for visualising the colon, but its clinical adoption has been slow. Although the COVID-19 pandemic reignited interest in CCE, its role in conventional gastrointestinal investigations remains unclear, leading to varied practices across Europe. This highlights the need for a comprehensive understanding of diverse approaches to CCE in clinical practice. Method: A web-based survey was conducted from January to July 2024, targeting European gastroenterologists and colorectal surgeons interested in capsule endoscopy through the International Capsule Endoscopy Research (iCARE) Group. The survey aimed to understand CCE application across Europe and investigate factors influencing its uptake. Results: Thirty-eight (n = 38) valid responses were received from 19 European countries. While 88% reported access to CCE, only 45% had local services readily available, and just 7% included CCE in national guidelines. The most common indication for CCE was for patients who declined or could not tolerate colonoscopy (30%), with 77% of CE specialists preferring its use in fit patients. Ease of access was significantly associated with service availability (p = 0.0358). Barriers to uptake included lack of reimbursement, insufficient knowledge, and limited use in research settings. Only 27% of specialists viewed CCE positivel</w:t>
      </w:r>
    </w:p>
    <w:p>
      <w:pPr/>
      <w:r>
        <w:rPr>
          <w:b/>
        </w:rPr>
        <w:t>POSSIBLE 2024:</w:t>
      </w:r>
      <w:r>
        <w:t xml:space="preserve"> The effect of temperature on the boundary conditions of West Nile virus circulation in Europe — https://doi.org/10.1371/journal.pntd.0012162</w:t>
      </w:r>
    </w:p>
    <w:p>
      <w:pPr/>
      <w:r>
        <w:rPr>
          <w:b/>
        </w:rPr>
        <w:t>Shared claim-specific concepts:</w:t>
      </w:r>
      <w:r>
        <w:t xml:space="preserve"> based, findings, five, increased; EU scope visible. This is a provisional connection, not an outcome finding.</w:t>
      </w:r>
    </w:p>
    <w:p>
      <w:pPr>
        <w:pStyle w:val="SourceNote"/>
      </w:pPr>
      <w:r>
        <w:rPr>
          <w:b/>
        </w:rPr>
        <w:t>Available abstract (not full text):</w:t>
      </w:r>
      <w:r>
        <w:t xml:space="preserve"> West Nile virus (WNV) is a vector-borne flavivirus that causes an increasing number of human and equine West Nile fever cases in Europe. While the virus has been present in the Mediterranean basin and the Balkans since the 1960s, recent years have witnessed its northward expansion, with the first human cases reported in Germany in 2018 and the Netherlands in 2020. WNV transmission and amplification within mosquitoes are temperature-dependent. This study applies a mathematical modelling approach to assess the conditions under which WNV circulation occurs based on the proportion of mosquito bites on WNV-competent birds (dilution), vector-host ratios, mosquito season length and the observed daily temperature data. We modelled five distinct European regions where previous WNV circulation has been observed within the Netherlands, Germany, Spain, Italy, and Greece. We observed that the number of days in which the basic reproduction number (R0) is above one, increased over the last 40 years in all five regions. In the Netherlands, the number of days in which the R0 is above one, is 70% lower than in Spain. The temperature in Greece, Spain and Italy allowed for circulation under low vector-host ratios, and at a high dilution. On the other hand in the Netherlands and Germany, given the observed daily temperature, the thresholds for circulation requires a lower dilution and higher vector</w:t>
      </w:r>
    </w:p>
    <w:p>
      <w:pPr>
        <w:pStyle w:val="Heading2"/>
      </w:pPr>
      <w:r>
        <w:t>628.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Strategizing for Climate Neutrality. How to Make Social Innovation Relevant in the City’s Journey to Climate Neutrality — https://doi.org/10.1007/978-3-031-87726-1_3</w:t>
      </w:r>
    </w:p>
    <w:p>
      <w:pPr/>
      <w:r>
        <w:rPr>
          <w:b/>
        </w:rPr>
        <w:t>Shared claim-specific concepts:</w:t>
      </w:r>
      <w:r>
        <w:t xml:space="preserve"> climate, neutrality, union, key, role; EU scope visible. This is a provisional connection, not an outcome finding.</w:t>
      </w:r>
    </w:p>
    <w:p>
      <w:pPr>
        <w:pStyle w:val="SourceNote"/>
      </w:pPr>
      <w:r>
        <w:rPr>
          <w:b/>
        </w:rPr>
        <w:t>Available abstract (not full text):</w:t>
      </w:r>
      <w:r>
        <w:t xml:space="preserve"> Abstract This chapter explores the imperative for cities to accelerate their journey towards climate neutrality through social innovation and systemic transformation. It begins by contextualizing the challenge within the European Union’s “100 Climate-Neutral and Smart Cities by 2030” Mission, emphasizing the need for collaborative governance and creative approaches to city planning. Key practices for sustainability action planning are outlined, including the establishment of Transition Teams, development of portfolios of actions, mobilisation of cross-sectoral ecosystems, and iterative planning processes. The chapter further introduces the Climate Transition Map as a tool to guide cities through their transition journey. Additionally, it discusses the importance of learning and capability building for embedding sustainability and social innovation in city practices, highlighting the need for facilitating continuous learning and reflection for informing innovation towards sustainable practices. Finally, it addresses the evolving nature of sustainable transitions and the need for transformative policies, innovative approaches, and agile structures to achieve systemic transformation. Throughout, the chapter emphasizes the central role of social innovation in empowering collective action towards climate neutrality, as a crucial aspect of sustainability transitions beyond technologi</w:t>
      </w:r>
    </w:p>
    <w:p>
      <w:pPr/>
      <w:r>
        <w:rPr>
          <w:b/>
        </w:rPr>
        <w:t>POSSIBLE 2025:</w:t>
      </w:r>
      <w:r>
        <w:t xml:space="preserve"> CLIMATE POLICY OF UKRAINE IN THE CONTEXT OF EUROPEAN INTEGRATION — https://doi.org/10.29038/2524-2679-2025-01-180-197</w:t>
      </w:r>
    </w:p>
    <w:p>
      <w:pPr/>
      <w:r>
        <w:rPr>
          <w:b/>
        </w:rPr>
        <w:t>Shared claim-specific concepts:</w:t>
      </w:r>
      <w:r>
        <w:t xml:space="preserve"> climate, neutrality, union, energy, renewable, sources; EU scope visible. This is a provisional connection, not an outcome finding.</w:t>
      </w:r>
    </w:p>
    <w:p>
      <w:pPr>
        <w:pStyle w:val="SourceNote"/>
      </w:pPr>
      <w:r>
        <w:rPr>
          <w:b/>
        </w:rPr>
        <w:t>Available abstract (not full text):</w:t>
      </w:r>
      <w:r>
        <w:t xml:space="preserve"> The article examines the main stages of the development of Ukraine’s climate policy with an emphasis on the integration of environmental standards of the European Union, including obligations under the Paris Agreement and the Euro- pean Green Deal (EGD). The author analyzes the political and legal frameworks introduced in 2015 and identifies Ukraine’s achievements on the way to environ- mental sustainability and the challenges associated with their implementation in wartime. The main focus is on institutional reforms and Ukraine’s strategic climate goals. The article outlines the transition to climate neutrality by 2060 and strategies for increasing energy efficiency and using renewable energy sources, particularly in agriculture and industry. The author emphasizes the contribution of the Ukraine-EU Association Agreement to the improvement of the national legal framework, which encourages Ukraine to implement European directives in the field of climate. It also emphasizes the destructive impact of the Russian- Ukrainian war on the country’s ecological situation, which led to massive pol- lution and challenges for environmental restoration. The author emphasizes the importance of international support for implementing recovery and decarboniza- tion measures in the post-war period. Particular emphasis is placed on the role of Ukrainian civil society and international partners in </w:t>
      </w:r>
    </w:p>
    <w:p>
      <w:pPr/>
      <w:r>
        <w:rPr>
          <w:b/>
        </w:rPr>
        <w:t>POSSIBLE 2024:</w:t>
      </w:r>
      <w:r>
        <w:t xml:space="preserve"> CLIMATE NEUTRALITY: CONTEMPORARY CHALLENGES FOR EUROPEAN POLICY — https://doi.org/10.17721/1728-2292.2024/1-58/33-40</w:t>
      </w:r>
    </w:p>
    <w:p>
      <w:pPr/>
      <w:r>
        <w:rPr>
          <w:b/>
        </w:rPr>
        <w:t>Shared claim-specific concepts:</w:t>
      </w:r>
      <w:r>
        <w:t xml:space="preserve"> achievement, climate, neutrality, union, not, possible; EU scope visible. This is a provisional connection, not an outcome finding.</w:t>
      </w:r>
    </w:p>
    <w:p>
      <w:pPr>
        <w:pStyle w:val="SourceNote"/>
      </w:pPr>
      <w:r>
        <w:rPr>
          <w:b/>
        </w:rPr>
        <w:t>Available abstract (not full text):</w:t>
      </w:r>
      <w:r>
        <w:t xml:space="preserve"> B a c k g r o u n d .The article examines issues related to challenges to European climate neutrality, which have arisen before the European Union due to Russian armed aggression in Ukraine. The authors emphasize that the European Union has set an ambitious goal of becoming the world's first climate-neutral continent. The implementation of these plans requires a coordinated position not only of the member states, but also of the EU partners. Russia's military aggression against Ukraine may affect the achievement of European climate goals, as this conflict is accompanied by a significant impact on the environment. The authors set a goal to analyze how the Russian military invasion of Ukraine can affect the achievement of climate neutrality. To achieve the goal, the following research tasks were defined, in particular, to characterize the basic principles of the strategy and tools of the EU climate policy, to show the impact of Russian aggression on the ecology of the EU, to determine whether the topic of the environmental consequences of Russian aggression in Ukraine is relevant for the European public, and to assess how Russian armed aggression can influence the achievement of the goals of European climate neutrality. M e t h o d s .The following methods were used: discursive analysis, the analysis of the documents, analysis and synthesis, comparative method, content analysis.R</w:t>
      </w:r>
    </w:p>
    <w:p>
      <w:pPr/>
      <w:r>
        <w:rPr>
          <w:b/>
        </w:rPr>
        <w:t>POSSIBLE 2024:</w:t>
      </w:r>
      <w:r>
        <w:t xml:space="preserve"> Visions for climate neutrality and opportunities for co-learning in European cities — https://doi.org/10.1016/j.rser.2024.114315</w:t>
      </w:r>
    </w:p>
    <w:p>
      <w:pPr/>
      <w:r>
        <w:rPr>
          <w:b/>
        </w:rPr>
        <w:t>Shared claim-specific concepts:</w:t>
      </w:r>
      <w:r>
        <w:t xml:space="preserve"> climate, neutrality, possible; EU scope visible. This is a provisional connection, not an outcome finding.</w:t>
      </w:r>
    </w:p>
    <w:p>
      <w:pPr>
        <w:pStyle w:val="SourceNote"/>
      </w:pPr>
      <w:r>
        <w:rPr>
          <w:b/>
        </w:rPr>
        <w:t>Available abstract (not full text):</w:t>
      </w:r>
      <w:r>
        <w:t xml:space="preserve">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pPr/>
      <w:r>
        <w:rPr>
          <w:b/>
        </w:rPr>
        <w:t>POSSIBLE 2024:</w:t>
      </w:r>
      <w:r>
        <w:t xml:space="preserve"> Studying Regional Disparities at European Level with a View to Achieving Climate Neutrality Objectives — https://doi.org/10.35219/eai15840409463</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European Green Deal was implemented in order to ensure climate neutrality objectives for Horizon 2030, to ensure economic growth decoupled from the use of natural resources and for a fair and inclusive transition.In this context, including against the backdrop of multiple energy, economic, environmental, climate change and biodiversity loss crises, we propose to carry out an extended analysis of the impact of the Green Deal on regional economic development at European level.The study will highlight the main achievements of the European regional policy in the perspective of the European Green Deal and will determine on the basis of a cluster analysis the level of regional disparity by analyzing the main Green Deal indicators.The analysis will allow to highlight the main effects of the implementation of the European Green Deal from the perspective of the transition towards climate neutrality and the effects of these measures at European level.Regional disparities will also be assessed on the basis of cluster analysis of the evolution of the main indicators on environmental protection, energy security and sustainable economic growth.The results of the study will be useful to supranational decision-makers in the European Union for the adjustment of public policies for balanced economic development at EU level in the light of the Green Deal commitments undertaken for the 2030 ho</w:t>
      </w:r>
    </w:p>
    <w:p>
      <w:pPr/>
      <w:r>
        <w:rPr>
          <w:b/>
        </w:rPr>
        <w:t>POSSIBLE 2024:</w:t>
      </w:r>
      <w:r>
        <w:t xml:space="preserve"> MODIFICATION OF ECONOMIC DEPENDENCE AND ACHIEVEMENT OF CLIMATE NEUTRALITY AT THE CROSSROAD — https://doi.org/10.46299/979-8-89504-809-2</w:t>
      </w:r>
    </w:p>
    <w:p>
      <w:pPr/>
      <w:r>
        <w:rPr>
          <w:b/>
        </w:rPr>
        <w:t>Shared claim-specific concepts:</w:t>
      </w:r>
      <w:r>
        <w:t xml:space="preserve"> achievement, climate, neutrality; EU scope not established. This is a provisional connection, not an outcome finding.</w:t>
      </w:r>
    </w:p>
    <w:p>
      <w:pPr>
        <w:pStyle w:val="SourceNote"/>
      </w:pPr>
      <w:r>
        <w:rPr>
          <w:b/>
        </w:rPr>
        <w:t>Available abstract (not full text):</w:t>
      </w:r>
      <w:r>
        <w:t xml:space="preserve"> All rights reserved. Printed in the United States of America. No part of this publication may be reproduced, distributed, or transmitted, in any form or by any means, or stored in a data base or retrieval system, without the prior written permission of the publisher. The content and reliability of the articles are the responsibility of the authors. When using and borrowing materials reference to the publication is required.</w:t>
      </w:r>
    </w:p>
    <w:p>
      <w:pPr/>
      <w:r>
        <w:rPr>
          <w:b/>
        </w:rPr>
        <w:t>POSSIBLE 2024:</w:t>
      </w:r>
      <w:r>
        <w:t xml:space="preserve"> Building Blocks of the European Union’s Strategy for Climate Neutrality — https://doi.org/10.1017/9781009341493.003</w:t>
      </w:r>
    </w:p>
    <w:p>
      <w:pPr/>
      <w:r>
        <w:rPr>
          <w:b/>
        </w:rPr>
        <w:t>Shared claim-specific concepts:</w:t>
      </w:r>
      <w:r>
        <w:t xml:space="preserve"> climate, neutrality, union, energy; EU scope visible. This is a provisional connection, not an outcome finding.</w:t>
      </w:r>
    </w:p>
    <w:p>
      <w:pPr>
        <w:pStyle w:val="SourceNote"/>
      </w:pPr>
      <w:r>
        <w:rPr>
          <w:b/>
        </w:rPr>
        <w:t>Available abstract (not full text):</w:t>
      </w:r>
      <w:r>
        <w:t xml:space="preserve"> This chapter discusses the building blocks of the European Union’s strategy for climate neutrality. Carbon pricing in the EU is described, focusing on the EU ETS and on the forthcoming CBAM. Then the roles of electrification and clean molecules in the future European energy system are discussed. Finally, sustainable finance priorities, capacities, and regulatory instruments put forward by the EU are reviewed, before a brief conclusion.</w:t>
      </w:r>
    </w:p>
    <w:p>
      <w:pPr/>
      <w:r>
        <w:rPr>
          <w:b/>
        </w:rPr>
        <w:t>POSSIBLE 2024:</w:t>
      </w:r>
      <w:r>
        <w:t xml:space="preserve"> EUROPEAN LANDSCAPE OF CLIMATE LAW — https://doi.org/10.46299/979-8-89504-809-2.3</w:t>
      </w:r>
    </w:p>
    <w:p>
      <w:pPr/>
      <w:r>
        <w:rPr>
          <w:b/>
        </w:rPr>
        <w:t>Shared claim-specific concepts:</w:t>
      </w:r>
      <w:r>
        <w:t xml:space="preserve"> achievement, climate, neutrality, union, not, reduction;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pStyle w:val="Heading2"/>
      </w:pPr>
      <w:r>
        <w:t>629.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2025:</w:t>
      </w:r>
      <w:r>
        <w:t xml:space="preserve"> Exploring Different Configurations of Health Determinants in European Countries — https://doi.org/10.1002/wmh3.70011</w:t>
      </w:r>
    </w:p>
    <w:p>
      <w:pPr/>
      <w:r>
        <w:rPr>
          <w:b/>
        </w:rPr>
        <w:t>Shared claim-specific concepts:</w:t>
      </w:r>
      <w:r>
        <w:t xml:space="preserve"> six, different, potential, level; EU scope visible. This is a provisional connection, not an outcome finding.</w:t>
      </w:r>
    </w:p>
    <w:p>
      <w:pPr>
        <w:pStyle w:val="SourceNote"/>
      </w:pPr>
      <w:r>
        <w:rPr>
          <w:b/>
        </w:rPr>
        <w:t>Available abstract (not full text):</w:t>
      </w:r>
      <w:r>
        <w:t xml:space="preserve"> ABSTRACT The macro‐level determinants of health are well documented in the literature. However, the causal interrelations among these health determinants are less comprehensively understood. This study examines the potential causal relationships between health determinants and population health, measured using the Disability Adjusted Life Years (DALY) indicator. Rather than focusing on isolated causal links, this study seeks to identify causal configurations of health determinants contributing to high and low DALY levels. To this end, a fuzzy‐set qualitative comparative analysis (fsQCA) is conducted, allowing for the identification of complex causal patterns across a range of causal conditions for 25 European countries over the period 2000–2019. The findings reveal three configurations associated with high DALY levels and six configurations linked to low DALY values. Low Public health expenditures, GDP per capita, and financial development are critical factors shared by all the configurations leading to a high DALY. Other core conditions for this outcome are low private health expenditures and public debt to GDP ratio (Configurations 1 and 3) and low urbanization (Configurations 1 and 2). For low DALY, high public health expenditures (Configurations 2, 4, 5, and 6), high GDP per capita (Configurations 3, 4, 5, and 6), high financial development (Configurations 1, 2, 3, and 5), </w:t>
      </w:r>
    </w:p>
    <w:p>
      <w:pPr/>
      <w:r>
        <w:rPr>
          <w:b/>
        </w:rPr>
        <w:t>POSSIBLE 2025:</w:t>
      </w:r>
      <w:r>
        <w:t xml:space="preserve"> EuPPollNet : A European Database of Plant‐Pollinator Networks — https://doi.org/10.1111/geb.70000</w:t>
      </w:r>
    </w:p>
    <w:p>
      <w:pPr/>
      <w:r>
        <w:rPr>
          <w:b/>
        </w:rPr>
        <w:t>Shared claim-specific concepts:</w:t>
      </w:r>
      <w:r>
        <w:t xml:space="preserve"> different, level, role;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r>
        <w:rPr>
          <w:b/>
        </w:rPr>
        <w:t>POSSIBLE 2024:</w:t>
      </w:r>
      <w:r>
        <w:t xml:space="preserve"> Deciphering the variation in cuticular hydrocarbon profiles of six European honey bee subspecies — https://doi.org/10.1186/s12862-024-02325-z</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The Western honey bee (Apis mellifera) subspecies exhibit local adaptive traits that evolved in response to the different environments that characterize their native distribution ranges. An important trait is the cuticular hydrocarbon (CHC) profile, which helps to prevent desiccation and mediate communication. We compared the CHC profiles of six European subspecies (A. m. mellifera, A. m. carnica, A. m. ligustica, A. m. macedonica, A. m. iberiensis, and A. m. ruttneri) and investigated potential factors shaping their composition. We did not find evidence of adaptation of the CHC profiles of the subspecies to the climatic conditions in their distribution range. Subspecies-specific differences in CHC composition might be explained by phylogenetic constraints or genetic drift. The CHC profiles of foragers were more subspecies-specific than those of nurse bees, while the latter showed more variation in their CHC profiles, likely due to the lower desiccation stress exerted by the controlled environment inside the hive. The strongest profile differences appeared between nurse bees and foragers among all subspecies, suggesting an adaptation to social task and a role in communication. Foragers also showed an increase in the relative amount of alkanes in their profiles compared to nurses, indicating adaptation to climatic conditions.</w:t>
      </w:r>
    </w:p>
    <w:p>
      <w:pPr/>
      <w:r>
        <w:rPr>
          <w:b/>
        </w:rPr>
        <w:t>POSSIBLE 2024:</w:t>
      </w:r>
      <w:r>
        <w:t xml:space="preserve"> Multifaceted Conscription: A Comparative Study of Six European Countries — https://doi.org/10.31374/sjms.166</w:t>
      </w:r>
    </w:p>
    <w:p>
      <w:pPr/>
      <w:r>
        <w:rPr>
          <w:b/>
        </w:rPr>
        <w:t>Shared claim-specific concepts:</w:t>
      </w:r>
      <w:r>
        <w:t xml:space="preserve"> six, different, differ;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2024:</w:t>
      </w:r>
      <w:r>
        <w:t xml:space="preserve"> Configurations, dynamics, and temporality: Exploring the social networks of students and their relevance for successful transitions into higher education — https://doi.org/10.1016/j.ijedro.2024.100419</w:t>
      </w:r>
    </w:p>
    <w:p>
      <w:pPr/>
      <w:r>
        <w:rPr>
          <w:b/>
        </w:rPr>
        <w:t>Shared claim-specific concepts:</w:t>
      </w:r>
      <w:r>
        <w:t xml:space="preserve"> network, configuration, role, involvement; EU scope not established. This is a provisional connection, not an outcome finding.</w:t>
      </w:r>
    </w:p>
    <w:p>
      <w:pPr>
        <w:pStyle w:val="SourceNote"/>
      </w:pPr>
      <w:r>
        <w:rPr>
          <w:b/>
        </w:rPr>
        <w:t>Available abstract (not full text):</w:t>
      </w:r>
      <w:r>
        <w:t xml:space="preserve"> This study examines social networks' role in high-achieving students' transitions from upper secondary school to higher education. A specific focus is on the configuration of their social network, its' stability over time, and how the students experience the nature of the relationships in the network. The case study is based on three student cases selected from a pool of 52 students, and the data includes three waves of interviews with students over two years, interviews with a significant other to the students, and a subjective mapping of their social network. Analytical tools are the concepts of cultural and social capital and weak and strong ties . The study shows how social and cultural capital works within a social network, experienced from the students’ perspectives. In addition, we conclude that the transition process is fragile for students with low cultural capital regarding network configurations, significantly when changing fields of interest from upper secondary to tertiary education. Here, the importance of having weak ties is illustrated in terms of the need for field-specific influx for a bridging support role in the transition. The active involvement and reciprocal nature of the relationships are vital, and the strength of the network depends on whether it pertains over time. The results have implications for practice due to the emerging interrupted transitions </w:t>
      </w:r>
    </w:p>
    <w:p>
      <w:pPr/>
      <w:r>
        <w:rPr>
          <w:b/>
        </w:rPr>
        <w:t>POSSIBLE 2024:</w:t>
      </w:r>
      <w:r>
        <w:t xml:space="preserve"> Configuration of last-mile distribution networks for an encroaching manufacturer — https://doi.org/10.1007/s10479-024-06031-3</w:t>
      </w:r>
    </w:p>
    <w:p>
      <w:pPr/>
      <w:r>
        <w:rPr>
          <w:b/>
        </w:rPr>
        <w:t>Shared claim-specific concepts:</w:t>
      </w:r>
      <w:r>
        <w:t xml:space="preserve"> different, configuration, logistics; EU scope not established. This is a provisional connection, not an outcome finding.</w:t>
      </w:r>
    </w:p>
    <w:p>
      <w:pPr>
        <w:pStyle w:val="SourceNote"/>
      </w:pPr>
      <w:r>
        <w:rPr>
          <w:b/>
        </w:rPr>
        <w:t>Available abstract (not full text):</w:t>
      </w:r>
      <w:r>
        <w:t xml:space="preserve"> Abstract The surge of e-commerce has revolutionized distribution channels, escalating from simple single-channel frameworks to complex multi-channel and omni-channel networks. In particular developments in information technology and rising customer expectations have popularized the transition from multi- to omni-channel distribution, where the classic brick-and-mortar stores can also be part of the omni-channel distribution strategy. This evolution poses intricate challenges for manufacturers, especially in the integration and optimization of these channels. Thus, there is a strong need for an in-depth analysis of how manufacturers navigate the transition across diverse distribution channels to meet the varying needs of different customer segments. To this end, we investigate single-, multi-, and omni-channel distribution strategies for the case of a manufacturer selling both standard and customized products to different customer segments with varying preferences. A central contribution of this research is the creation of an integrated optimization model that resolves a location-routing problem, designing a complex and realistic supply chain configuration suitable for an omni-channel distribution system. This model strategically serves to fragmented customer demands through multiple shopping and delivery options. The outcomes of our study indicate that an omni-channel distribut</w:t>
      </w:r>
    </w:p>
    <w:p>
      <w:pPr/>
      <w:r>
        <w:rPr>
          <w:b/>
        </w:rPr>
        <w:t>POSSIBLE 2023:</w:t>
      </w:r>
      <w:r>
        <w:t xml:space="preserve"> Expert-Based Assessment of the Potential of Non-Wood Forest Products to Diversify Forest Bioeconomy in Six European Regions — https://doi.org/10.3390/f14020420</w:t>
      </w:r>
    </w:p>
    <w:p>
      <w:pPr/>
      <w:r>
        <w:rPr>
          <w:b/>
        </w:rPr>
        <w:t>Shared claim-specific concepts:</w:t>
      </w:r>
      <w:r>
        <w:t xml:space="preserve"> six, different, potential, differ, role, categories; EU scope visible. This is a provisional connection, not an outcome finding.</w:t>
      </w:r>
    </w:p>
    <w:p>
      <w:pPr>
        <w:pStyle w:val="SourceNote"/>
      </w:pPr>
      <w:r>
        <w:rPr>
          <w:b/>
        </w:rPr>
        <w:t>Available abstract (not full text):</w:t>
      </w:r>
      <w:r>
        <w:t xml:space="preserve"> The forest-based sector plays a significant role in supporting Europe on its pathway towards a more integrated and bio-based circular economy. Beyond the supply of timber, forest ecosystems offer a wide range of products and services beneficial to human wellbeing. Non-wood forest products (NWFPs) play an integral role in provisioning forest ecosystem services and constitute a huge portfolio of species from various taxonomic kingdoms. As diverse as the resources themselves is the list of end-products that may be derived from raw non-wood materials. Multiple value-chains of NWFPs provide benefits to actors across all stages of the supply chain. Forest management has not yet directed full attention towards NWFPs, since timber production remains the main management objective, although multi-purpose management is recognised as a key principle of the sector’s sustainability paradigm. Lack of knowledge of the socio-economic relevance of NWFPs for European societies and diverse property rights frameworks increase the complexity in forest-based decision making additionally. In this study, the future potential of 38 NWFPs for diversifying the forest bioeconomy is investigated by means of multi-criteria analysis, including stakeholder interaction and expert involvement. The results for six case studies in different biogeographical zones in Europe indicate the latent opportunities NWFPs pr</w:t>
      </w:r>
    </w:p>
    <w:p>
      <w:pPr/>
      <w:r>
        <w:rPr>
          <w:b/>
        </w:rPr>
        <w:t>POSSIBLE 2023:</w:t>
      </w:r>
      <w:r>
        <w:t xml:space="preserve"> A review of growth and development of oncology nursing in six European countries — https://doi.org/10.21037/apm-23-82</w:t>
      </w:r>
    </w:p>
    <w:p>
      <w:pPr/>
      <w:r>
        <w:rPr>
          <w:b/>
        </w:rPr>
        <w:t>Shared claim-specific concepts:</w:t>
      </w:r>
      <w:r>
        <w:t xml:space="preserve"> six, level; EU scope visible. This is a provisional connection, not an outcome finding.</w:t>
      </w:r>
    </w:p>
    <w:p>
      <w:pPr>
        <w:pStyle w:val="SourceNote"/>
      </w:pPr>
      <w:r>
        <w:rPr>
          <w:b/>
        </w:rPr>
        <w:t>Available abstract (not full text):</w:t>
      </w:r>
      <w:r>
        <w:t xml:space="preserve"> Oncology nursing consists of a branch of nursing specialised in the care of people affected by cancer. Despite its essential contribution in the field of oncology, there is lack or poor recognition as a specialty across Europe. The aim of this paper is to review the development and growth of oncology nursing in 6 diverse countries in Europe. The paper has been developed by drawing on the relevant national and European literature (e.g., in local language and English language) available in the participating countries. European and international literature has been used complementarily to contextualised the findings to the wider field of cancer nursing across the world. Furthermore, this literature has been utilised to demonstrate how the implications of the paper's outcomes can be relevant to other cancer nursing contexts. The paper discusses the pathways of the development and growth of oncology nursing in France, Cyprus, UK, Croatia, Norway, and Spain. This paper will further contribute to raising the awareness on the extent and level of contribution that oncology nurses are making to improve cancer care on a global scale. This also needs to be in accordance to the policy frameworks on a national, European and global context so that the recognition of the vital contribution of oncology nurses is complemented with its full recognition as a distinct specialty.</w:t>
      </w:r>
    </w:p>
    <w:p>
      <w:pPr/>
      <w:r>
        <w:rPr>
          <w:b/>
        </w:rPr>
        <w:t>POSSIBLE 2023:</w:t>
      </w:r>
      <w:r>
        <w:t xml:space="preserve"> Interim 2022/23 influenza vaccine effectiveness: six European studies, October 2022 to January 2023 — https://doi.org/10.2807/1560-7917.es.2023.28.21.2300116</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BackgroundBetween October 2022 and January 2023, influenza A(H1N1)pdm09, A(H3N2) and B/Victoria viruses circulated in Europe with different influenza (sub)types dominating in different areas.AimTo provide interim 2022/23 influenza vaccine effectiveness (VE) estimates from six European studies, covering 16 countries in primary care, emergency care and hospital inpatient settings.MethodsAll studies used the test-negative design, but with differences in other study characteristics, such as data sources, patient selection, case definitions and included age groups. Overall and influenza (sub)type-specific VE was estimated for each study using logistic regression adjusted for potential confounders.ResultsThere were 20,477 influenza cases recruited across the six studies, of which 16,589 (81%) were influenza A. Among all ages and settings, VE against influenza A ranged from 27 to 44%. Against A(H1N1)pdm09 (all ages and settings), VE point estimates ranged from 28% to 46%, higher among children (&lt; 18 years) at 49-77%. Against A(H3N2), overall VE ranged from 2% to 44%, also higher among children (62-70%). Against influenza B/Victoria, overall and age-specific VE were ≥ 50% (87-95% among children &lt; 18 years).ConclusionsInterim results from six European studies during the 2022/23 influenza season indicate a ≥ 27% and ≥ 50% reduction in disease occurrence among all-age influenza vaccine re</w:t>
      </w:r>
    </w:p>
    <w:p>
      <w:pPr>
        <w:pStyle w:val="Heading2"/>
      </w:pPr>
      <w:r>
        <w:t>630.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2026:</w:t>
      </w:r>
      <w:r>
        <w:t xml:space="preserve"> Martyrdom and Patience of Saint Eustathius of Mtskheta / Translation from Old Georgian, Introductory Article and Commentaries by N. Nazarov — https://doi.org/10.15407/orientw2026.03.109</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In the publication, a Ukrainian translation of one of the key texts of Old Georgian literature, The Martyrdom and Patience of St. Eustathius of Mtskheta, is presented. It was composed at the turn of the 6th and 7th centuries CE. Despite its relatively small size – approximately fifteen pages – the text is extremely rich in historical, cultural, and religious details and is highly original in terms of its literary form. The narrative concerns a craftsman (a shoemaker), a Persian by origin, who was born into the family of a Zoroastrian priest (a magus). In the thirtieth year of the reign of the Persian king Khosrow I of the Sasanian dynasty (reigned 531–579 CE), he came to Mtskheta and converted to Christianity. However, still being in his native city of Ganzak in north-western Iran he felt interest in Christianity. His apostasy from his fathers’ religion provoked outrage among the Persian colonists, who lodged complaints against him with the Sasanian administration. After interrogations, Eustathius was executed. In the course of interrogations, however, he recounted the story of his conversion, and another narrative is inserted into the story – a catechetical account of the entirety of Holy Scripture, put into the archdeacon’s mouth. Such a framed narrative form is not characteristic of other texts of the same period, whether Old Georgian or the Syriac or Byzantine hagiographies</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2025:</w:t>
      </w:r>
      <w:r>
        <w:t xml:space="preserve"> Introductory words in the Russian language: typology and their classification — https://doi.org/10.37547/ijll/volume05issue01-06</w:t>
      </w:r>
    </w:p>
    <w:p>
      <w:pPr/>
      <w:r>
        <w:rPr>
          <w:b/>
        </w:rPr>
        <w:t>Shared claim-specific concepts:</w:t>
      </w:r>
      <w:r>
        <w:t xml:space="preserve"> article, introductory, definition; EU scope not established. This is a provisional connection, not an outcome finding.</w:t>
      </w:r>
    </w:p>
    <w:p>
      <w:pPr>
        <w:pStyle w:val="SourceNote"/>
      </w:pPr>
      <w:r>
        <w:rPr>
          <w:b/>
        </w:rPr>
        <w:t>Available abstract (not full text):</w:t>
      </w:r>
      <w:r>
        <w:t xml:space="preserve"> This article examines lexical and grammatical units - introductory and modal words and provides their classification. The study presents a linguistic picture that reflects the degree of study of the use of introductory words and constructions. Based on the works of leading grammarians such as Vinogradov, Shakhmatov, Peshkovsky, Paducheva, and others, the definition of introductory and modal words is formulated and their main categories are presented. The functions of introductory words in a fiction text are also studied.</w:t>
      </w:r>
    </w:p>
    <w:p>
      <w:pPr/>
      <w:r>
        <w:rPr>
          <w:b/>
        </w:rPr>
        <w:t>POSSIBLE 2025:</w:t>
      </w:r>
      <w:r>
        <w:t xml:space="preserve"> Alexander Larionov. L.N. Tolstoy and China (1945) Introductory article, text preparation, and notes by D.V. Zabotin — https://doi.org/10.22455/2541-8297-2025-37-362-397</w:t>
      </w:r>
    </w:p>
    <w:p>
      <w:pPr/>
      <w:r>
        <w:rPr>
          <w:b/>
        </w:rPr>
        <w:t>Shared claim-specific concepts:</w:t>
      </w:r>
      <w:r>
        <w:t xml:space="preserve"> article, introductory, serious; EU scope not established. This is a provisional connection, not an outcome finding.</w:t>
      </w:r>
    </w:p>
    <w:p>
      <w:pPr>
        <w:pStyle w:val="SourceNote"/>
      </w:pPr>
      <w:r>
        <w:rPr>
          <w:b/>
        </w:rPr>
        <w:t>Available abstract (not full text):</w:t>
      </w:r>
      <w:r>
        <w:t xml:space="preserve"> Alexander Larionov’s Leo Tolstoy and China is a review article that represents one of the first serious attempts to understand “the problem of a detailed study of relations between China and Tolstoy and the interaction between Tolstoy’s work and Chinese culture” in post-war literary criticism. (Its autograph and incomplete typescript were found in the collection of the Press Department of the All-Union Society for Cultural Relations with Foreign Countries, located in the State Archive of the Russian Federation.) Compared to his predecessors, such as Paul Biryukov, a Russian publicist (Tolstoi und der Orient, 1925), and Romain Rolland, a French writer (La Réponse de l’Asie à Tolstoï, 1928), Alexander Larionov broke new ground by selecting and systematically presenting a large amount of “factual material” (in his own words, “more than one copyright sheet”). In fact, for the first time, he established an ideological sequence that would later be reached by professional scholars, Derk Bodde, an American historian and sinologist (Tolstoy and China, 1950), and Alexander Shifman, a Soviet literary critic (Leo Tolstoy and the Orient, 1960 and 1971). The main research plot is structured as follows: “Tolstoy’s Writings and Publications on China” (the Chinese Wisdom, the Water Flow, the Coffee-House of Surat, the Circle of Reading, the Epistle to the Chinese, etc.); “Tolstoy’s Readings on </w:t>
      </w:r>
    </w:p>
    <w:p>
      <w:pPr/>
      <w:r>
        <w:rPr>
          <w:b/>
        </w:rPr>
        <w:t>POSSIBLE 2025:</w:t>
      </w:r>
      <w:r>
        <w:t xml:space="preserve"> Introductory Chapter: The Translator’s Third Eye — https://doi.org/10.5772/intechopen.1010439</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Translation is far from a straightforward and technical endeavor of converting words from one language to another.Translation is a linguistic/cultural double act.It is an all-embracing, intricate, and creative act, transporting humanity, with all its inherent qualities, from one cultural/social/historical sphere to another; two eyes are insufficient to oversee such a holistic undertaking.A third eye is needed in establishing "spherical" bridges of spirit, intelligence, wisdom, and energy while building "earthly" connections among humans, linguistically, culturally, and geographically.Across irreconcilable perceptive frameworks and particularized articulation norms, a translator needs a third eye to see the underlying invisible, reach the unreachable, and reveal the disguised.Linguistic fluidity and agility, deep learning, and contextual consciousness are considered a given quality in a translator.Lawrence Venuti's seminal work, The Translator's Invisibility (2008), opens twentyfirst-century debates on foreignization vs. domestication in translation studies.He critiques American translator Norman Shapiro's view on good translation that should not draw attention to itself but be transparent like "a pane of glass" [1].Silvia Kadiu dissects the debate as one of the fundamental building blocks in translation studies:[A pane of glass] is symptomatic of the regime of fluency prevailin</w:t>
      </w:r>
    </w:p>
    <w:p>
      <w:pPr/>
      <w:r>
        <w:rPr>
          <w:b/>
        </w:rPr>
        <w:t>POSSIBLE 2025:</w:t>
      </w:r>
      <w:r>
        <w:t xml:space="preserve"> The Long Way to the Compliance of Data Retention with European Union Law — https://doi.org/10.1093/9780191998980.003.0010</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Abstract In Chapter 8 the authors examine the evolution of Italian rules on retention and access to traffic data. After some introductory remarks on the guarantees ensured by Article 15 of the Italian Constitution, protecting the freedom and secrecy of communications, special attention is paid to the evolution of the case law, considering the issues which appear most sensitive, in light of the pronouncements of the Court of Justice. The analysis therefore focuses on the principles of legality and proportionality, the control by an impartial authority and the usability of data acquired in violation of European Union law. The chapter then proceeds to examine the role and decisions of the Italian Supervisory Authority, and, finally, deals with the latest intervention of the Italian legislator on the matter, which raises some doubts on the real consistency with European requirements.</w:t>
      </w:r>
    </w:p>
    <w:p>
      <w:pPr/>
      <w:r>
        <w:rPr>
          <w:b/>
        </w:rPr>
        <w:t>POSSIBLE 2024:</w:t>
      </w:r>
      <w:r>
        <w:t xml:space="preserve"> Boris Zingerman. Letters to the Teachers (Publication, Introductory Article and Comments) — https://doi.org/10.51678/2226-0072-2024-4-312-331</w:t>
      </w:r>
    </w:p>
    <w:p>
      <w:pPr/>
      <w:r>
        <w:rPr>
          <w:b/>
        </w:rPr>
        <w:t>Shared claim-specific concepts:</w:t>
      </w:r>
      <w:r>
        <w:t xml:space="preserve"> article, after, introductory, two; EU scope not established. This is a provisional connection, not an outcome finding.</w:t>
      </w:r>
    </w:p>
    <w:p>
      <w:pPr>
        <w:pStyle w:val="SourceNote"/>
      </w:pPr>
      <w:r>
        <w:rPr>
          <w:b/>
        </w:rPr>
        <w:t>Available abstract (not full text):</w:t>
      </w:r>
      <w:r>
        <w:t xml:space="preserve"> The letters of Boris Zingerman (1928–2000) to the older generation of theatre critics, Grigory Boyadzhiev (1909–1974) and Boris Alpers (1894–1974), were written at different times and on different occasions. What unites the two letters is that they were addressed to Zingerman’s teachers at the State Institute of Theatre Arts (GITIS), where he studied at the theatre studies department (1945–1950) and then did a postgraduate course (1950–1954). However, he had not only happy memories of those times. The end of the ‘luxurious hothouse’, as Zingerman saw GITIS, came after the editorial article in the Pravda newspaper of January 28, 1949 entitled “On One Anti-patriotic Group of Theatre Critics”. In February 1949, a two-day meeting of the GITIS Academic Council was held, where Vs.N. Vsevolodsky-Gerngross, B.V. Alpers, N.M. Tarabukin, S.S. Mokulsky, G.N. Boyadzhiev, and S.S. Danilov were exposed as ‘enemies of the Soviet culture’. Students and postgraduates were then forced to attend the civil execution of the teachers. Some were frightened by it, others used it to advance in their careers. Yet others formed the generation of the sixties: B.I. Zingerman, V.M. Gaevsky, I.N. Solovieva, N.A. Krymova, Yu.S. Rybakov, M.I. Turovskaya, N.M. Zorkaya, T.I. Bachelis, and K.L. Rudnitsky. The memory of 1949 remained with them forever, having become a ‘family trauma’. The plots of professional the</w:t>
      </w:r>
    </w:p>
    <w:p>
      <w:pPr/>
      <w:r>
        <w:rPr>
          <w:b/>
        </w:rPr>
        <w:t>POSSIBLE 2024:</w:t>
      </w:r>
      <w:r>
        <w:t xml:space="preserve"> INTRODUCTORY PREFACE: Publication Patterns of the Central European Public Administration Review – A Bibliometric Analysis — https://doi.org/10.17573/cepar.2024.1.01</w:t>
      </w:r>
    </w:p>
    <w:p>
      <w:pPr/>
      <w:r>
        <w:rPr>
          <w:b/>
        </w:rPr>
        <w:t>Shared claim-specific concepts:</w:t>
      </w:r>
      <w:r>
        <w:t xml:space="preserve"> article, introductory, two; EU scope visible. This is a provisional connection, not an outcome finding.</w:t>
      </w:r>
    </w:p>
    <w:p>
      <w:pPr>
        <w:pStyle w:val="SourceNote"/>
      </w:pPr>
      <w:r>
        <w:rPr>
          <w:b/>
        </w:rPr>
        <w:t>Available abstract (not full text):</w:t>
      </w:r>
      <w:r>
        <w:t xml:space="preserve"> On the 20th anniversary of the Central European Public Administration Review (CEPAR), this study underscores the significance of the journal’s inclusion in indexing. Employing scient metrics, bibliometric techniques, and knowledge mapping, the analysis offers a comprehensive overview of CEPAR’s evolution over the past two decades, the challenges encountered following the journal’s indexing in Web of Science, and the distinctivecharacteristics of authorship patterns. The data used in bibliometric analysis was extracted from Web of Science and covers the period 2018– 2023 (103 papers), while the data for authoring analysis was collectedfrom the archives of journal volumes covering the period 2003–2023 (425 papers). Over its 21 years of existence, CEPAR has published a total of 425 articles with an average of 20 articles per year. These contributions represent the collaborative efforts of 684 authors from different countries, with the average article written by 1.61 authors. The trend in annual citations is positive, with citations increasing tenfold following indexation in Web of Science. The publications in the sample (bibliometric analysis) were written by 175 authors affiliated with 75 institutions, of which 84% contributed a single article to CEPAR’s evolution. In the five years since its indexing in Web of Science, CEPAR has garnered about 200 citations, approximately 33 per</w:t>
      </w:r>
    </w:p>
    <w:p>
      <w:pPr/>
      <w:r>
        <w:rPr>
          <w:b/>
        </w:rPr>
        <w:t>POSSIBLE 2024:</w:t>
      </w:r>
      <w:r>
        <w:t xml:space="preserve"> Śvetāśvatara-Upaniṣad 1.1-16 / Translation from Sanskrit, Introductory Article and Commentaries by Yu. Zavhorodnii — https://doi.org/10.15407/orientw2024.03.292</w:t>
      </w:r>
    </w:p>
    <w:p>
      <w:pPr/>
      <w:r>
        <w:rPr>
          <w:b/>
        </w:rPr>
        <w:t>Shared claim-specific concepts:</w:t>
      </w:r>
      <w:r>
        <w:t xml:space="preserve"> article, introductory, developed; EU scope visible. This is a provisional connection, not an outcome finding.</w:t>
      </w:r>
    </w:p>
    <w:p>
      <w:pPr>
        <w:pStyle w:val="SourceNote"/>
      </w:pPr>
      <w:r>
        <w:rPr>
          <w:b/>
        </w:rPr>
        <w:t>Available abstract (not full text):</w:t>
      </w:r>
      <w:r>
        <w:t xml:space="preserve"> The reader is offered a Ukrainian translation of the first chapter of the Śvetāśvatara-Upaniṣad. The Upaniṣads are a late Vedic genre of ancient Indian literature that completes the formation of the Vedic corpus of sacred texts. The first texts of the Upaniṣads appear around the 8th century BC. It is difficult to overestimate the importance of the Upaniṣads for the study of the origins of Indian religious and philosophical thought. Leading Indian philosophers developed the ideas of the Upaniṣads, quoted them in their own works, and, starting with Gauḍapāda, wrote their own commentaries on them. They are the first component of the triple canon (prasthānatrayī) of the Vedānta philosophical school. For more than a century, not only in world Indological circles, but also among much wider intellectual circles of various countries, primarily in Europe and North America, there has been a steady interest in the Upaniṣads. The Śvetāśvatara-Upaniṣad is one of the most authoritative and well-known Upaniṣads. It received its high recognition not only in Hindu, but also in scientific circles. And although its studies and translations have a long history, there are still many controversial and unresolved issues. Our publication is intended to renew the existing Ukrainian academic interest in the Upaniṣads, which was interrupted by the Soviet authorities in the 1920s and 1930s, and to draw at</w:t>
      </w:r>
    </w:p>
    <w:p>
      <w:pPr>
        <w:pStyle w:val="Heading2"/>
      </w:pPr>
      <w:r>
        <w:t>631.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2026:</w:t>
      </w:r>
      <w:r>
        <w:t xml:space="preserve"> Suicidal behaviour and resilience-related factors among adolescents in Poland and war-affected Western Ukraine — https://doi.org/10.1186/s13034-026-01126-0</w:t>
      </w:r>
    </w:p>
    <w:p>
      <w:pPr/>
      <w:r>
        <w:rPr>
          <w:b/>
        </w:rPr>
        <w:t>Shared claim-specific concepts:</w:t>
      </w:r>
      <w:r>
        <w:t xml:space="preserve"> usefulness, increase, health; EU scope visible. This is a provisional connection, not an outcome finding.</w:t>
      </w:r>
    </w:p>
    <w:p>
      <w:pPr>
        <w:pStyle w:val="SourceNote"/>
      </w:pPr>
      <w:r>
        <w:rPr>
          <w:b/>
        </w:rPr>
        <w:t>Available abstract (not full text):</w:t>
      </w:r>
      <w:r>
        <w:t xml:space="preserve"> BACKGROUND: The purpose of the research was to verify compensatory and protective models of resilience [14, 27] , among adolescents from Poland and war-affected Ukraine. Guided by the socio-ecological model of resilience theory, we examined the relationship between several psychosocial risk and protective factors and suicidal behaviour among adolescents. METHOD: Data were collected via online self-report questionnaires in Autumn 2024 from 14 to 15 year olds in Western Ukraine (N = 2179) and Warsaw, the capital of Poland (N = 1154). The response rate achieved was 75% in Lviv, 73% in Drohobych and 70% in Warsaw. Suicidal behaviour was measured by a 3-item Suicidal Thoughts and Behaviours scale adapted from the MINI Kid (Sheehan et al. 2010) (α = 0.87 - 0.90). Four groups of risk factors were examined: 1/ exposure to traumatic experiences, with a 9-item index, and victimization measured by two single questions; 2/ mental health problems (symptoms of depression measured by the shortened 4-item CES-D scale, non-suicidal self-injuries measured by a single question, problems of conduct measured with a 12-item index, problematic internet use measured with the Internet Disorder Scale - Short Form (IDS9-SF); 3/ substance use (alcohol, drug, cigarette and tranquiliser use, all measured with single questions); and 4/ personality characteristics that increase vulnerability (impulsiveness, m</w:t>
      </w:r>
    </w:p>
    <w:p>
      <w:pPr/>
      <w:r>
        <w:rPr>
          <w:b/>
        </w:rPr>
        <w:t>POSSIBLE 2026:</w:t>
      </w:r>
      <w:r>
        <w:t xml:space="preserve"> Informing illicit drug policy through economic evidence: using safer drug consumption facilities in Scotland as an example — https://doi.org/10.5525/gla.thesis.85843</w:t>
      </w:r>
    </w:p>
    <w:p>
      <w:pPr/>
      <w:r>
        <w:rPr>
          <w:b/>
        </w:rPr>
        <w:t>Shared claim-specific concepts:</w:t>
      </w:r>
      <w:r>
        <w:t xml:space="preserve"> approach, increase, health; EU scope not established. This is a provisional connection, not an outcome finding.</w:t>
      </w:r>
    </w:p>
    <w:p>
      <w:pPr>
        <w:pStyle w:val="SourceNote"/>
      </w:pPr>
      <w:r>
        <w:rPr>
          <w:b/>
        </w:rPr>
        <w:t>Available abstract (not full text):</w:t>
      </w:r>
      <w:r>
        <w:t xml:space="preserve"> Background: Illicit drug use continues to increase and impact individuals’ health worldwide. Critical voices surrounding the performance of enforcement-led policies continue to grow internationally, as they have been shown to be ineffective in reducing drug-related harms and lead to high expenditure to society. Instead, some countries and voices advocate a human right and public health approach to drug policymaking. These policies include decriminalisation of drug users, and services or facilities to support them, such as safe drug consumption facilities (SDCFs). The case of the SDCFs in Scotland presents a timely and highly relevant focus for this PhD work, as its implementation in the UK remains politically contested. Such a facility allows individuals to consume illicit drugs under clinical supervision, representing a public health orientated alternative to punitive, criminalisation-based responses. Incorporating scientific evidence of the services is an essential element of an evidence-based policy, and more frequently, economic evaluation and health technology assessment are being incorporated into the assessment of public health and social policies. This thesis, therefore, explores and examines whether health economics methods can support a rational and sustainable approach to drug policy decision-making in Scotland, using SDCF as an example. Methods: A multi-methods appr</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Internet Search for Illicit Drugs in Italy: Infodemiological Analysis of Six Years of Research — https://doi.org/10.1155/ghe3/6351291</w:t>
      </w:r>
    </w:p>
    <w:p>
      <w:pPr/>
      <w:r>
        <w:rPr>
          <w:b/>
        </w:rPr>
        <w:t>Shared claim-specific concepts:</w:t>
      </w:r>
      <w:r>
        <w:t xml:space="preserve"> approach, monitoring, preparedness, health; EU scope visible. This is a provisional connection, not an outcome finding.</w:t>
      </w:r>
    </w:p>
    <w:p>
      <w:pPr>
        <w:pStyle w:val="SourceNote"/>
      </w:pPr>
      <w:r>
        <w:rPr>
          <w:b/>
        </w:rPr>
        <w:t>Available abstract (not full text):</w:t>
      </w:r>
      <w:r>
        <w:t xml:space="preserve"> This study explores the potential of Internet search data from Google Trends and Wikipedia as innovative tools for monitoring public interest and behavior related to illicit drug information. Employing a cross‐sectional study design, this research investigates the correlations between search patterns on these platforms and provides insights into public health monitoring. Our analysis indicates significant correlations between searches for various illicit drugs, with correlation coefficients ranging from 0.71 to 0.83, suggesting that these searches can not only reflect but also potentially predict public interest and shifts in drug use patterns. This approach highlights specific periods and demographics showing increased interest in drugs, thereby allowing for targeted public health interventions. The study found that searches related to drugs like cannabis, cocaine, and opioids are not only frequent but also show a tendency to be conducted in tandem, possibly due to synergistic effects. Moreover, the data underscore the importance of providing timely and accurate information to the public through authoritative online sources. With the vast reach of the Internet, ensuring that institutional websites and social networks offer correct information becomes crucial to prevent the spread of misinformation. This study supports Internet‐based data as a complementary tool to traditional </w:t>
      </w:r>
    </w:p>
    <w:p>
      <w:pPr/>
      <w:r>
        <w:rPr>
          <w:b/>
        </w:rPr>
        <w:t>POSSIBLE 2025:</w:t>
      </w:r>
      <w:r>
        <w:t xml:space="preserve"> Impact of COVID-19 on Substance Use Disorder Treatment: Examining the Influence of In-Person and Telehealth Intervention on Outcomes Using Real-World Data — https://doi.org/10.3390/healthcare13010084</w:t>
      </w:r>
    </w:p>
    <w:p>
      <w:pPr/>
      <w:r>
        <w:rPr>
          <w:b/>
        </w:rPr>
        <w:t>Shared claim-specific concepts:</w:t>
      </w:r>
      <w:r>
        <w:t xml:space="preserve"> usefulness, activities, increase, health, analysed; EU scope not established. This is a provisional connection, not an outcome finding.</w:t>
      </w:r>
    </w:p>
    <w:p>
      <w:pPr>
        <w:pStyle w:val="SourceNote"/>
      </w:pPr>
      <w:r>
        <w:rPr>
          <w:b/>
        </w:rPr>
        <w:t>Available abstract (not full text):</w:t>
      </w:r>
      <w:r>
        <w:t xml:space="preserve"> Background: Telehealth services have experienced a rapid implementation in addiction centres in the aftermath of the COVID pandemic. Several studies highlight the usefulness of telehealth activities. However, there are relatively fewer studies using real-world data, evaluating its effectiveness across different moments in time. The present study analyse the evolution, patient profile and effectiveness of an hybrid care modality (in-person and telehealth) versus an only in-person patient care modality. Methods: Retrospective observational study with data collected between 03/14/2019 and 06/21/2023. The electronic health records of 44930 patients were analysed according to different moments, selected based on the different health measures imposed by the COVID pandemic. Patients were classified according to whether they received an in-person or hybrid intervention. Bivariate statistics and logistic regression analysis were applied. Results: The trend over time shows an increase in the number of patients seen in addiction centres. However, there are no notable changes within the in-person care modality, and a modest increase in telehealth services is observed. Telehealth is primarily used among patients with opiate addiction, as well as with those with comorbid mental disorders. Logistic regression analysis shows that patients in a hybrid modality are more likely to remain in treat</w:t>
      </w:r>
    </w:p>
    <w:p>
      <w:pPr/>
      <w:r>
        <w:rPr>
          <w:b/>
        </w:rPr>
        <w:t>POSSIBLE 2024:</w:t>
      </w:r>
      <w:r>
        <w:t xml:space="preserve"> Internship Report at the EMCDDA 's Public Health Unit - Insights into the Medical Use of Psychedelic Substances in the EU: regulatory frameworks, public health challenges and future directions. — https://doi.org/10.34626/0gxt-rw14</w:t>
      </w:r>
    </w:p>
    <w:p>
      <w:pPr/>
      <w:r>
        <w:rPr>
          <w:b/>
        </w:rPr>
        <w:t>Shared claim-specific concepts:</w:t>
      </w:r>
      <w:r>
        <w:t xml:space="preserve"> emcdda, monitoring, challenges, health; EU scope visible. This is a provisional connection, not an outcome finding.</w:t>
      </w:r>
    </w:p>
    <w:p>
      <w:pPr>
        <w:pStyle w:val="SourceNote"/>
      </w:pPr>
      <w:r>
        <w:rPr>
          <w:b/>
        </w:rPr>
        <w:t>Available abstract (not full text):</w:t>
      </w:r>
      <w:r>
        <w:t xml:space="preserve"> Avanços recentes na aplicação médica de substâncias psicodélicas para uma série de transtornos de saúde mental e cuidados paliativos despertaram um interesse substancial em todo o mundo. Este interesse acrescido está enraizado no reconhecimento do potencial terapêutico de substâncias psicadélicas específicas e é alimentado pela necessidade de opções de tratamento eficazes para perturbações mentais complexas. Como resultado, surgiram quadros regulamentares diversos e em evolução em todo o mundo, levantando importantes desafios de saúde pública. Uma preocupação fundamental gira em torno do estabelecimento de quadros regulamentares robustos e da adaptação de políticas para garantir a utilização segura e equitativa de substâncias psicadélicas em ambientes médicos, minimizando assim os riscos potenciais. Este esforço implica navegar em intrincados cenários éticos e legais. Além disso, a supervisão regulamentar é indispensável para conter a proliferação de práticas psicadélicas não licenciadas ou ilícitas, que podem pôr em perigo os indivíduos que procuram tratamento. Para abordar estes cenários em evolução, o European Monitoring Centre for Drugs and Drug Addiction (EMCDDA) iniciou vários projetos destinados, em primeiro lugar, a melhorar a compreensão da utilização médica destas substâncias, incluindo investigação sobre a eficácia, os danos potenciais, os quadros regulamentares e as</w:t>
      </w:r>
    </w:p>
    <w:p>
      <w:pPr/>
      <w:r>
        <w:rPr>
          <w:b/>
        </w:rPr>
        <w:t>POSSIBLE 2024:</w:t>
      </w:r>
      <w:r>
        <w:t xml:space="preserve"> European Homicide Monitor: Research, New Developments, and Future — https://doi.org/10.1177/10439862241253386</w:t>
      </w:r>
    </w:p>
    <w:p>
      <w:pPr/>
      <w:r>
        <w:rPr>
          <w:b/>
        </w:rPr>
        <w:t>Shared claim-specific concepts:</w:t>
      </w:r>
      <w:r>
        <w:t xml:space="preserve"> approach, challenges; EU scope visible. This is a provisional connection, not an outcome finding.</w:t>
      </w:r>
    </w:p>
    <w:p>
      <w:pPr>
        <w:pStyle w:val="SourceNote"/>
      </w:pPr>
      <w:r>
        <w:rPr>
          <w:b/>
        </w:rPr>
        <w:t>Available abstract (not full text):</w:t>
      </w:r>
      <w:r>
        <w:t xml:space="preserve"> Homicide as the most serious form of lethal violence has always represented an important research focus in criminology. Much of the existing research, however, is based on aggregated homicide data and is limited to macrolevel analyses. The European Homicide Monitor (EHM) is an initiative promoting standardized international data collection, with the aim of collecting disaggregated and detailed data on homicide. Originally developed by researchers from the Netherlands, Sweden, and Finland, the EHM coding scheme is currently applied in several European countries. In this article, we take stock of the use of the EHM approach by describing its key principles and aims. We also review research conducted within the EHM framework and identify the most significant developments in its use, such as expanding to the Global South, to the historical past, and to more accurate measurement of drug-related incidents. We conclude this investigation by discussing the challenges facing future research in this domain.</w:t>
      </w:r>
    </w:p>
    <w:p>
      <w:pPr/>
      <w:r>
        <w:rPr>
          <w:b/>
        </w:rPr>
        <w:t>POSSIBLE 2024:</w:t>
      </w:r>
      <w:r>
        <w:t xml:space="preserve"> Progress and challenges in the elimination of hepatitis C among people who inject drugs in Germany: results of a pilot study for a national monitoring system, 10 years after the first data collection — https://doi.org/10.1186/s12954-024-01119-2</w:t>
      </w:r>
    </w:p>
    <w:p>
      <w:pPr/>
      <w:r>
        <w:rPr>
          <w:b/>
        </w:rPr>
        <w:t>Shared claim-specific concepts:</w:t>
      </w:r>
      <w:r>
        <w:t xml:space="preserve"> piloted, monitoring, system, help, challenges, health; EU scope visible. This is a provisional connection, not an outcome finding.</w:t>
      </w:r>
    </w:p>
    <w:p>
      <w:pPr>
        <w:pStyle w:val="SourceNote"/>
      </w:pPr>
      <w:r>
        <w:rPr>
          <w:b/>
        </w:rPr>
        <w:t>Available abstract (not full text):</w:t>
      </w:r>
      <w:r>
        <w:t xml:space="preserve"> BACKGROUND: People who inject drugs (PWID) are at high risk of blood-borne infections, and injection drug use contributes significantly to hepatitis C virus (HCV) transmission. The WHO has therefore set targets of reducing HCV incidence and prevalence among PWID and increasing treatment coverage to eliminate HCV by 2030. The DRUCK study (2011-2014) found high HCV prevalence and low treatment coverage among PWID in Germany. To assess progress in the elimination of HCV among PWID, we conducted a cross-sectional study in two German federal states that piloted a future monitoring. METHODS: PWID aged 16 + who injected drugs (previous 12 months) were recruited in low-threshold drug services and opioid agonist treatment (OAT) practices in Berlin and Bavaria between June 2021 and April 2022. Participants completed a questionnaire on sociodemographics, behaviours and access to care, and were tested for hepatitis B virus (HBV) and HCV, and HIV. Data was analysed regarding HCV prevalence, history of treatment, and risk and prevention behaviours. Results were compared with the DRUCK study. RESULTS: A total of 588 PWID, with a median age of 39 (range: 17-66) years and 68% (399/587) male, were included in the analysis. Of the participants, 61% (353/574) reported receiving OAT and 14% (66/469) recent use of shared needles/syringes during the last 30 days. History of imprisonment was reported </w:t>
      </w:r>
    </w:p>
    <w:p>
      <w:pPr>
        <w:pStyle w:val="Heading2"/>
      </w:pPr>
      <w:r>
        <w:t>632.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2024:</w:t>
      </w:r>
      <w:r>
        <w:t xml:space="preserve"> Overcoming the central planner approach – Bilevel optimization of the European energy transition — https://doi.org/10.1016/j.isci.2024.110168</w:t>
      </w:r>
    </w:p>
    <w:p>
      <w:pPr/>
      <w:r>
        <w:rPr>
          <w:b/>
        </w:rPr>
        <w:t>Shared claim-specific concepts:</w:t>
      </w:r>
      <w:r>
        <w:t xml:space="preserve"> central, energy, system, find; EU scope visible. This is a provisional connection, not an outcome finding.</w:t>
      </w:r>
    </w:p>
    <w:p>
      <w:pPr>
        <w:pStyle w:val="SourceNote"/>
      </w:pPr>
      <w:r>
        <w:rPr>
          <w:b/>
        </w:rPr>
        <w:t>Available abstract (not full text):</w:t>
      </w:r>
      <w:r>
        <w:t xml:space="preserve">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pPr/>
      <w:r>
        <w:rPr>
          <w:b/>
        </w:rPr>
        <w:t>POSSIBLE 2024:</w:t>
      </w:r>
      <w:r>
        <w:t xml:space="preserve"> Study of the feasibility of energy transition policies applicable in Colombia based on the analysis of international references. — https://openalex.org/W7133450036</w:t>
      </w:r>
    </w:p>
    <w:p>
      <w:pPr/>
      <w:r>
        <w:rPr>
          <w:b/>
        </w:rPr>
        <w:t>Shared claim-specific concepts:</w:t>
      </w:r>
      <w:r>
        <w:t xml:space="preserve"> based, energy, policies; EU scope not established. This is a provisional connection, not an outcome finding.</w:t>
      </w:r>
    </w:p>
    <w:p>
      <w:pPr>
        <w:pStyle w:val="SourceNote"/>
      </w:pPr>
      <w:r>
        <w:rPr>
          <w:b/>
        </w:rPr>
        <w:t>Available abstract (not full text):</w:t>
      </w:r>
      <w:r>
        <w:t xml:space="preserve"> La transición energética es cada día una realidad más cercana a la nuestra razón por la cual en 2015 se firmó el acuerdo de Paris, el cual, propone llegar a la carbono neutralidad para el año 2050 manteniendo el aumento de la temperatura hasta un nivel máximo de 1.5°C por encima de los niveles preindustriales como su objetivo principal. En la COP 27 realizada el año 2022, 7 años después de la firma del acuerdo los balances realizados por la ONU no muestran resultados alentadores, con la tendencia global actual para el año 2030 se registrarían temperaturas 10% mayores a las registradas en el año 2010. Situación crítica que obliga a intensificar los esfuerzos de manera global, en este orden de ideas y entendiendo que los contextos para llevar a cabo transiciones exitosas son diferentes para cada país, se intentan identificar diferentes estrategias y estructuras que se acomoden al contexto colombiano, partiendo del estudio de referentes internacionales con modelos de transición energética avanzados.</w:t>
      </w:r>
    </w:p>
    <w:p>
      <w:pPr/>
      <w:r>
        <w:rPr>
          <w:b/>
        </w:rPr>
        <w:t>POSSIBLE 2024:</w:t>
      </w:r>
      <w:r>
        <w:t xml:space="preserve"> Impacts of large-scale deployment of vertical bifacial photovoltaics on European electricity market dynamics — https://doi.org/10.1038/s41467-024-50762-7</w:t>
      </w:r>
    </w:p>
    <w:p>
      <w:pPr/>
      <w:r>
        <w:rPr>
          <w:b/>
        </w:rPr>
        <w:t>Shared claim-specific concepts:</w:t>
      </w:r>
      <w:r>
        <w:t xml:space="preserve"> energy, system, policies, introduced; EU scope visible. This is a provisional connection, not an outcome finding.</w:t>
      </w:r>
    </w:p>
    <w:p>
      <w:pPr>
        <w:pStyle w:val="SourceNote"/>
      </w:pPr>
      <w:r>
        <w:rPr>
          <w:b/>
        </w:rPr>
        <w:t>Available abstract (not full text):</w:t>
      </w:r>
      <w:r>
        <w:t xml:space="preserve"> Self-sufficiency, climate change and increasing geopolitical risks have driven energy policies to make renewable energy sources dominant in the power production portfolios. The initial boom in the mid-2000s of global photovoltaic installations demonstrated the feasibility of the ambitious renewable energy targets. However, this rapid scale-up has introduced challenges, including price volatility and system integration issues. This communication calls the attention to these emerging challenges and offers quantitative insights on how rapid adoption of a more diversified photovoltaics deployment strategies can mitigate price volatilities, reduce fossil fuel dependence and steer Europe towards a forward-thinking sustainable energy pathway. The analysis reveals that as innovative bifacial photovoltaic systems are incorporated on a large-scale disruptive scenario, four main patterns emerge: economic value of solar production increases, base-load electricity price decreases, sun-rich countries expand their solar contributions, whereas nations with ample grid interconnections enhance their energy imports from neighbouring countries. It also underscores the importance of maintaining photovoltaics an attractive option for energy investors and traders in the future. Establishing this groundwork is critical since a successful integration of large-scale solar systems contributing to decreas</w:t>
      </w:r>
    </w:p>
    <w:p>
      <w:pPr/>
      <w:r>
        <w:rPr>
          <w:b/>
        </w:rPr>
        <w:t>POSSIBLE 2024:</w:t>
      </w:r>
      <w:r>
        <w:t xml:space="preserve"> THE EUROPEAN UNION'S GLOBAL GATEWAY IN THE FRAMEWORK OF SINO-EUROPEAN RELATIONS — https://doi.org/10.51799/2763-8685v4n2014</w:t>
      </w:r>
    </w:p>
    <w:p>
      <w:pPr/>
      <w:r>
        <w:rPr>
          <w:b/>
        </w:rPr>
        <w:t>Shared claim-specific concepts:</w:t>
      </w:r>
      <w:r>
        <w:t xml:space="preserve"> based, system, policies; EU scope visible. This is a provisional connection, not an outcome finding.</w:t>
      </w:r>
    </w:p>
    <w:p>
      <w:pPr>
        <w:pStyle w:val="SourceNote"/>
      </w:pPr>
      <w:r>
        <w:rPr>
          <w:b/>
        </w:rPr>
        <w:t>Available abstract (not full text):</w:t>
      </w:r>
      <w:r>
        <w:t xml:space="preserve"> This article aims to analyze the European Union proposal called Global Gateway, a new instrument reflecting Brussels’ medium-term strategy to compete with the Belt and Road Initiative of the People’s Republic of China. This analysis will focus on how the Global Gateway not only represents an economic and geopolitical response to the Chinese initiative, but also how it embodies the promotion of EU values and democracy at the global level. It will begin by examining the historical positions that the European Union has been defending with regard to the Asian country, with a geopolitical and geoeconomic analysis of the relations between the two actors. In light of the paradigm shift in these relationships as of 2019, the project that gives name to this document is studied in depth. Based on a thematic review of existing literature, it will analyze how Brussels uses the programme to disseminate its principles and values through cooperation and development policies. Finally, the implications of the Global Gateway in the current international system and its possible collision with the aforementioned Chinese project will be observed, paying particular attention to how this instrument influences global competition for leadership in infrastructure and connectivity and how it can serve as a vehicle for the globalization of European values, promoting democracy and respect for human rights </w:t>
      </w:r>
    </w:p>
    <w:p>
      <w:pPr/>
      <w:r>
        <w:rPr>
          <w:b/>
        </w:rPr>
        <w:t>POSSIBLE 2023:</w:t>
      </w:r>
      <w:r>
        <w:t xml:space="preserve"> “The heat of a multitudinous assembly”: Striking short fiction and the rise of feminist potencia — https://doi.org/10.1111/lic3.12740</w:t>
      </w:r>
    </w:p>
    <w:p>
      <w:pPr/>
      <w:r>
        <w:rPr>
          <w:b/>
        </w:rPr>
        <w:t>Shared claim-specific concepts:</w:t>
      </w:r>
      <w:r>
        <w:t xml:space="preserve"> based, potencia, energy, potential; EU scope not established. This is a provisional connection, not an outcome finding.</w:t>
      </w:r>
    </w:p>
    <w:p>
      <w:pPr>
        <w:pStyle w:val="SourceNote"/>
      </w:pPr>
      <w:r>
        <w:rPr>
          <w:b/>
        </w:rPr>
        <w:t>Available abstract (not full text):</w:t>
      </w:r>
      <w:r>
        <w:t xml:space="preserve"> Abstract This article considers how a recent wave of Latin American short fiction captures with immediate topicality new forms of transversal political subjectivity engendered by the international feminist reinvention of the strike in the 21st century. Drawing on Verónica Gago's theorization of the political cartography of feminist potencia (power), alongside the work of Silvia Federici, Rita Segato and Sayak Valencia, it considers how the short story form facilitates a strategic recognition of interconnected violences perpetrated against women and feminized bodies, “mapping forms of violence based on their organic connection, without losing sight of the singularity of the production of the nexus between them” (Gago, 2020, p. 58). In particular, the article examines two exemplary short story collections, Cars on Fire (2020) by Mónica Ramón Ríos and Things We Lost in the Fire (2017) by Mariana Enríquez, considering how these writers repurpose the potential for socio‐criticism embedded in the fantastical short story by offering a multi‐focal critique of how patriarchy and gender violence interact with the structural inequalities unleashed by neoliberal capitalism. The article also considers how these riotous collections mediate the transversal fabric of communitarian struggle in feminist imaginaries, drawing narrative energy from the localised proliferation of neighbourhood assem</w:t>
      </w:r>
    </w:p>
    <w:p>
      <w:pPr/>
      <w:r>
        <w:rPr>
          <w:b/>
        </w:rPr>
        <w:t>POSSIBLE 2023:</w:t>
      </w:r>
      <w:r>
        <w:t xml:space="preserve"> Energy management in collaborative power electronics-based microgrid integrated with renewable energies — https://doi.org/10.5821/dissertation-2117-399823</w:t>
      </w:r>
    </w:p>
    <w:p>
      <w:pPr/>
      <w:r>
        <w:rPr>
          <w:b/>
        </w:rPr>
        <w:t>Shared claim-specific concepts:</w:t>
      </w:r>
      <w:r>
        <w:t xml:space="preserve"> based, energy, introduced, potential, specifically; EU scope not established. This is a provisional connection, not an outcome finding.</w:t>
      </w:r>
    </w:p>
    <w:p>
      <w:pPr>
        <w:pStyle w:val="SourceNote"/>
      </w:pPr>
      <w:r>
        <w:rPr>
          <w:b/>
        </w:rPr>
        <w:t>Available abstract (not full text):</w:t>
      </w:r>
      <w:r>
        <w:t xml:space="preserve"> (English) This thesis is introduced the research performed on microgrid applications, especially in cooperative operating mode. The research is conducted considering two main challenging aspects of microgrid operation over the last years. The reliable and optimum operation of microgrids is surveyed by focusing on: energy management systems, specifically in collaborative microgrid operation and robust power electronics interfaces. This thesis presents a comprehensive review of optimization methods for individual and community microgrids. In addition, different control strategies applied in microgrid systems are studied. The potential pros and cons of various control strategies are analyzed, and the background studies bring brilliant and smart solutions for optimal control in a networked microgrid. A supervised and unsupervised learning clustering is developed in order to control a networked microgrid consisting of industrial, commercial, and residential microgrids. The clustering algorithms are performed based on the maximum load demand and operating reserve of the microgrid. Furthermore, a component size procedure for dispatchable units in a networked microgrid is presented. The proposed algorithm evaluates the component size considering the operating reserve of microgrids. To diminish the adverse effect of component size reduction on microgrids’ reliability, the proposed reduc</w:t>
      </w:r>
    </w:p>
    <w:p>
      <w:pPr/>
      <w:r>
        <w:rPr>
          <w:b/>
        </w:rPr>
        <w:t>POSSIBLE 2023:</w:t>
      </w:r>
      <w:r>
        <w:t xml:space="preserve"> Analysis of European-policies and incentives for microgrids — https://doi.org/10.24084/reepqj23.209</w:t>
      </w:r>
    </w:p>
    <w:p>
      <w:pPr/>
      <w:r>
        <w:rPr>
          <w:b/>
        </w:rPr>
        <w:t>Shared claim-specific concepts:</w:t>
      </w:r>
      <w:r>
        <w:t xml:space="preserve"> based, energy, introduced; EU scope visible. This is a provisional connection, not an outcome finding.</w:t>
      </w:r>
    </w:p>
    <w:p>
      <w:pPr>
        <w:pStyle w:val="SourceNote"/>
      </w:pPr>
      <w:r>
        <w:rPr>
          <w:b/>
        </w:rPr>
        <w:t>Available abstract (not full text):</w:t>
      </w:r>
      <w:r>
        <w:t xml:space="preserve"> One of the best solutions to face the problems in the current European electric systems is based on the implementation of microgrids as a way of increasing the consumption from renewable energy (RE) sources, improving energy efficiency, decreasing GHG emissions and, as a consequence, complying with European Commission (EC) 2020 targets.In this line, different EU regulations have been established but the particularities of each member state regulatory framework could appear as a barrier.For this reason, it is important to study how member states are carrying out the tasks associated with the penetration of microgrids, studying how European directives are transposed and incentives introduced.Besides, representative projects and demonstration cases for microgrids are shown, in order to determine the feasibility of the introduction of this novel concept in real situations.</w:t>
      </w:r>
    </w:p>
    <w:p>
      <w:pPr/>
      <w:r>
        <w:rPr>
          <w:b/>
        </w:rPr>
        <w:t>POSSIBLE 2023:</w:t>
      </w:r>
      <w:r>
        <w:t xml:space="preserve"> Evolution of digital activism on social media: opportunities and challenges — https://doi.org/10.3145/epi.2023.may.03</w:t>
      </w:r>
    </w:p>
    <w:p>
      <w:pPr/>
      <w:r>
        <w:rPr>
          <w:b/>
        </w:rPr>
        <w:t>Shared claim-specific concepts:</w:t>
      </w:r>
      <w:r>
        <w:t xml:space="preserve"> based, evolution, assumption; EU scope not established. This is a provisional connection, not an outcome finding.</w:t>
      </w:r>
    </w:p>
    <w:p>
      <w:pPr>
        <w:pStyle w:val="SourceNote"/>
      </w:pPr>
      <w:r>
        <w:rPr>
          <w:b/>
        </w:rPr>
        <w:t>Available abstract (not full text):</w:t>
      </w:r>
      <w:r>
        <w:t xml:space="preserve"> The social media revolution has affected all areas, including activism. However, there is scepticism about its emancipatory capacity, and it is considered by some to be a distorted form of activism. This article presents a review of the existing literature on digital activism, starting with the concept itself, and examines its impact on the organisation of activists and citizen participation. Likewise, based on the platformisation of these spaces and the evolution of their affordances, we observe a growth in individual, strategic and low-commitment participation, the accentuation of the role of emotions in media that promote virality, and the assumption of playful forms of politainment by activists –especially on TikTok–. On the other hand, the strategies carried out by organisations to promote activism in relation to their causes are investigated, such as the generation of arguments provided by the interest group and the involvement in an action of dissemination, co-creation and replication of activists. Finally, the main challenges of digital activism are indicated: the growing inequality in terms of access to algorithmic visibility between activists and brands, influencers and interest groups; the desirability of complementing playful activism with work in alternative digital media that allows for more stable forms of collaboration; and the need to protect activists against </w:t>
      </w:r>
    </w:p>
    <w:p>
      <w:pPr/>
      <w:r>
        <w:rPr>
          <w:b/>
        </w:rPr>
        <w:t>POSSIBLE 2022:</w:t>
      </w:r>
      <w:r>
        <w:t xml:space="preserve"> Existing tools, user needs and required model adjustments for energy demand modelling of a carbon-neutral Europe — https://doi.org/10.1016/j.erss.2022.102662</w:t>
      </w:r>
    </w:p>
    <w:p>
      <w:pPr/>
      <w:r>
        <w:rPr>
          <w:b/>
        </w:rPr>
        <w:t>Shared claim-specific concepts:</w:t>
      </w:r>
      <w:r>
        <w:t xml:space="preserve"> based, energy, further, policies; EU scope visible. This is a provisional connection, not an outcome finding.</w:t>
      </w:r>
    </w:p>
    <w:p>
      <w:pPr>
        <w:pStyle w:val="SourceNote"/>
      </w:pPr>
      <w:r>
        <w:rPr>
          <w:b/>
        </w:rPr>
        <w:t>Available abstract (not full text):</w:t>
      </w:r>
      <w:r>
        <w:t xml:space="preserve"> To achieve the European Union's target for climate neutrality by 2050 reduced energy demand will make the transition process faster and cheaper. The role of policies that support energy efficiency measures and demand-side management practices will be critical and to ensure that energy demand models are relevant to policymakers and other end-users, understanding how to further improve the models and whether they are tailored to user needs to support efficient decision-making processes is crucial. So far though, no scientific studies have examined the key user needs for energy demand modelling in the context of the climate neutrality targets. In this article we address this gap using a multi-method approach based on empirical and desk research. Through survey and stakeholder meetings and workshops we identify user needs of different stakeholder groups, and we highlight the direction in which energy demand models need to be improved to be relevant to their users. Through a detailed review of existing energy demand models, we provide a full understanding of the key characteristics and capabilities of existing tools, and we identify their limitations and gaps. Our findings show that classical demand-related questions remain important to model users, while most of the existing models can answer these questions. Furthermore, we show that some of the user needs related to sectoral dema</w:t>
      </w:r>
    </w:p>
    <w:p>
      <w:pPr>
        <w:pStyle w:val="Heading2"/>
      </w:pPr>
      <w:r>
        <w:t>633.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2026:</w:t>
      </w:r>
      <w:r>
        <w:t xml:space="preserve"> Differentiated impacts of climate physical risks on the Indian power sector — https://doi.org/10.1016/j.isci.2026.115697</w:t>
      </w:r>
    </w:p>
    <w:p>
      <w:pPr/>
      <w:r>
        <w:rPr>
          <w:b/>
        </w:rPr>
        <w:t>Shared claim-specific concepts:</w:t>
      </w:r>
      <w:r>
        <w:t xml:space="preserve"> power, sector, presents, climate; EU scope not established. This is a provisional connection, not an outcome finding.</w:t>
      </w:r>
    </w:p>
    <w:p>
      <w:pPr>
        <w:pStyle w:val="SourceNote"/>
      </w:pPr>
      <w:r>
        <w:rPr>
          <w:b/>
        </w:rPr>
        <w:t>Available abstract (not full text):</w:t>
      </w:r>
      <w:r>
        <w:t xml:space="preserve"> As India faces decarbonization and climate hazards, analyzing financial implications of climate-related risks for power sector is critical. This study presents a forward-looking, location focused, technology-wise analysis of physical climate risks for Indian power companies using novel asset-level methodologies. To assess physical risks, particularly flood exposure, we use spatially explicit modeling across 424 power-generating assets representing over 90% of India's capacity. Monte Carlo simulations reveal that without protective infrastructure, average losses exceed 19%, with 99th percentile tail risks surpassing 24%. However, investment in 100-year flood protection reduces average losses to under 1% and tail risks to below 2%. Results show that the effectiveness of risk mitigation varies significantly by technology and geography, with coal and gas assets benefiting most from protective investments, and coastal regions like Kerala and Gujarat showing highest vulnerabilities. This study provides a comprehensive empirical quantification of physical climate risks for Indian power firms at asset levels.</w:t>
      </w:r>
    </w:p>
    <w:p>
      <w:pPr/>
      <w:r>
        <w:rPr>
          <w:b/>
        </w:rPr>
        <w:t>POSSIBLE 2026:</w:t>
      </w:r>
      <w:r>
        <w:t xml:space="preserve"> Independent Expert Review of the Work "Digital Transformation of Ukraine's Electric Power Sector and Its Integration into the European Energy Area" — https://doi.org/10.5281/zenodo.22795337</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Independent Expert Review of the Work "Digital Transformation of Ukraine's Electric Power Sector and Its Integration into the European Energy Area" — https://doi.org/10.5281/zenodo.22795338</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2025:</w:t>
      </w:r>
      <w:r>
        <w:t xml:space="preserve"> Decadal Prediction for the European Energy Sector — https://doi.org/10.1002/met.70054</w:t>
      </w:r>
    </w:p>
    <w:p>
      <w:pPr/>
      <w:r>
        <w:rPr>
          <w:b/>
        </w:rPr>
        <w:t>Shared claim-specific concepts:</w:t>
      </w:r>
      <w:r>
        <w:t xml:space="preserve"> power, sector, share, electricity, wind, climate; EU scope visible. This is a provisional connection, not an outcome finding.</w:t>
      </w:r>
    </w:p>
    <w:p>
      <w:pPr>
        <w:pStyle w:val="SourceNote"/>
      </w:pPr>
      <w:r>
        <w:rPr>
          <w:b/>
        </w:rPr>
        <w:t>Available abstract (not full text):</w:t>
      </w:r>
      <w:r>
        <w:t xml:space="preserve"> ABSTRACT The timescale of decadal climate predictions, from a year‐ahead up to a decade, is an important planning horizon for stakeholders in the energy sector. With power systems transitioning towards a greater share of renewable energy sources, these systems become more sensitive to the variability of weather and climate, thus necessitating the provision of long‐range climate predictions to ensure effective planning and operation. As decadal predictions sample both the internal variability of the climate and the externally forced response, these forecasts potentially provide useful information for the upcoming decade. Here, we show for the first time that it is possible to make skillful decadal predictions for a range of energy sector relevant climate variables over the European region. We apply post‐processing techniques and identify skill in certain regions during both summer and winter for temperature, solar irradiance, and precipitation. We also show significant skill for 850 hPa zonal wind speed and the North Atlantic Oscillation during the extended winter period (October–March). We demonstrate how these forecasts can be used for important energy indicators, such as offshore wind capacity factors, comparing the skill of direct model output (using forecast variables directly) and pattern‐based approaches (e.g., using the NAO index). We find significant skill for predictio</w:t>
      </w:r>
    </w:p>
    <w:p>
      <w:pPr/>
      <w:r>
        <w:rPr>
          <w:b/>
        </w:rPr>
        <w:t>POSSIBLE 2025:</w:t>
      </w:r>
      <w:r>
        <w:t xml:space="preserve"> Decoupling carbon emissions from power sector growth in Indonesia — https://doi.org/10.1007/s44274-025-00426-0</w:t>
      </w:r>
    </w:p>
    <w:p>
      <w:pPr/>
      <w:r>
        <w:rPr>
          <w:b/>
        </w:rPr>
        <w:t>Shared claim-specific concepts:</w:t>
      </w:r>
      <w:r>
        <w:t xml:space="preserve"> power, sector, electricity, energy; EU scope not established. This is a provisional connection, not an outcome finding.</w:t>
      </w:r>
    </w:p>
    <w:p>
      <w:pPr>
        <w:pStyle w:val="SourceNote"/>
      </w:pPr>
      <w:r>
        <w:rPr>
          <w:b/>
        </w:rPr>
        <w:t>Available abstract (not full text):</w:t>
      </w:r>
      <w:r>
        <w:t xml:space="preserve"> Abstract As a major emitter in Indonesia’s fossil fuel–dominated energy system, the electricity sector plays a pivotal role in driving the country’s low-carbon transition. Thus, this paper examined the decoupling status and driving factors of CO₂ emissions in Indonesia from 2001 to 2023 by developing a comprehensive framework that integrates the Tapio decoupling model with the LMDI decomposition technique. Strong decoupling occurred only in a few periods (e.g., 2008–2009, 2015–2016, 2017–2018), while most years exhibited either relative decoupling or no decoupling. Further analysis reveals that electricity output is the primary driver of carbon emission growth, while improvements in energy intensity are the most significant factor in reducing emissions. The contributions of power generation structure and energy mix to emission mitigation remain relatively modest, while the influence of emission factors is negligible. These findings underscore the urgent need for Indonesia to improve energy efficiency, accelerate renewable energy deployment, and establish a more stable and systematic decarbonization framework for its power sector.</w:t>
      </w:r>
    </w:p>
    <w:p>
      <w:pPr>
        <w:pStyle w:val="Heading2"/>
      </w:pPr>
      <w:r>
        <w:t>634.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APPELLATE BODY OF THE WORLD TRADE ORGANIZATION CRISIS: CONSEQUENCES AND PATHWAYS TO REFORM — https://openalex.org/W7216665610</w:t>
      </w:r>
    </w:p>
    <w:p>
      <w:pPr/>
      <w:r>
        <w:rPr>
          <w:b/>
        </w:rPr>
        <w:t>Shared claim-specific concepts:</w:t>
      </w:r>
      <w:r>
        <w:t xml:space="preserve"> requires, interim, all; EU scope not established. This is a provisional connection, not an outcome finding.</w:t>
      </w:r>
    </w:p>
    <w:p>
      <w:pPr>
        <w:pStyle w:val="SourceNote"/>
      </w:pPr>
      <w:r>
        <w:rPr>
          <w:b/>
        </w:rPr>
        <w:t>Available abstract (not full text):</w:t>
      </w:r>
      <w:r>
        <w:t xml:space="preserve"> The paralysis of the World Trade Organization's Appellate Body since December 2019 has precipitated the gravest institutional crisis in the history of the multilateral trading system. The inability of WTO Members to agree on new appointments has rendered the appellate mechanism non-functional, leaving the dispute settlement system without its supreme judicial layer and creating a legal vacuum that no interim arrangement has yet adequately filled. This article examines the structural, political, and legal dimensions of this crisis, tracing the origins of Member State dissatisfaction with the Appellate Body, particularly the sustained objections of the United States concerning judicial overreach, procedural delays, and the treatment of trade remedy disciplines. The article analyses the Multi-Party Interim Appeal Arbitration Arrangement and evaluates its adequacy as a substitute for the Appellate Body. It further examines the various reform proposals advanced by WTO Members and academic commentators, assessing their feasibility and implications for the future architecture of multilateral trade governance. Special attention is paid to the interests of developing country Members, who stand to lose most from the erosion of the rules-based trading system. The article argues that durable reform requires a negotiated political settlement among major trading powers that balances rule-of-</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gradual, use, also;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r>
        <w:rPr>
          <w:b/>
        </w:rPr>
        <w:t>POSSIBLE 2022:</w:t>
      </w:r>
      <w:r>
        <w:t xml:space="preserve"> Utilising Human Crash Tolerance to Design an Interim and Ultimate Safe System for Road Safety — https://doi.org/10.3390/su14063491</w:t>
      </w:r>
    </w:p>
    <w:p>
      <w:pPr/>
      <w:r>
        <w:rPr>
          <w:b/>
        </w:rPr>
        <w:t>Shared claim-specific concepts:</w:t>
      </w:r>
      <w:r>
        <w:t xml:space="preserve"> pathway, interim, ultimate, all; EU scope not established. This is a provisional connection, not an outcome finding.</w:t>
      </w:r>
    </w:p>
    <w:p>
      <w:pPr>
        <w:pStyle w:val="SourceNote"/>
      </w:pPr>
      <w:r>
        <w:rPr>
          <w:b/>
        </w:rPr>
        <w:t>Available abstract (not full text):</w:t>
      </w:r>
      <w:r>
        <w:t xml:space="preserve"> Many jurisdictions globally have adopted a zero road trauma target by 2050 and an interim target of a 50% reduction by 2030. The objective of this study was to investigate what the road system will need to look like in order to achieve these respective targets. Utilising human tolerance to injury as the key design factor, this study defined the combination of vehicle, infrastructure, and travel speed requirements to manage crash energy in order to: 1. prevent all fatalities and serious injuries by 2050 in an Ultimate Safe System scenario; and 2. significantly reduce fatalities and severe injuries by 2030 in an Interim Safe System scenario. Victoria, Australia and its Movement and Place (M&amp;P) framework was employed as a case study. With the vehicle and infrastructure countermeasures currently available coupled with appropriate travel speeds it is possible to construct an Ultimate Safe System that can manage crash forces to achieve zero trauma and an Interim Safe System that can significantly reduce the most severe injuries in Victoria. This study has demonstrated a potential pathway from the current situation to 2030 and then 2050 that can achieve safety targets while meeting the core objectives of the transport system.</w:t>
      </w:r>
    </w:p>
    <w:p>
      <w:pPr>
        <w:pStyle w:val="Heading2"/>
      </w:pPr>
      <w:r>
        <w:t>635.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r>
        <w:rPr>
          <w:b/>
        </w:rPr>
        <w:t>POSSIBLE 2025:</w:t>
      </w:r>
      <w:r>
        <w:t xml:space="preserve"> The European Approach to the Use of Artificial Intelligence for Sustainable Development — https://doi.org/10.1093/9780198945215.003.0161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Abstract Sustainable development in AI is an essential element to ensure that this technology fosters a beneficial future from environmental, social, and economic perspectives. Indeed, the multiple applications of AI have great potential for achieving the UN Sustainable Development Goals. Accordingly, the EU has enacted the Artificial Intelligence Act, a legal framework adopted in 2024 that incorporates (to varying degrees) the principles of sustainable development in the use of AI systems. To this end, the legislative technique is fundamentally based on a risk management approach. The law classifies AI systems according to their risk levels and assigns different requirements and obligations accordingly. Thus, this article examines how the European law addresses the advancement of AI in its contribution to sustainability.</w:t>
      </w:r>
    </w:p>
    <w:p>
      <w:pPr/>
      <w:r>
        <w:rPr>
          <w:b/>
        </w:rPr>
        <w:t>POSSIBLE 2025:</w:t>
      </w:r>
      <w:r>
        <w:t xml:space="preserve"> Social Intervention in the Field of Honour-Based Violence in Europe: contributions to its Approach in Spain — https://openalex.org/W7114947958</w:t>
      </w:r>
    </w:p>
    <w:p>
      <w:pPr/>
      <w:r>
        <w:rPr>
          <w:b/>
        </w:rPr>
        <w:t>Shared claim-specific concepts:</w:t>
      </w:r>
      <w:r>
        <w:t xml:space="preserve"> based, approach; EU scope visible. This is a provisional connection, not an outcome finding.</w:t>
      </w:r>
    </w:p>
    <w:p>
      <w:pPr>
        <w:pStyle w:val="SourceNote"/>
      </w:pPr>
      <w:r>
        <w:rPr>
          <w:b/>
        </w:rPr>
        <w:t>Available abstract (not full text):</w:t>
      </w:r>
      <w:r>
        <w:t xml:space="preserve"> Honour-based violence is a serious social phenomenon whose institutional attention in Spain is still scarce. Therefore, this research aims to identify and analyse the existing literature within the European context that shows empirical results on social intervention in the field of honour-based violence. The aim is to contribute significant elements to the academic debate that favour the construction of an institutional response in Spain, as established by the Istanbul Convention of the Council of Europe. To this end, we developed an exploratory systematized review based on the PRISMA methodology. The results show how the greatest academic prominence is in the United Kingdom and Sweden, in correspondence with the greater institutional and regulatory attention given in both countries. The analysis of the selected articles allows us to place four thematic categories of interest: assistance and protection for victims, identification of risk and conditions of vulnerability, narratives and institutional discoursesand, finally, the detection of honour-based violence in the educational context. The study concludes by pointing out the importance of developing a holistic care model focused on the prevention of the phenomenon and the specific intervention with victims</w:t>
      </w:r>
    </w:p>
    <w:p>
      <w:pPr/>
      <w:r>
        <w:rPr>
          <w:b/>
        </w:rPr>
        <w:t>POSSIBLE 2024:</w:t>
      </w:r>
      <w:r>
        <w:t xml:space="preserve"> A used sailboat pricing model based on multiple linear regression — https://doi.org/10.54254/2755-2721/68/20241449</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The value of sailboats varies depending on the region and market conditions. Brokers need a better understanding of the sailboat market and make informed decisions to mitigate potential risks. To address these issues, this paper employs methods of multiple linear regression analysis and the grey correlation forecasting method. By utilizing data analysis techniques, a commonly used sailboat pricing model is established. Specifically, we first preprocess the given dataset and encode the processed data for subsequent model use. Additionally, the paper selects the three most influential factors on the pricing model: length, make, and year, and employs the method of independent weighting coefficients for multiple linear regression analysis calculation. Furthermore, we analyze the regional impact on listing prices of used sailboats. Based on these analyses, the proposed model can provide data analysis and sales recommendation reports for brokers. Lastly, the model proposed in this paper demonstrates strong accuracy and robustness, making it easy to implement with other datasets.</w:t>
      </w:r>
    </w:p>
    <w:p>
      <w:pPr/>
      <w:r>
        <w:rPr>
          <w:b/>
        </w:rPr>
        <w:t>POSSIBLE 2024:</w:t>
      </w:r>
      <w:r>
        <w:t xml:space="preserve"> Price prediction of polyester yarn based on multiple linear regression model — https://doi.org/10.1371/journal.pone.0310355</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China's polyester textile industry is one of the notable contributors to national economy. This paper takes polyester yarn, core raw material in polyester textile industry chain, as research object, and deeply explores its price indicators and risk hedging mechanisms through multiple linear regression models and Holt-Winters approaches. It is worth mentioning that with continuous development of digital technology, digital transformation of production lines and warehouses has become an important development feature in various industries. This study also actively complies with this trend, and innovatively incorporates the upstream and downstream production line start-up rates into price prediction model. Through this initiative, we can more comprehensively consider the impact of supply and demand changes on price of polyester yarn, thus making prediction results more closely reflect the actual market situation. This quantitative analysis method undoubtedly provides new ideas for enterprises to better grasp market dynamics in digital era.</w:t>
      </w:r>
    </w:p>
    <w:p>
      <w:pPr/>
      <w:r>
        <w:rPr>
          <w:b/>
        </w:rPr>
        <w:t>POSSIBLE 2024:</w:t>
      </w:r>
      <w:r>
        <w:t xml:space="preserve"> Enterprise Value Valuation—BYD as an Example Based on SWOT Model and Multiple Regression Model — https://doi.org/10.17265/2328-2185/2024.04.001</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BYD is one of the largest new energy vehicle companies in China.Analyzing its scenario and the factors that affect its value helps to understand and identify development opportunities and potential problems.On one hand, this paper makes a qualitative analysis of BYD, using SWOT model to study the internal capability and external environment of BYD.On the other hand, the multiple regression model is used for quantitative analysis of BYD's enterprise value, and the model is established based on three factors: enterprise fundamentals, investor behavior and psychology, and macroeconomic policy uncertainty, and the stepwise regression is carried out.The results show that the increase of institutional investors' shareholding ratio, the increase of investor sentiment index, and the increase of M2 growth rate will increase the overall enterprise value, while the increase of economic policy uncertainty will decrease the enterprise value.</w:t>
      </w:r>
    </w:p>
    <w:p>
      <w:pPr/>
      <w:r>
        <w:rPr>
          <w:b/>
        </w:rPr>
        <w:t>POSSIBLE 2024:</w:t>
      </w:r>
      <w:r>
        <w:t xml:space="preserve"> The European Union's Approach to Cognitive Warfare’s Command and Control — https://doi.org/10.52783/jes.7939</w:t>
      </w:r>
    </w:p>
    <w:p>
      <w:pPr/>
      <w:r>
        <w:rPr>
          <w:b/>
        </w:rPr>
        <w:t>Shared claim-specific concepts:</w:t>
      </w:r>
      <w:r>
        <w:t xml:space="preserve"> multiple, approach, article; EU scope visible. This is a provisional connection, not an outcome finding.</w:t>
      </w:r>
    </w:p>
    <w:p>
      <w:pPr>
        <w:pStyle w:val="SourceNote"/>
      </w:pPr>
      <w:r>
        <w:rPr>
          <w:b/>
        </w:rPr>
        <w:t>Available abstract (not full text):</w:t>
      </w:r>
      <w:r>
        <w:t xml:space="preserve"> Cognitive warfare has evolved alongside advances in technology, psychology, and communication methods, reflecting a growing understanding of how to influence and control human minds. Cognitive warfare refers to efforts to influence, manipulate, or control public perceptions, decision-making processes, and behaviors using psychological, informational, or technological tactics that often blur the lines between the military and civilian domains. From ancient psychological tactics to artificial intelligence-based disinformation campaigns, the essence of cognitive warfare is the same: shaping perceptions and behavior in ways that often achieve strategic goals without the need for physical force. One of the most important aspects of cognitive warfare is its command and control, which naturally has multiple perspectives. This article aims to understand the European Union’s approach to command and control of cognitive warfare. The main research question is what similarities and differences does the European Union’s approach to command and control of cognitive warfare have with other approaches? The method of this article is descriptive-analytical. The required data was obtained by referring to library sources as well as reputable scientific research articles and official documents. The research findings show that the European Union's approach to command and control in cognitive warfare</w:t>
      </w:r>
    </w:p>
    <w:p>
      <w:pPr/>
      <w:r>
        <w:rPr>
          <w:b/>
        </w:rPr>
        <w:t>POSSIBLE 2023:</w:t>
      </w:r>
      <w:r>
        <w:t xml:space="preserve"> Estimation of Cloudiness Data Based on Multiple Linear Regression Model — https://doi.org/10.31466/kfbd.1150879</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This study estimates cloudiness data using meteorological parameters which include climatic variables and air quality index. Daily average observed values of all meteorological parameters used in this study were transformed to monthly mean data for 1990-2015 period. The monthly mean values of cloudiness were estimated by using the other climatic elements and the value air quality index at urban area in Kayseri. Multiple Linear Regression model was built to determine the mathematical relationships for predicting cloudiness. It has been shown that meteorological parameters affect cloudiness the most in May and October, and the least in September and January. Additionally, according to the estimated models, air quality index value has effect on cloudiness data on January, July, October and November as statistically significant.</w:t>
      </w:r>
    </w:p>
    <w:p>
      <w:pPr/>
      <w:r>
        <w:rPr>
          <w:b/>
        </w:rPr>
        <w:t>POSSIBLE 2023:</w:t>
      </w:r>
      <w:r>
        <w:t xml:space="preserve"> Biosafety management strategy based on multiple linear regression model — https://doi.org/10.2478/amns.2023.1.00362</w:t>
      </w:r>
    </w:p>
    <w:p>
      <w:pPr/>
      <w:r>
        <w:rPr>
          <w:b/>
        </w:rPr>
        <w:t>Shared claim-specific concepts:</w:t>
      </w:r>
      <w:r>
        <w:t xml:space="preserve"> based, multiple, regression, major; EU scope not established. This is a provisional connection, not an outcome finding.</w:t>
      </w:r>
    </w:p>
    <w:p>
      <w:pPr>
        <w:pStyle w:val="SourceNote"/>
      </w:pPr>
      <w:r>
        <w:rPr>
          <w:b/>
        </w:rPr>
        <w:t>Available abstract (not full text):</w:t>
      </w:r>
      <w:r>
        <w:t xml:space="preserve"> Abstract With the rise of artificial intelligence technology in the context of digital development of big data and information, the biosafety management method under the traditional model can hardly fit the development requirements of the times, and the biosafety management under the traditional model has various problems such as slow manual efficiency, tedious management work, and humanization of work. This paper focuses on studying a biosafety management strategy based on a multiple regression model, then analyzes and compares the two methods of the one-dimensional linear regression model and the multiple linear regression model. The study is conducted under the three indicators of biosafety management weight score. Arithmetic means to score and significance of 100 enterprises (schools, pharmaceutical companies, hospitals, and other types of these four major types) under the multiple linear regression model. The results show schools topped the list with a biosafety management weight score of 0.793. The arithmetic mean scores of the four categories of enterprises were ranked in descending order: schools, hospitals, pharmaceutical plants, and other categories. The size of the enterprise has a significant and positive effect on biosafety management, which means that the larger the size of the enterprise, the more resources the enterprise has under its control, and then the imple</w:t>
      </w:r>
    </w:p>
    <w:p>
      <w:pPr>
        <w:pStyle w:val="Heading2"/>
      </w:pPr>
      <w:r>
        <w:t>636.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2023:</w:t>
      </w:r>
      <w:r>
        <w:t xml:space="preserve"> Portfolio Performance of European Target Prices — https://doi.org/10.3390/jrfm16080347</w:t>
      </w:r>
    </w:p>
    <w:p>
      <w:pPr/>
      <w:r>
        <w:rPr>
          <w:b/>
        </w:rPr>
        <w:t>Shared claim-specific concepts:</w:t>
      </w:r>
      <w:r>
        <w:t xml:space="preserve"> find, target, well, achieve; EU scope visible. This is a provisional connection, not an outcome finding.</w:t>
      </w:r>
    </w:p>
    <w:p>
      <w:pPr>
        <w:pStyle w:val="SourceNote"/>
      </w:pPr>
      <w:r>
        <w:rPr>
          <w:b/>
        </w:rPr>
        <w:t>Available abstract (not full text):</w:t>
      </w:r>
      <w:r>
        <w:t xml:space="preserve"> This paper examines the performance of actively managed portfolios constructed using target price recommendations provided by analysts. We propose two methods for constructing portfolios based on Bloomberg’s 12-month target price consensus, which serves as a signal to buy or sell assets. Using a sample of 50 European stocks over a 19-year period (from 1 April 2004 to 31 March 2023), we compare the performance of target-price-based portfolios to traditional alternatives, such as a naïve homogeneous portfolio and the Eurostoxx 50 index, as well as to passive portfolios based on average recommendations. We also look into the mean-variance efficiency of these portfolios and find that all exhibit similar levels of efficiency, which are well below the performance of the theoretical tangent portfolios. Our results indicate that target-price-based portfolios show performance very close to that of the naïve homogeneous portfolio. Even the passive “average” target price portfolios, which require previous knowledge of targets for the entire investment period, are unable to outperform the naïve portfolio. Our main findings are based on a 15-year investment horizon but are robust when considering smaller maturities and out-of-sample data. We also investigate the impact of rebalancing on portfolio performance and find that it does pay off in the long run (over an 8-year investment period), b</w:t>
      </w:r>
    </w:p>
    <w:p>
      <w:pPr/>
      <w:r>
        <w:rPr>
          <w:b/>
        </w:rPr>
        <w:t>POSSIBLE 2022:</w:t>
      </w:r>
      <w:r>
        <w:t xml:space="preserve"> Internet User Trackers and Where to Find Them — https://doi.org/10.2478/acss-2022-0008</w:t>
      </w:r>
    </w:p>
    <w:p>
      <w:pPr/>
      <w:r>
        <w:rPr>
          <w:b/>
        </w:rPr>
        <w:t>Shared claim-specific concepts:</w:t>
      </w:r>
      <w:r>
        <w:t xml:space="preserve"> find, track, well; EU scope not established. This is a provisional connection, not an outcome finding.</w:t>
      </w:r>
    </w:p>
    <w:p>
      <w:pPr>
        <w:pStyle w:val="SourceNote"/>
      </w:pPr>
      <w:r>
        <w:rPr>
          <w:b/>
        </w:rPr>
        <w:t>Available abstract (not full text):</w:t>
      </w:r>
      <w:r>
        <w:t xml:space="preserve"> Abstract In the modern online world, users are often asked for a permission to track their actions as a permission to “allow cookies”. The gathered information could be very valuable for a potential advertiser. However, online tracking is not only a benefit for a user but also a threat to the user’s privacy. This information combined with a targeted advertisement on a mass scale has potential to alter behaviour of large groups. This study summarises previous academic work on online user tracking and anti-tracking measures. As a result, it describes the current mechanisms used to track a user, as well as some methods that can be applied to reduce tracking. The study concludes that government legislation and open dialog between Internet users and advertisers might be the only way to ensure online privacy.</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currently, target, emissions;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pStyle w:val="Heading2"/>
      </w:pPr>
      <w:r>
        <w:t>637.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2026:</w:t>
      </w:r>
      <w:r>
        <w:t xml:space="preserve"> Mnemonic Devices Used by Iraqi Distinguished Students — https://doi.org/10.63797/5nanjq38</w:t>
      </w:r>
    </w:p>
    <w:p>
      <w:pPr/>
      <w:r>
        <w:rPr>
          <w:b/>
        </w:rPr>
        <w:t>Shared claim-specific concepts:</w:t>
      </w:r>
      <w:r>
        <w:t xml:space="preserve"> distinguished, one, role, all; EU scope not established. This is a provisional connection, not an outcome finding.</w:t>
      </w:r>
    </w:p>
    <w:p>
      <w:pPr>
        <w:pStyle w:val="SourceNote"/>
      </w:pPr>
      <w:r>
        <w:rPr>
          <w:b/>
        </w:rPr>
        <w:t>Available abstract (not full text):</w:t>
      </w:r>
      <w:r>
        <w:t xml:space="preserve"> Mnemonic devices are special techniques or strategies consciously used to improve memory. They help employ information already stored in long-term memory in order to make memorization an easier task. All specialists in the field of education and methodology agree about the important role such strategies play in improving students storing and later recall of information. The present study firstly aims at exploring mnemonic strategies used by Iraqi distinguished students. The second aim is that the researcher wants to shed light on the types of mnemonics devices used by male and those adopted by female students. To achieve aims of the study the researcher constructs a questionnaire. A closed type of questionnaire consists of (32) items with five Likert options built by the researcher. Each item of the questionnaire reflects one of the mnemonic strategies that can be used by student when they want to memorize and retrieve information. The whole population of the present study includes the fifth stage students of secondary schools for distinguished students for boys and girls in the city of Karbala governorate during the academic year 2023-2024. The sample of the present study consists of (165) students (male and female) and this represent all the distinguished students in fifth secondary stage in Karbala city in the academic year 2023-2024.</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2025:</w:t>
      </w:r>
      <w:r>
        <w:t xml:space="preserve"> Taxonomical Analysis of Alternative Energy Sources Application in Road Transport in the European Union Countries — https://doi.org/10.3390/en18164228</w:t>
      </w:r>
    </w:p>
    <w:p>
      <w:pPr/>
      <w:r>
        <w:rPr>
          <w:b/>
        </w:rPr>
        <w:t>Shared claim-specific concepts:</w:t>
      </w:r>
      <w:r>
        <w:t xml:space="preserve"> application, looks, energy; EU scope visible. This is a provisional connection, not an outcome finding.</w:t>
      </w:r>
    </w:p>
    <w:p>
      <w:pPr>
        <w:pStyle w:val="SourceNote"/>
      </w:pPr>
      <w:r>
        <w:rPr>
          <w:b/>
        </w:rPr>
        <w:t>Available abstract (not full text):</w:t>
      </w:r>
      <w:r>
        <w:t xml:space="preserve"> Currently, the market for cars based on alternative fuels is developing very dynamically, which is caused by the growing needs in the field of environmental protection and the desire to reduce dependence on fossil fuels. Many countries have introduced various forms of support for people who decide to buy an electric or a hybrid car. The European Union has also introduced increasingly restrictive CO2 emission standards, which accelerates the transition to alternative drives. The main research question in the paper was how the market for alternative energy sources in transport is developing in individual countries of the community, what the infrastructure looks like, and whether there is a large diversity in this field in the countries under study. The taxonomic methods (the TOPSIS method and the cluster analysis) have been applied for the research. The data were taken from Eurostat and the European Alternative Fuels Observatory statistical data. The analysis allowed an identification of key regularities that characterize the process of transformation of road transport in the European Union. Firstly, there is a clear division in countries with a high level of electrification (clusters I, IV, and VI) and countries that prefer gas drives (cluster V) or that are at an early stage of transformation (clusters II and III). Secondly, a strong relationship between the development of char</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2022:</w:t>
      </w:r>
      <w:r>
        <w:t xml:space="preserve"> The Rise of Three Rs Centres and Platforms in Europe* — https://doi.org/10.1177/02611929221099165</w:t>
      </w:r>
    </w:p>
    <w:p>
      <w:pPr/>
      <w:r>
        <w:rPr>
          <w:b/>
        </w:rPr>
        <w:t>Shared claim-specific concepts:</w:t>
      </w:r>
      <w:r>
        <w:t xml:space="preserve"> three, but, role, all; EU scope visible. This is a provisional connection, not an outcome finding.</w:t>
      </w:r>
    </w:p>
    <w:p>
      <w:pPr>
        <w:pStyle w:val="SourceNote"/>
      </w:pPr>
      <w:r>
        <w:rPr>
          <w:b/>
        </w:rPr>
        <w:t>Available abstract (not full text):</w:t>
      </w:r>
      <w:r>
        <w:t xml:space="preserve"> Public awareness and discussion about animal experiments and replacement methods has greatly increased in recent years. The term ‘the Three Rs’, which stands for the Replacement, Reduction and Refinement of animal experiments, is inseparably linked in this context. A common goal within the Three Rs scientific community is to develop predictive non-animal models and to better integrate all available data from in vitro, in silico and omics technologies into regulatory decision-making processes regarding, for example, the toxicity of chemicals, drugs or food ingredients. In addition, it is a general concern to implement (human) non-animal methods in basic research. Toward these efforts, there has been an ever-increasing number of Three Rs centres and platforms established over recent years — not only to develop novel methods, but also to disseminate knowledge and help to implement the Three Rs principles in policies and education. The adoption of Directive 2010/63/EU on the protection of animals used for scientific purposes gave a strong impetus to the creation of Three Rs initiatives, in the form of centres and platforms. As the first of a series of papers, this article gives an overview of the European Three Rs centres and platforms, and their historical development. The subsequent articles, to be published over the course of ATLA’s 50th Anniversary year, will summarise the curr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application, looks, one;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Civil liability and environmental protection : Italian-French looks — https://doi.org/10.57230/ejplt221ja</w:t>
      </w:r>
    </w:p>
    <w:p>
      <w:pPr/>
      <w:r>
        <w:rPr>
          <w:b/>
        </w:rPr>
        <w:t>Shared claim-specific concepts:</w:t>
      </w:r>
      <w:r>
        <w:t xml:space="preserve"> looks, but, one, all; EU scope visible. This is a provisional connection, not an outcome finding.</w:t>
      </w:r>
    </w:p>
    <w:p>
      <w:pPr>
        <w:pStyle w:val="SourceNote"/>
      </w:pPr>
      <w:r>
        <w:rPr>
          <w:b/>
        </w:rPr>
        <w:t>Available abstract (not full text):</w:t>
      </w:r>
      <w:r>
        <w:t xml:space="preserve"> With the growing awareness of environmental protection issues in contemporary societies and the increasing number and seriousness of environmental violations, civil liability emerged as one of the legal tools to be mobilized in particular in Italy and then in France and all Europe.The traditional Aquilian civil liability forged by Roman law has nevertheless had to be adapted to the specificity of the recent environmental issue. Especially through its traditional conditions of damage, of event giving rise to liability and of causal link. But also with regard to the functions of civil liability, even if the evolution of the latter makes it possible to accommodate more easily the protection of the environment with a dimension that is not only compensatory and remedial, but also punitive and preventive.However, paradoxically civil liability may appear today in several respects as a model to be more faithfully rediscovered for a more effective and coherent protection of the environment.</w:t>
      </w:r>
    </w:p>
    <w:p>
      <w:pPr/>
      <w:r>
        <w:rPr>
          <w:b/>
        </w:rPr>
        <w:t>POSSIBLE 2022:</w:t>
      </w:r>
      <w:r>
        <w:t xml:space="preserve"> Civil liability and environmental protection: Italian-French looks — https://doi.org/10.57230/ejplt221ja</w:t>
      </w:r>
    </w:p>
    <w:p>
      <w:pPr/>
      <w:r>
        <w:rPr>
          <w:b/>
        </w:rPr>
        <w:t>Shared claim-specific concepts:</w:t>
      </w:r>
      <w:r>
        <w:t xml:space="preserve"> looks, but, one, all; EU scope visible. This is a provisional connection, not an outcome finding.</w:t>
      </w:r>
    </w:p>
    <w:p>
      <w:pPr>
        <w:pStyle w:val="SourceNote"/>
      </w:pPr>
      <w:r>
        <w:rPr>
          <w:b/>
        </w:rPr>
        <w:t>Available abstract (not full text):</w:t>
      </w:r>
      <w:r>
        <w:t xml:space="preserve"> With the growing awareness of environmental protection issues in contemporary societies and the increasing number and seriousness of environmental violations, civil liability emerged as one of the legal tools to be mobilized in particular in Italy and then in France and all Europe. The traditional Aquilian civil liability forged by Roman law has nevertheless had to be adapted to the specificity of the recent environmental issue. Especially through its traditional conditions of damage, of event giving rise to liability and of causal link. But also with regard to the functions of civil liability, even if the evolution of the latter makes it possible to accommodate more easily the protection of the environment with a dimension that is not only compensatory and remedial, but also punitive and preventive. However, paradoxically civil liability may appear today in several respects as a model to be more faithfully rediscovered for a more effective and coherent protection of the environment.</w:t>
      </w:r>
    </w:p>
    <w:p>
      <w:pPr/>
      <w:r>
        <w:rPr>
          <w:b/>
        </w:rPr>
        <w:t>POSSIBLE 2021:</w:t>
      </w:r>
      <w:r>
        <w:t xml:space="preserve"> European Union/United Kingdom — https://doi.org/10.1093/law/9780198849155.003.0063</w:t>
      </w:r>
    </w:p>
    <w:p>
      <w:pPr/>
      <w:r>
        <w:rPr>
          <w:b/>
        </w:rPr>
        <w:t>Shared claim-specific concepts:</w:t>
      </w:r>
      <w:r>
        <w:t xml:space="preserve"> application, looks, three, role; EU scope visible. This is a provisional connection, not an outcome finding.</w:t>
      </w:r>
    </w:p>
    <w:p>
      <w:pPr>
        <w:pStyle w:val="SourceNote"/>
      </w:pPr>
      <w:r>
        <w:rPr>
          <w:b/>
        </w:rPr>
        <w:t>Available abstract (not full text):</w:t>
      </w:r>
      <w:r>
        <w:t xml:space="preserve"> Abstract This chapter evaluates international environmental law (IEL) in the courts of the European Union (EU) and the United Kingdom. This topic potentially covers many different kinds of courts, considering that the EU comprises many member states, each with its own court system, and the United Kingdom itself is a system of devolved government with different court systems. To draw out some key themes, the chapter focuses on decisions of the EU courts and the UK courts in England and Wales, as well as particularly notable decisions of other EU member state courts (available in English). The different experiences of IEL in these three sets of courts demonstrate that the doctrines of different legal systems and their legal cultures are critical to the experiences of their courts in implementing IEL. The chapter examines the reception and application of IEL in these different courts in two steps. It first looks at cases in which IEL has been directly applied by courts, considering the complex EU law in this area, and the EU's special role in implementing IEL in member states. The chapter then addresses cases where IEL applies indirectly in judicial reasoning.</w:t>
      </w:r>
    </w:p>
    <w:p>
      <w:pPr>
        <w:pStyle w:val="Heading2"/>
      </w:pPr>
      <w:r>
        <w:t>638.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2025:</w:t>
      </w:r>
      <w:r>
        <w:t xml:space="preserve"> Developing an alternative medium for in-space biomanufacturing — https://doi.org/10.1038/s41467-025-56088-2</w:t>
      </w:r>
    </w:p>
    <w:p>
      <w:pPr/>
      <w:r>
        <w:rPr>
          <w:b/>
        </w:rPr>
        <w:t>Shared claim-specific concepts:</w:t>
      </w:r>
      <w:r>
        <w:t xml:space="preserve"> developing, alternative, sustainable; EU scope not established. This is a provisional connection, not an outcome finding.</w:t>
      </w:r>
    </w:p>
    <w:p>
      <w:pPr>
        <w:pStyle w:val="SourceNote"/>
      </w:pPr>
      <w:r>
        <w:rPr>
          <w:b/>
        </w:rPr>
        <w:t>Available abstract (not full text):</w:t>
      </w:r>
      <w:r>
        <w:t xml:space="preserve"> In-space biomanufacturing provides a sustainable solution to facilitate long-term, self-sufficient human habitation in extraterrestrial environments. However, its dependence on Earth-supplied feedstocks renders in-space biomanufacturing economically nonviable. Here, we develop a process termed alternative feedstock-driven in-situ biomanufacturing (AF-ISM) to alleviate dependence on Earth-based resupply of feedstocks. Specifically, we investigate three alternative feedstocks (AF)-Martian and Lunar regolith, post-consumer polyethylene terephthalate, and fecal waste-to develop an alternative medium for lycopene production using Rhodococcus jostii PET strain S6 (RPET S6). Our results show that RPET S6 could directly utilize regolith simulant particles as mineral replacements, while the addition of anaerobically pretreated fecal waste synergistically supported its cell growth. Additionally, lycopene production using AF under microgravity conditions achieved levels comparable to those on Earth. Furthermore, an economic analysis shows significant lycopene production cost reductions using AF-ISM versus conventional methods. Overall, this work highlights the viability of AF-ISM for in-space biomanufacturing.</w:t>
      </w:r>
    </w:p>
    <w:p>
      <w:pPr/>
      <w:r>
        <w:rPr>
          <w:b/>
        </w:rPr>
        <w:t>POSSIBLE 2024:</w:t>
      </w:r>
      <w:r>
        <w:t xml:space="preserve"> Scalar implicatures in children: alternatives and relevance — https://doi.org/10.58088/85gk-tw15</w:t>
      </w:r>
    </w:p>
    <w:p>
      <w:pPr/>
      <w:r>
        <w:rPr>
          <w:b/>
        </w:rPr>
        <w:t>Shared claim-specific concepts:</w:t>
      </w:r>
      <w:r>
        <w:t xml:space="preserve"> not, but, alternative; EU scope not established. This is a provisional connection, not an outcome finding.</w:t>
      </w:r>
    </w:p>
    <w:p>
      <w:pPr>
        <w:pStyle w:val="SourceNote"/>
      </w:pPr>
      <w:r>
        <w:rPr>
          <w:b/>
        </w:rPr>
        <w:t>Available abstract (not full text):</w:t>
      </w:r>
      <w:r>
        <w:t xml:space="preserve"> Utterances like "Megan ate some of the cupcakes" are typically interpreted as "Megan ate some but not all of the cupcakes". Such an interpretation is thought to arise from a pragmatic inference called Scalar Implicature (SI). Preschoolers typically fail to spontaneously generate SIs without the assistance of training or context that makes the stronger alternative salient. However, the exact role of alternatives in generating SIs remains contested. Furthermore, it is not clear whether children take into account the goal of the conversation in considering scalar alternatives and generating SIs. We present three studies with English-speaking preschoolers and adults designed to address these questions. We show that the presence of stronger alternative is important for SI generation (Experiment 1), that the stronger alternative leads to SI generation only when it is relevant to the goal of conversation (Experiment 2) and that relevance does not simply mediate, but in fact drives accessibility of the alternatives (Experiment 3). We discuss the implications of these findings for pragmatic inference and the study of pragmatic development in general.</w:t>
      </w:r>
    </w:p>
    <w:p>
      <w:pPr/>
      <w:r>
        <w:rPr>
          <w:b/>
        </w:rPr>
        <w:t>POSSIBLE 2023:</w:t>
      </w:r>
      <w:r>
        <w:t xml:space="preserve"> A Short Review about Predicting the Dew Point Pressure for Gas Condensate Reservoirs by Empirical Correlations — https://doi.org/10.5281/zenodo.8195449</w:t>
      </w:r>
    </w:p>
    <w:p>
      <w:pPr/>
      <w:r>
        <w:rPr>
          <w:b/>
        </w:rPr>
        <w:t>Shared claim-specific concepts:</w:t>
      </w:r>
      <w:r>
        <w:t xml:space="preserve"> about, predicting, best, different; EU scope not established. This is a provisional connection, not an outcome finding.</w:t>
      </w:r>
    </w:p>
    <w:p>
      <w:pPr>
        <w:pStyle w:val="SourceNote"/>
      </w:pPr>
      <w:r>
        <w:rPr>
          <w:b/>
        </w:rPr>
        <w:t>Available abstract (not full text):</w:t>
      </w:r>
      <w:r>
        <w:t xml:space="preserve"> Abstract: The following essay compiles different correlations found in the literature to determine the dew point pressure of gas condensate reservoirs. An evaluation and comparison study of these methods is performed for 150 gas samples from different regions and literature sources. The tested models were: Shokir, Nemeth-Kennedy, Elsharkawy, Ahmadi, Kamari and Okpo Nnadozie. The before mentioned models were chosen because they are function of reservoir temperature, gas composition, molecular weight, and specific gravity of the heavy component (C7+). The best model representing the dew points pressures of the 150 gases samples in this study was statistically determined. Keywords: Reservoir temperature, dew point pressure, gas composition, molecular weight, specific gravity, retrograde condensation, gas condensate, heavy components. Title: A Short Review about Predicting the Dew Point Pressure for Gas Condensate Reservoirs by Empirical Correlations Author: Alaa Zeinab, Timur-Vasile Chis, Alejandro Osorio Pozo International Journal of Engineering Research and Reviews ISSN 2348-697X (Online) Vol. 11, Issue 3, July 2023 - September 2023 Page No: 31-40 Research Publish Journals Website: www.researchpublish.com Published Date: 29-July-2023 DOI: https://doi.org/10.5281/zenodo.8195450 Paper Download Link (Source) https://www.researchpublish.com/papers/a-short-review-about-predicting-the</w:t>
      </w:r>
    </w:p>
    <w:p>
      <w:pPr/>
      <w:r>
        <w:rPr>
          <w:b/>
        </w:rPr>
        <w:t>POSSIBLE 2023:</w:t>
      </w:r>
      <w:r>
        <w:t xml:space="preserve"> The Why, When, What, and How About Predictive Continuous Integration: A Simulation-Based Investigation — https://doi.org/10.1109/tse.2023.3330510</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Continuous Integration (CI) enables developers to detect defects early and thus reduce lead time. However, the high frequency and long duration of executing CI have a detrimental effect on this practice. Existing studies have focused on using CI outcome predictors to reduce frequency. Since there is no reported project using predictive CI, it is difficult to evaluate its economic impact. This research aims to investigate predictive CI from a process perspective, including why and when to adopt predictors, what predictors to be used, and how to practice predictive CI in real projects. We innovatively employ Software Process Simulation to simulate a predictive CI process with a Discrete-Event Simulation (DES) model and conduct simulation-based experiments. We develop the Rollback-based Identification of Defective Commits (RIDEC) method to account for the negative effects of false predictions in simulations. Experimental results show that: 1) using predictive CI generally improves the effectiveness of CI, reducing time costs by up to 36.8% and the average waiting time before executing CI by 90.5%; 2) the time-saving varies across projects, with higher commit frequency projects benefiting more; and 3) predictor performance does not strongly correlate with time savings, but the precision of both failed and passed predictions should be paid more attention. Simulation-based evaluation</w:t>
      </w:r>
    </w:p>
    <w:p>
      <w:pPr/>
      <w:r>
        <w:rPr>
          <w:b/>
        </w:rPr>
        <w:t>POSSIBLE 2023:</w:t>
      </w:r>
      <w:r>
        <w:t xml:space="preserve"> Physicians' perception about predictors of opioid abuse in patients with chronic non-cancer pain: a Delphi study — https://doi.org/10.3389/fpain.2023.1269018</w:t>
      </w:r>
    </w:p>
    <w:p>
      <w:pPr/>
      <w:r>
        <w:rPr>
          <w:b/>
        </w:rPr>
        <w:t>Shared claim-specific concepts:</w:t>
      </w:r>
      <w:r>
        <w:t xml:space="preserve"> not, about, developing; EU scope not established. This is a provisional connection, not an outcome finding.</w:t>
      </w:r>
    </w:p>
    <w:p>
      <w:pPr>
        <w:pStyle w:val="SourceNote"/>
      </w:pPr>
      <w:r>
        <w:rPr>
          <w:b/>
        </w:rPr>
        <w:t>Available abstract (not full text):</w:t>
      </w:r>
      <w:r>
        <w:t xml:space="preserve"> Background: Opioids are being prescribed widely, and increasingly, for the treatment of chronic non-cancer pain (CNCP). However, several side effects are associated with mid- and long-term opioid use and, for certain patients, with the risk of problematic opioid use. The aim of this study is to know the perception of the physicians about which variables could be associated with increased risk of patients with CNCP developing a problem of abuse or misuse of the prescribed opioid medication. Methods: Twenty-nine physicians with experience in CNCP pain management and opioids prescription participated in a two-round Delphi study focused on the risk factors for opioid misuse and abuse. Results: The variables that reached consensus regarding their relationship with the increased risk of suffering a problem of opioid abuse or misuse were: (1) Experiencing pain on a daily basis, (2) previous use of high-dose opioids, (3) generalized anxiety, (4) hopelessness, (5) benzodiazepine intake, (6) use of opioids for reasons other than pain, (7) family problems, family instability or family breakdown, and (8) having access to several opioid prescribers. The only variable that reached consensus regarding it not being associated to a possible risk of abuse or misuse was having mild pain intensity (0-4 on a NRS-11). Conclusions: This study provides useful information that could help make decisions</w:t>
      </w:r>
    </w:p>
    <w:p>
      <w:pPr/>
      <w:r>
        <w:rPr>
          <w:b/>
        </w:rPr>
        <w:t>POSSIBLE 2023:</w:t>
      </w:r>
      <w:r>
        <w:t xml:space="preserve"> DRIVERS FOR ALTERNATIVE PROTEIN CONSUMPTION — https://doi.org/10.14488/enegep2023_tn_wpg_407_2007_46332</w:t>
      </w:r>
    </w:p>
    <w:p>
      <w:pPr/>
      <w:r>
        <w:rPr>
          <w:b/>
        </w:rPr>
        <w:t>Shared claim-specific concepts:</w:t>
      </w:r>
      <w:r>
        <w:t xml:space="preserve"> not, but, developing, alternative, sustainable; EU scope not established. This is a provisional connection, not an outcome finding.</w:t>
      </w:r>
    </w:p>
    <w:p>
      <w:pPr>
        <w:pStyle w:val="SourceNote"/>
      </w:pPr>
      <w:r>
        <w:rPr>
          <w:b/>
        </w:rPr>
        <w:t>Available abstract (not full text):</w:t>
      </w:r>
      <w:r>
        <w:t xml:space="preserve"> By 2050, the global population is projected to surpass nine billion individuals (FAO, 2013).Consequently, the United Nations has recognized the imperative to substantially augment food production to meet the future population's demands.Notably, the consumption of animalderived food is anticipated to rise by 2050, particularly in developing nations, at an accelerated pace (HPLE, 2016).Conversely, livestock-related activities engender adverse environmental repercussions, primarily attributable to their substantial contributions to greenhouse gas emissions and the depletion of critical resources such as land and water (FAO, 2013).Concerning climate change, global greenhouse gas (GHG) emissions have experienced a resurgence, reaching a record-breaking 52.4 gigatons of carbon dioxide equivalent (GtCO2e) in 2019 (PNUMA, 2020).Bill Gates (2021) posits that the agricultural sector accounts for 19% of total GHG emissions, with livestock production for food constituting the principal contributor within this sector.However, the author asserts that the primary culprits are not carbon dioxide but rather methane and nitrous oxide, which possess significantly higher heat-trapping potentials compared to carbon dioxide, with factors of 28 and 265 times, respectively.Global data substantiate that livestock production contributes the largest share of GHG emissions within the agricultural sector, </w:t>
      </w:r>
    </w:p>
    <w:p>
      <w:pPr/>
      <w:r>
        <w:rPr>
          <w:b/>
        </w:rPr>
        <w:t>POSSIBLE 2023:</w:t>
      </w:r>
      <w:r>
        <w:t xml:space="preserve"> Algae as a potential source of protein meat alternatives — https://doi.org/10.3389/fnut.2023.1254300</w:t>
      </w:r>
    </w:p>
    <w:p>
      <w:pPr/>
      <w:r>
        <w:rPr>
          <w:b/>
        </w:rPr>
        <w:t>Shared claim-specific concepts:</w:t>
      </w:r>
      <w:r>
        <w:t xml:space="preserve"> about, but, developing, sustainable; EU scope not established. This is a provisional connection, not an outcome finding.</w:t>
      </w:r>
    </w:p>
    <w:p>
      <w:pPr>
        <w:pStyle w:val="SourceNote"/>
      </w:pPr>
      <w:r>
        <w:rPr>
          <w:b/>
        </w:rPr>
        <w:t>Available abstract (not full text):</w:t>
      </w:r>
      <w:r>
        <w:t xml:space="preserve"> With the rise of plant-based meat alternatives, there is a growing need for sustainable and nutritious sources of protein. Alga is a rich protein source, and initial studies show that it can be a good component in developing protein meat alternatives. However, there are certain limitations in their use as the need for efficient and optimal technical process in large-scale protein extraction and purification, as well as overcoming certain negative effects such as potentially harmful compounds, allergenicity issues, or sensorial affections, especially in color but also in textural and flavor characteristics. This review offers a vision of the fledgling research about using alga protein in the development of meat alternatives or supplementing meat products.</w:t>
      </w:r>
    </w:p>
    <w:p>
      <w:pPr/>
      <w:r>
        <w:rPr>
          <w:b/>
        </w:rPr>
        <w:t>POSSIBLE 2022:</w:t>
      </w:r>
      <w:r>
        <w:t xml:space="preserve"> ‘Confused about Predicting whether This Kid is Good or Not’ — https://doi.org/10.53088/eej.v1i2.556</w:t>
      </w:r>
    </w:p>
    <w:p>
      <w:pPr/>
      <w:r>
        <w:rPr>
          <w:b/>
        </w:rPr>
        <w:t>Shared claim-specific concepts:</w:t>
      </w:r>
      <w:r>
        <w:t xml:space="preserve"> not, about, predicting; EU scope not established. This is a provisional connection, not an outcome finding.</w:t>
      </w:r>
    </w:p>
    <w:p>
      <w:pPr>
        <w:pStyle w:val="SourceNote"/>
      </w:pPr>
      <w:r>
        <w:rPr>
          <w:b/>
        </w:rPr>
        <w:t>Available abstract (not full text):</w:t>
      </w:r>
      <w:r>
        <w:t xml:space="preserve"> Backgrounds: The study analyzed the evaluation of social attitudes in the primary schools in Karanganyar Regency, Indonesia: honesty, discipline, responsibility, and tolerance. Methods: A qualitative descriptive technique with a case study design was employed in this investigation. There were eight recruits made up of both instructors and pupils. Observation and interview were the approaches utilized in this investigation. Data is evaluated through data reduction, presenting of data, and formulation of conclusions. Technical triangulation and source triangulation were evaluation procedures to evaluate the veracity of the data. Results: This study showed evaluations carried out; there were two evaluations for students and an evaluation for parents at Dabin I RA Kartini Elementary School. The obstacles that were complained about by the teachers were mostly about time constraints. Implications: The results of this study can be a reference for authors, teachers, and school principals in evaluating the assessment of social attitudes correctly Novelty: The present study revealed the evaluation of social attitudes assessment in primary school comprehensively.</w:t>
      </w:r>
    </w:p>
    <w:p>
      <w:pPr/>
      <w:r>
        <w:rPr>
          <w:b/>
        </w:rPr>
        <w:t>POSSIBLE 2022:</w:t>
      </w:r>
      <w:r>
        <w:t xml:space="preserve"> Developing Alternative Ways of Thinking about Death — https://doi.org/10.5040/9781805016175.ch-005</w:t>
      </w:r>
    </w:p>
    <w:p>
      <w:pPr/>
      <w:r>
        <w:rPr>
          <w:b/>
        </w:rPr>
        <w:t>Shared claim-specific concepts:</w:t>
      </w:r>
      <w:r>
        <w:t xml:space="preserve"> about, developing, alternative;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The Politics of Relevant Alternatives — https://doi.org/10.1017/hyp.2022.53</w:t>
      </w:r>
    </w:p>
    <w:p>
      <w:pPr/>
      <w:r>
        <w:rPr>
          <w:b/>
        </w:rPr>
        <w:t>Shared claim-specific concepts:</w:t>
      </w:r>
      <w:r>
        <w:t xml:space="preserve"> not, alternative, different; EU scope not established. This is a provisional connection, not an outcome finding.</w:t>
      </w:r>
    </w:p>
    <w:p>
      <w:pPr>
        <w:pStyle w:val="SourceNote"/>
      </w:pPr>
      <w:r>
        <w:rPr>
          <w:b/>
        </w:rPr>
        <w:t>Available abstract (not full text):</w:t>
      </w:r>
      <w:r>
        <w:t xml:space="preserve"> Abstract The main aim of this article is to use the resources of relevant-alternatives contextualism to provide an account of an unrecognized form of epistemic injustice that I call irrelevance-injustice. Irrelevance-injustice occurs either when a speaker raises an alternative that is not taken seriously when it should be, or when a speaker raises an alternative that is taken seriously when it should not be. Irrelevance-injustice influences what alternatives are perceived to be relevant and patterns of knowledge ascriptions in ways that are unfair. Asymmetries in whose alternatives are taken seriously affect how many alternatives members of different groups must rule out prior to being ascribed knowledge. Because knowledge ascriptions have socially valuable functions, asymmetries in whose alternatives are taken seriously mean asymmetries in who gets to do socially valuable things with knowledge ascriptions.</w:t>
      </w:r>
    </w:p>
    <w:p>
      <w:pPr/>
      <w:r>
        <w:rPr>
          <w:b/>
        </w:rPr>
        <w:t>POSSIBLE 2022:</w:t>
      </w:r>
      <w:r>
        <w:t xml:space="preserve"> Developing Tourist Village as an Alternative Tourist Destination — https://doi.org/10.55324/iss.v2i1.311</w:t>
      </w:r>
    </w:p>
    <w:p>
      <w:pPr/>
      <w:r>
        <w:rPr>
          <w:b/>
        </w:rPr>
        <w:t>Shared claim-specific concepts:</w:t>
      </w:r>
      <w:r>
        <w:t xml:space="preserve"> not, about, developing, alternative; EU scope not established. This is a provisional connection, not an outcome finding.</w:t>
      </w:r>
    </w:p>
    <w:p>
      <w:pPr>
        <w:pStyle w:val="SourceNote"/>
      </w:pPr>
      <w:r>
        <w:rPr>
          <w:b/>
        </w:rPr>
        <w:t>Available abstract (not full text):</w:t>
      </w:r>
      <w:r>
        <w:t xml:space="preserve"> Background: The increasing volume of tourists coming to Indonesia raises rural motivation to make economic improvements through the tourism village program. All villages can develop this tourist village to create alternative tourist destinations. However, the development of alternative tourist destinations is not an easy thing. Therefore, researchers want to find out more about the development of tourist villages as alternative tourist destinations. Aim: This study aims to find out how to open alternative tourist destinations by conducting an in-depth analysis to minimize the failure of developing alternative tourist destinations. Method: The method used in the research is descriptive qualitative and literature study. Data collection techniques using interviews, observation, and documentation then the data obtained will be analyzed in depth and delivered in easy-to-understand sentences. Findings: The results show that the development of tourist villages to create alternative tourist destinations cannot be separated from 3 principles: open and voluntary membership, democratic organizational management, and village independence. In addition, it must also refer to several things, namely: the attractiveness of a tourist attraction or its uniqueness, accessibility for visitors, the availability of various facilities that support tourists, community empowerment that is carried out on</w:t>
      </w:r>
    </w:p>
    <w:p>
      <w:pPr/>
      <w:r>
        <w:rPr>
          <w:b/>
        </w:rPr>
        <w:t>POSSIBLE 2022:</w:t>
      </w:r>
      <w:r>
        <w:t xml:space="preserve"> Understanding Molecular Plant–Nematode Interactions to Develop Alternative Approaches for Nematode Control — https://doi.org/10.3390/plants11162141</w:t>
      </w:r>
    </w:p>
    <w:p>
      <w:pPr/>
      <w:r>
        <w:rPr>
          <w:b/>
        </w:rPr>
        <w:t>Shared claim-specific concepts:</w:t>
      </w:r>
      <w:r>
        <w:t xml:space="preserve"> about, developing, alternative, them, globally, sustainable; EU scope not established. This is a provisional connection, not an outcome finding.</w:t>
      </w:r>
    </w:p>
    <w:p>
      <w:pPr>
        <w:pStyle w:val="SourceNote"/>
      </w:pPr>
      <w:r>
        <w:rPr>
          <w:b/>
        </w:rPr>
        <w:t>Available abstract (not full text):</w:t>
      </w:r>
      <w:r>
        <w:t xml:space="preserve"> Developing control measures of plant-parasitic nematodes (PPNs) rank high as they cause big crop losses globally. The growing awareness of numerous unsafe chemical nematicides and the defects found in their alternatives are calling for rational molecular control of the nematodes. This control focuses on using genetically based plant resistance and exploiting molecular mechanisms underlying plant-nematode interactions. Rapid and significant advances in molecular techniques such as high-quality genome sequencing, interfering RNA (RNAi) and gene editing can offer a better grasp of these interactions. Efficient tools and resources emanating from such interactions are highlighted herein while issues in using them are summarized. Their revision clearly indicates the dire need to further upgrade knowledge about the mechanisms involved in host-specific susceptibility/resistance mediated by PPN effectors, resistance genes, or quantitative trait loci to boost their effective and sustainable use in economically important plant species. Therefore, it is suggested herein to employ the impacts of these techniques on a case-by-case basis. This will allow us to track and optimize PPN control according to the actual variables. It would enable us to precisely fix the factors governing the gene functions and expressions and combine them with other PPN control tactics into integrated management.</w:t>
      </w:r>
    </w:p>
    <w:p>
      <w:pPr>
        <w:pStyle w:val="Heading2"/>
      </w:pPr>
      <w:r>
        <w:t>639.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2023:</w:t>
      </w:r>
      <w:r>
        <w:t xml:space="preserve"> The bioeconomy in Germany: A failing political project? — https://doi.org/10.1016/j.ecolecon.2023.107783</w:t>
      </w:r>
    </w:p>
    <w:p>
      <w:pPr/>
      <w:r>
        <w:rPr>
          <w:b/>
        </w:rPr>
        <w:t>Shared claim-specific concepts:</w:t>
      </w:r>
      <w:r>
        <w:t xml:space="preserve"> three, failing; EU scope visible. This is a provisional connection, not an outcome finding.</w:t>
      </w:r>
    </w:p>
    <w:p>
      <w:pPr>
        <w:pStyle w:val="SourceNote"/>
      </w:pPr>
      <w:r>
        <w:rPr>
          <w:b/>
        </w:rPr>
        <w:t>Available abstract (not full text):</w:t>
      </w:r>
      <w:r>
        <w:t xml:space="preserve"> Almost two decades ago, the OECD and the EU kickstarted the development of bioeconomy strategies. In Germany, like in many other countries, policy development gained momentum in the 2010s, resulting in three consecutive policy strategies to date. And yet the bioeconomy concept remains largely unknown to a wider public and there are hardly any tangible outcomes in terms of transforming the economy towards sustainability as proposed in these strategies. Against this background, the German bioeconomy is characterized in this article as a political project aiming at a technological fix to problems like supply security and climate change in order to stabilize the social order of neoliberalized capitalism. Evaluating the different dimensions of the project's characteristics as well as its impacts, however, we find that the bioeconomy neither succeeds in universalizing its ideas and attracting a broader range of societal actors to them, nor in delivering the promised pathway to a socio-ecological transformation. Still, the analysis also reveals successes of certain actors in securing funds and advancing their agendas related to the bioeconomy. It can be argued that the bioeconomy succeeded in this way in stabilizing the existing unsustainable social order.</w:t>
      </w:r>
    </w:p>
    <w:p>
      <w:pPr/>
      <w:r>
        <w:rPr>
          <w:b/>
        </w:rPr>
        <w:t>POSSIBLE 2022:</w:t>
      </w:r>
      <w:r>
        <w:t xml:space="preserve"> Why is emotional data failing to produce more humane cities? Urban governance and the (interdisciplinary) problem of wellbeing — https://doi.org/10.1080/02723638.2021.2003589</w:t>
      </w:r>
    </w:p>
    <w:p>
      <w:pPr/>
      <w:r>
        <w:rPr>
          <w:b/>
        </w:rPr>
        <w:t>Shared claim-specific concepts:</w:t>
      </w:r>
      <w:r>
        <w:t xml:space="preserve"> failing, policies; EU scope not established. This is a provisional connection, not an outcome finding.</w:t>
      </w:r>
    </w:p>
    <w:p>
      <w:pPr>
        <w:pStyle w:val="SourceNote"/>
      </w:pPr>
      <w:r>
        <w:rPr>
          <w:b/>
        </w:rPr>
        <w:t>Available abstract (not full text):</w:t>
      </w:r>
      <w:r>
        <w:t xml:space="preserve"> The city is often highlighted as the key space in which our emotions and personal mental health can be shaped. Globally, place-based approaches to promoting urban health and happiness have become commonplace. Initiatives and policies improving urban and regional wellbeing operate at a range of scales, from global alliances of NGOs and supranational health bodies, to regional, local, and community action. This paper critically reviews the spatial imaginaries and limited discipline-specific definitions of the urban and wellbeing present in data-driven approaches to urban emotions and wellbeing, and the potential effectiveness of the policy solutions which are proposed as a result. Responding to the very specific forms of interdisciplinarity advanced to date, the paper outlines how a dialogue between humanities perspectives on emotional cultures, and political economies of place-based wellbeing interventions can be advanced to address these limitations.</w:t>
      </w:r>
    </w:p>
    <w:p>
      <w:pPr/>
      <w:r>
        <w:rPr>
          <w:b/>
        </w:rPr>
        <w:t>POSSIBLE 2022:</w:t>
      </w:r>
      <w:r>
        <w:t xml:space="preserve"> Evaluating European ECOSTRESS Hub Evapotranspiration Products Retrieved from Three Structurally Contrasting SEB Models over Europe — https://doi.org/10.1002/essoar.10512884.1</w:t>
      </w:r>
    </w:p>
    <w:p>
      <w:pPr/>
      <w:r>
        <w:rPr>
          <w:b/>
        </w:rPr>
        <w:t>Shared claim-specific concepts:</w:t>
      </w:r>
      <w:r>
        <w:t xml:space="preserve"> three, produced, conducted; EU scope visible. This is a provisional connection, not an outcome finding.</w:t>
      </w:r>
    </w:p>
    <w:p>
      <w:pPr>
        <w:pStyle w:val="SourceNote"/>
      </w:pPr>
      <w:r>
        <w:rPr>
          <w:b/>
        </w:rPr>
        <w:t>Available abstract (not full text):</w:t>
      </w:r>
      <w:r>
        <w:t xml:space="preserve"> The ECOsystem Spaceborne Thermal Radiometer Experiment on Space Station (ECOSTRESS) is a scientific mission that collects high spatio-temporal resolution (~70 m, 1-5 days average revisit time) thermal images since its launch on 29 June 2018. As a predecessor of future missions, one of the main objectives of ECOSTRESS is to retrieve and understand the spatio-temporal variations in terrestrial evapotranspiration (ET) and its responses to soil water availability. In the European ECOSTRESS Hub (EEH), by taking advantage of land surface temperature retrievals, we generated ECOSTRESS ET products over Europe and Africa using three structurally contrasting models, namely Surface Energy Balance System (SEBS) and Two Source Energy Balance (TSEB) parametric models, as well as the non-parametric Surface Temperature Initiated Closure (STIC) model. A comprehensive evaluation of the EEH ET products was conducted with respect to flux measurements from 19 eddy covariance sites over 6 different biomes with diverse aridity levels. Results revealed comparable performances of STIC and SEBS (RMSE of ~70 W m -2 ). However, the relatively complex TSEB model produced a higher RMSE of ~90 W m -2 . Comparison between STIC ET estimate and the operational ECOSTRESS ET product from NASA PT-JPL model showed a difference in RMSE between the two ET products around 50 W m -2 . Substantial overestimation (&gt;80 W </w:t>
      </w:r>
    </w:p>
    <w:p>
      <w:pPr/>
      <w:r>
        <w:rPr>
          <w:b/>
        </w:rPr>
        <w:t>POSSIBLE 2021:</w:t>
      </w:r>
      <w:r>
        <w:t xml:space="preserve"> Early Detection of Failing Automotive Batteries Using Gas Sensors — https://doi.org/10.3390/batteries7020025</w:t>
      </w:r>
    </w:p>
    <w:p>
      <w:pPr/>
      <w:r>
        <w:rPr>
          <w:b/>
        </w:rPr>
        <w:t>Shared claim-specific concepts:</w:t>
      </w:r>
      <w:r>
        <w:t xml:space="preserve"> produced, failing, case; EU scope not established. This is a provisional connection, not an outcome finding.</w:t>
      </w:r>
    </w:p>
    <w:p>
      <w:pPr>
        <w:pStyle w:val="SourceNote"/>
      </w:pPr>
      <w:r>
        <w:rPr>
          <w:b/>
        </w:rPr>
        <w:t>Available abstract (not full text):</w:t>
      </w:r>
      <w:r>
        <w:t xml:space="preserve"> Safety for automotive lithium-ion battery (LIB) applications is of crucial importance, especially for electric vehicle applications using batteries with high capacity and high energy density. In case of a defect inside or outside the cell, serious safety risks are possible including extensive heat generation, toxic and flammable gas generation, and consequently fire and explosion. New regulations (GB 38031-2020) require a warning for passengers at least five minutes before serious incidents. This regulation can hardly be fulfilled with state-of-the-art battery monitoring. In this study, gases produced during battery failure before and during a thermal runaway (TR) are investigated in detail and the use of different gas sensors as early detectors of battery incidents is tested and proposed. The response of several commercially available gas sensors is tested in four battery failure cases: unwanted electrolysis of voltage carrying parts, electrolyte vapor, first venting of the cell and the TR. The experiments show that battery failure detection with gas sensors is possible but depends highly on the failure case. The chosen gas sensor can detect H2 produced by unwanted electrolysis and electrolyte vapor and gases produced by degassing of state-of-the-art LIBs. The results may contribute significantly to failure detection and improvement of battery safety.</w:t>
      </w:r>
    </w:p>
    <w:p>
      <w:pPr/>
      <w:r>
        <w:rPr>
          <w:b/>
        </w:rPr>
        <w:t>POSSIBLE 2021:</w:t>
      </w:r>
      <w:r>
        <w:t xml:space="preserve"> Influence of Aging on the Failing Behavior of Automotive Lithium-Ion Batteries — https://doi.org/10.3390/batteries7020023</w:t>
      </w:r>
    </w:p>
    <w:p>
      <w:pPr/>
      <w:r>
        <w:rPr>
          <w:b/>
        </w:rPr>
        <w:t>Shared claim-specific concepts:</w:t>
      </w:r>
      <w:r>
        <w:t xml:space="preserve"> three, produced, failing; EU scope not established. This is a provisional connection, not an outcome finding.</w:t>
      </w:r>
    </w:p>
    <w:p>
      <w:pPr>
        <w:pStyle w:val="SourceNote"/>
      </w:pPr>
      <w:r>
        <w:rPr>
          <w:b/>
        </w:rPr>
        <w:t>Available abstract (not full text):</w:t>
      </w:r>
      <w:r>
        <w:t xml:space="preserve"> Lithium-ion batteries (LIBs) are a dominant state-of-the-art energy storage system and have importance in the automotive sector. Still, LIBs suffer from aging effects and serious hazards from failing batteries are possible. These failures can lead to exothermic chemical reactions inside the cell, ending up in thermal runaway (TR). TR has caused most electric vehicle (EV) fires. Since statistically most accidents with EVs happen after about one year of vehicle usage, in particular, the failing behavior of aged cells needs to be investigated. Little information is available in open literature about the influence of aging paths on the failing behavior and especially on the degassing behavior of large automotive LIBs. Therefore, this study investigates the influence of three different aging paths (cyclic at −10 °C and at 45 °C and calendric at 60 °C) on the thermal behavior, the vent gas emission, and the vent gas composition. The results show a clear effect of aging on the failing behavior. The aged cells showed a less violent failing reaction, reduced maximal temperatures, lower amount of produced gas, significantly lower amount of CO in the vent gas, and lower mass loss than fresh cells in the same overtemperature experiments. The results are valuable for the scientific and industrial community dealing with LIBs.</w:t>
      </w:r>
    </w:p>
    <w:p>
      <w:pPr/>
      <w:r>
        <w:rPr>
          <w:b/>
        </w:rPr>
        <w:t>POSSIBLE 2021:</w:t>
      </w:r>
      <w:r>
        <w:t xml:space="preserve"> Failure and failing, an ethos of the (self) exiled? The case of the playwright William Saroyan — https://doi.org/10.4000/agon.8325</w:t>
      </w:r>
    </w:p>
    <w:p>
      <w:pPr/>
      <w:r>
        <w:rPr>
          <w:b/>
        </w:rPr>
        <w:t>Shared claim-specific concepts:</w:t>
      </w:r>
      <w:r>
        <w:t xml:space="preserve"> failing, case, status; EU scope not established. This is a provisional connection, not an outcome finding.</w:t>
      </w:r>
    </w:p>
    <w:p>
      <w:pPr>
        <w:pStyle w:val="SourceNote"/>
      </w:pPr>
      <w:r>
        <w:rPr>
          <w:b/>
        </w:rPr>
        <w:t>Available abstract (not full text):</w:t>
      </w:r>
      <w:r>
        <w:t xml:space="preserve"> This article discusses the authorial persona of American novelist and playwright William Saroyan. It is argued that his approach to failure was an essential element of his ethos and a means of endorsing his role and his social status as a writer, reflecting his disapproval of utilitarianism and conventional definitions of success, equated with wealth and celebrity.</w:t>
      </w:r>
    </w:p>
    <w:p>
      <w:pPr/>
      <w:r>
        <w:rPr>
          <w:b/>
        </w:rPr>
        <w:t>POSSIBLE 2021:</w:t>
      </w:r>
      <w:r>
        <w:t xml:space="preserve"> Quantification of the carbon intensity of electricity produced and used in Europe — https://doi.org/10.1016/j.apenergy.2021.117901</w:t>
      </w:r>
    </w:p>
    <w:p>
      <w:pPr/>
      <w:r>
        <w:rPr>
          <w:b/>
        </w:rPr>
        <w:t>Shared claim-specific concepts:</w:t>
      </w:r>
      <w:r>
        <w:t xml:space="preserve"> produced, sustainable, conducted; EU scope visible. This is a provisional connection, not an outcome finding.</w:t>
      </w:r>
    </w:p>
    <w:p>
      <w:pPr>
        <w:pStyle w:val="SourceNote"/>
      </w:pPr>
      <w:r>
        <w:rPr>
          <w:b/>
        </w:rPr>
        <w:t>Available abstract (not full text):</w:t>
      </w:r>
      <w:r>
        <w:t xml:space="preserve"> The EU has a comprehensive legislation to facilitate the energy transition towards a low carbon energy system and achieve the EU’s Paris Agreement commitments for reducing greenhouse gas emissions. The European Green Deal is an integral part of the EU strategy for a sustainable and climate neutral economy by 2050. The decarbonisation of the power generation is essential to achieve the goal of decarbonising the energy and transport sectors. This paper presents a study conducted to quantify the carbon emissions associated to the production of electricity produced and used in European countries, based on a comprehensive methodology developed for this purpose. A spreadsheet model has been developed that considers the various sources for electricity generation, the type of plants, conversion efficiencies, upstream emissions and emissions from power plant construction, as well as the electricity trade. The results show the greenhouse gas emissions from the production and use of electricity in all European countries, revealing significant variations between countries. The carbon intensity of electricity shows a clear reduction trend since 1990, for most of the European countries. In the European Union, carbon intensity of electricity used at low voltage degreased from 641 gCO2eq/kWh in 1990 to 334 gCO2eq/kWh in 2019, and this trend is expected to continue in the coming years.</w:t>
      </w:r>
    </w:p>
    <w:p>
      <w:pPr/>
      <w:r>
        <w:rPr>
          <w:b/>
        </w:rPr>
        <w:t>POSSIBLE 2021:</w:t>
      </w:r>
      <w:r>
        <w:t xml:space="preserve"> Scaling up nature-based solutions for climate-change adaptation: Potential and benefits in three European cities — https://doi.org/10.1016/j.ufug.2021.127450</w:t>
      </w:r>
    </w:p>
    <w:p>
      <w:pPr/>
      <w:r>
        <w:rPr>
          <w:b/>
        </w:rPr>
        <w:t>Shared claim-specific concepts:</w:t>
      </w:r>
      <w:r>
        <w:t xml:space="preserve"> three, case, finally; EU scope visible. This is a provisional connection, not an outcome finding.</w:t>
      </w:r>
    </w:p>
    <w:p>
      <w:pPr>
        <w:pStyle w:val="SourceNote"/>
      </w:pPr>
      <w:r>
        <w:rPr>
          <w:b/>
        </w:rPr>
        <w:t>Available abstract (not full text):</w:t>
      </w:r>
      <w:r>
        <w:t xml:space="preserve"> Many exemplary projects have demonstrated that Nature-based Solutions (NBS) can contribute to climate change adaptation, but now the challenge is to scale up their use. Setting realistic policy goals requires knowing the amount of different NBS types that can fit in the urban space and the benefits that can be expected. This research aims to assess the potential for a full-scale implementation of NBS for climate-change adaptation in European cities, the expected benefits and co-benefits, and how these quantities relate to the urban structure of the cities. We selected three case studies: Barcelona (Spain), Malmö (Sweden), and Utrecht (the Netherlands), and developed six scenarios that simulate the current condition, the full-scale implementation of different NBS strategies (i.e., installing green roofs, de-sealing parking areas, enhancing vegetation in urban parks, and planting street trees), and a combination of them. Then we applied spatially-explicit methods to assess, for each scenario, two climate change-related benefits, i.e. heat mitigation and stormwater regulation, and three co-benefits, namely carbon storage, biodiversity potential, and overall greenness. Finally, by breaking down the results per land use class, we investigated how the potential and benefits vary depending on the urban form. Most scenarios provide multiple benefits, but each one is characterized by a </w:t>
      </w:r>
    </w:p>
    <w:p>
      <w:pPr>
        <w:pStyle w:val="Heading2"/>
      </w:pPr>
      <w:r>
        <w:t>640.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2026:</w:t>
      </w:r>
      <w:r>
        <w:t xml:space="preserve"> Evaluating Climate Regimes and Their Temporal Evolution in ERA5-Driven EURO-CORDEX CMIP6 Simulations — https://doi.org/10.5194/ems2026-512</w:t>
      </w:r>
    </w:p>
    <w:p>
      <w:pPr/>
      <w:r>
        <w:rPr>
          <w:b/>
        </w:rPr>
        <w:t>Shared claim-specific concepts:</w:t>
      </w:r>
      <w:r>
        <w:t xml:space="preserve"> regional, climate, simulations, euro-cordex, representing, between; EU scope visible. This is a provisional connection, not an outcome finding.</w:t>
      </w:r>
    </w:p>
    <w:p>
      <w:pPr>
        <w:pStyle w:val="SourceNote"/>
      </w:pPr>
      <w:r>
        <w:rPr>
          <w:b/>
        </w:rPr>
        <w:t>Available abstract (not full text):</w:t>
      </w:r>
      <w:r>
        <w:t xml:space="preserve"> Climate classifications are useful tools for assessing climate variability and change, as they aggregate multiple variables into discrete climate types representing regions with homogeneous characteristics, often corresponding to vegetation zones or eco-regions. The Köppen–Trewartha classification (KTC) defines climate regimes using temperature- and precipitation-based thresholds, synthesising conditions into discrete and comparable units for analysing their spatial distribution and temporal evolution. In this study, we assess how well the new generation of EURO-CORDEX regional climate simulations driven by ERA5 reanalysis within the CMIP6 framework reproduces the observed distribution of KTC climate types across Europe. As part of the coordinated EURO-CORDEX evaluation effort, individual model simulations are compared against observational reference data representing observed climate conditions and their evolution. This enables an assessment of how well each simulation reproduces the distribution of major European climate types and their boundaries. We further investigate how these patterns evolve over time, focusing on shifts in climate regimes and their spatial structure. The analysis is complemented by time series diagnostics of climate type occurrence and spatial extent. Particular attention is given to systematic biases in the extent and boundaries of selected climate typ</w:t>
      </w:r>
    </w:p>
    <w:p>
      <w:pPr/>
      <w:r>
        <w:rPr>
          <w:b/>
        </w:rPr>
        <w:t>POSSIBLE 2026:</w:t>
      </w:r>
      <w:r>
        <w:t xml:space="preserve"> Evaluation of historical simulations in the HCLIM43-ALADIN regional climate downscaling ensemble over Europe in the EURO-CORDEX-CMIP6 framework — https://doi.org/10.5281/zenodo.22813643</w:t>
      </w:r>
    </w:p>
    <w:p>
      <w:pPr/>
      <w:r>
        <w:rPr>
          <w:b/>
        </w:rPr>
        <w:t>Shared claim-specific concepts:</w:t>
      </w:r>
      <w:r>
        <w:t xml:space="preserve"> used, regional, climate, simulations, grid, between; EU scope visible. This is a provisional connection, not an outcome finding.</w:t>
      </w:r>
    </w:p>
    <w:p>
      <w:pPr>
        <w:pStyle w:val="SourceNote"/>
      </w:pPr>
      <w:r>
        <w:rPr>
          <w:b/>
        </w:rPr>
        <w:t>Available abstract (not full text):</w:t>
      </w:r>
      <w:r>
        <w:t xml:space="preserve"> Regional climate downscaling has historically been complementary to global climate models, providing higher-resolution data for local-scale studies and climate services. We use the regional climate model HCLIM43-ALADIN to downscale six CMIP6 global models in eight simulations on a 12.5-km resolution European domain. This is the HCLIM community contribution to the EURO-CORDEX-CMIP6 multi-model downscaling ensemble involving several regional climate models and soon to be available publicly via the Earth System Grid Federation. We document the HCLIM43-ALADIN ensemble and evaluate the simulated results during the historical time period 1991−2020 against the gridded station observations E-OBS and the reanalyses CERRA, CERRA-Land, and ERA5, focusing on near-surface temperature and precipitation. In winter in the global climate model-driven HCLIM simulations, a cold bias of about 3 °C and underestimated precipitation by about 25% are present in North Europe, and a warm bias of about 1 °C and overestimated precipitation of about 50% are present in Central and Southern Europe. In summer, a cold bias of about 1 °C and overestimated precipitation of about 25% are present in Northern Europe, and a warm bias of about 2 °C is present in Central and Southern Europe. Overestimated precipitation by about 200% is present in parts of Southern Europe, but this value is also amplified by the very l</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regional, climate, euro-cordex;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used, regional, climate, simulations, euro-cordex, rcp8;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Regional climate projections using a deep-learning–based model-ranking and downscaling framework: application to European climate zones — https://doi.org/10.1007/s11356-025-36872-9</w:t>
      </w:r>
    </w:p>
    <w:p>
      <w:pPr/>
      <w:r>
        <w:rPr>
          <w:b/>
        </w:rPr>
        <w:t>Shared claim-specific concepts:</w:t>
      </w:r>
      <w:r>
        <w:t xml:space="preserve"> regional, climate, present; EU scope visible. This is a provisional connection, not an outcome finding.</w:t>
      </w:r>
    </w:p>
    <w:p>
      <w:pPr>
        <w:pStyle w:val="SourceNote"/>
      </w:pPr>
      <w:r>
        <w:rPr>
          <w:b/>
        </w:rPr>
        <w:t>Available abstract (not full text):</w:t>
      </w:r>
      <w:r>
        <w:t xml:space="preserve"> Abstract Accurate regional climate projection calls for high-resolution downscaling of Global Climate Models (GCMs). This work presents a deep-learning-based multi-model evaluation and downscaling framework ranking 32 Coupled Model Intercomparison Project Phase 6 (CMIP6) models using a Deep Learning-TOPSIS (DL-TOPSIS) mechanism and refines outputs using advanced deep-learning models. Using nine performance criteria, five Köppen-Geiger climate zones—Tropical, Arid, Temperate, Continental, and Polar—are investigated over four seasons. While TaiESM1 and CMCC-CM2-SR5 show notable biases, ranking results show that NorESM2-LM, GISS-E2-1-G, and HadGEM3-GC31-LL outperform other models. Four models contribute to downscaling the top-ranked GCMs to 0.1 $$^\circ $$ ∘ resolution (Vision Transformer (ViT), Geospatial Spatiotemporal Transformer with Attention and Imbalance-Aware Network (GeoSTANet), CNN-LSTM, CNN-Long Short-Term Memory (ConvLSTM)). Effectively capturing temperature extremes (TXx, TNn), GeoSTANet achieves the highest accuracy (Root Mean Square Error (RMSE) = 1.57 $$^\circ $$ ∘ C, Kling-Gupta Efficiency (KGE) = 0.89, Nash-Sutcliffe Efficiency (NSE) = 0.85, Correlation (r) = 0.92), so reducing RMSE by 20% over ConvLSTM. CNN-LSTM and ConvLSTM do well in Continental and Temperate zones; ViT finds fine-scale temperature fluctuations difficult. These results confirm that multi-crite</w:t>
      </w:r>
    </w:p>
    <w:p>
      <w:pPr/>
      <w:r>
        <w:rPr>
          <w:b/>
        </w:rPr>
        <w:t>POSSIBLE 2025:</w:t>
      </w:r>
      <w:r>
        <w:t xml:space="preserve"> Local Climate Risks in sight of realistic climate targets: Projecting Co-occurrence of Heat Extremes in Central Europe Using Downscaled CMIP6 and Regional Scenarios — https://doi.org/10.5194/ems2025-241</w:t>
      </w:r>
    </w:p>
    <w:p>
      <w:pPr/>
      <w:r>
        <w:rPr>
          <w:b/>
        </w:rPr>
        <w:t>Shared claim-specific concepts:</w:t>
      </w:r>
      <w:r>
        <w:t xml:space="preserve"> regional, climate, warming, levels, case; EU scope visible. This is a provisional connection, not an outcome finding.</w:t>
      </w:r>
    </w:p>
    <w:p>
      <w:pPr>
        <w:pStyle w:val="SourceNote"/>
      </w:pPr>
      <w:r>
        <w:rPr>
          <w:b/>
        </w:rPr>
        <w:t>Available abstract (not full text):</w:t>
      </w:r>
      <w:r>
        <w:t xml:space="preserve"> Humanity will face the challenge of adapting to the impacts of global warming besides those that have already occurred, even if political ambitions are realized. Challenges differ regionally and include a wide range of weather extremes, which means not only the increasing frequency of dangerous “usual” climatic events but also unprecedented impacts outside of the climate system's natural variability. Many regions globally, including Central Europe, have already experienced changes in climate extremes higher than the internal variability of the climate system. The signal is shown to be especially robust in case of heat extremes, such as warm days or warm nights, with signals reflecting unusual or even unfamiliar conditions. Our analysis focuses on heat-related extreme events, including their co-occurrence. We use a targeted subset of CMIP6 models known for their robust performance over Europe, supplemented by high-resolution regional climate scenarios. We employed different downscaling techniques, including convection-permitting regional climate simulation, to evaluate the sensitivity of results to methodological choices and to better capture regional-to-local-scale climate signals. Rather than focusing on specific emissions scenario pathways, we analyse projections at different levels of global warming. This approach allows us to explore the manifestation of heat-related extrem</w:t>
      </w:r>
    </w:p>
    <w:p>
      <w:pPr/>
      <w:r>
        <w:rPr>
          <w:b/>
        </w:rPr>
        <w:t>POSSIBLE 2025:</w:t>
      </w:r>
      <w:r>
        <w:t xml:space="preserve"> Validation of Euro‐ CORDEX Simulations Focusing on Mean and Extreme Precipitation in European Plain Areas — https://doi.org/10.1002/joc.70089</w:t>
      </w:r>
    </w:p>
    <w:p>
      <w:pPr/>
      <w:r>
        <w:rPr>
          <w:b/>
        </w:rPr>
        <w:t>Shared claim-specific concepts:</w:t>
      </w:r>
      <w:r>
        <w:t xml:space="preserve"> used, regional, climate, simulations, grid; EU scope visible. This is a provisional connection, not an outcome finding.</w:t>
      </w:r>
    </w:p>
    <w:p>
      <w:pPr>
        <w:pStyle w:val="SourceNote"/>
      </w:pPr>
      <w:r>
        <w:rPr>
          <w:b/>
        </w:rPr>
        <w:t>Available abstract (not full text):</w:t>
      </w:r>
      <w:r>
        <w:t xml:space="preserve"> ABSTRACT As a result of climate change, extreme weather phenomena are expected to become more frequent and severe, so adaptation in the future will be essential. Global and regional climate model simulations offer crucial insights into future climate change, forming the basis for planning and implementing adaptation and mitigation strategies. Therefore, evaluating these simulations is essential for generating reliable projections. This study assesses ten historical Euro‐CORDEX simulations using different combinations of Global and Regional Climate Models, validated against the E‐OBS dataset, which is derived from meteorological station measurements across Europe. All data are available at daily temporal resolution and interpolated to a 0.1° regular grid. The study analyses the period 1970–2005. For study areas, 14 plain regions were selected across Europe with an objective three‐step methodology based on elevation and geographical borders. Plain regions were defined as relatively flat areas below 200 m elevation. We calculated 11 climate indices; 8 of these are associated with extreme precipitation events, and for the evaluation we used four statistical metrics designed to assess the performance and capability of the model simulations. Based on these results and metrics, a model performance scoring system was established to rank and compare simulations and identify well‐perform</w:t>
      </w:r>
    </w:p>
    <w:p>
      <w:pPr/>
      <w:r>
        <w:rPr>
          <w:b/>
        </w:rPr>
        <w:t>POSSIBLE 2025:</w:t>
      </w:r>
      <w:r>
        <w:t xml:space="preserve"> Future Changes of European Windstorm Losses in EURO-CORDEX Simulations — https://doi.org/10.16993/tellusa.4094</w:t>
      </w:r>
    </w:p>
    <w:p>
      <w:pPr/>
      <w:r>
        <w:rPr>
          <w:b/>
        </w:rPr>
        <w:t>Shared claim-specific concepts:</w:t>
      </w:r>
      <w:r>
        <w:t xml:space="preserve"> regional, climate, simulations, euro-cordex, rcp8, warming; EU scope visible. This is a provisional connection, not an outcome finding.</w:t>
      </w:r>
    </w:p>
    <w:p>
      <w:pPr>
        <w:pStyle w:val="SourceNote"/>
      </w:pPr>
      <w:r>
        <w:rPr>
          <w:b/>
        </w:rPr>
        <w:t>Available abstract (not full text):</w:t>
      </w:r>
      <w:r>
        <w:t xml:space="preserve">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pPr/>
      <w:r>
        <w:rPr>
          <w:b/>
        </w:rPr>
        <w:t>POSSIBLE 2025:</w:t>
      </w:r>
      <w:r>
        <w:t xml:space="preserve"> GCM Selection and Ensemble Design: Best Practices and Recommendations from the EURO-CORDEX Community — https://doi.org/10.1175/bams-d-23-0189.1</w:t>
      </w:r>
    </w:p>
    <w:p>
      <w:pPr/>
      <w:r>
        <w:rPr>
          <w:b/>
        </w:rPr>
        <w:t>Shared claim-specific concepts:</w:t>
      </w:r>
      <w:r>
        <w:t xml:space="preserve"> regional, climate, simulations, euro-cordex, present; EU scope visible. This is a provisional connection, not an outcome finding.</w:t>
      </w:r>
    </w:p>
    <w:p>
      <w:pPr>
        <w:pStyle w:val="SourceNote"/>
      </w:pPr>
      <w:r>
        <w:rPr>
          <w:b/>
        </w:rPr>
        <w:t>Available abstract (not full text):</w:t>
      </w:r>
      <w:r>
        <w:t xml:space="preserve"> Abstract High-resolution climate information is critical for the Vulnerability, Impacts, Adaptation, and Climate Services (VIACS) communities. Coordinated ensembles generated by initiatives like the Coordinated Regional Climate Downscaling Experiment (CORDEX) provide consistent and comparable information for the present and future over all land areas of the globe. This manuscript focuses on the European CORDEX initiative (EURO-CORDEX) and its coordinated effort to build regional climate ensembles for the years to come. In its first phase, EURO-CORDEX produced a rich ensemble of regional climate simulations under different representative concentration pathway scenarios. The EURO-CORDEX dataset is openly available and was fed into the Regional Atlas of the IPCC Sixth Assessment Report. However, this ensemble suffered from several shortcomings, which the community seeks to address in the next phase of production. Chief among these is the oft-cited criticism that the selection of GCMs that provide input to the regional climate models was not rigorous and that the resulting ensemble represents an “ensemble of opportunity.” The present paper provides a description of how the community has addressed these shortcomings. We present a comprehensive, flexible, and traceable evaluation framework and toolkit for assessing the suitability of GCMs for downscaling, using EURO-CORDEX as an exam</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used, regional, climate, case, between, present;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2024:</w:t>
      </w:r>
      <w:r>
        <w:t xml:space="preserve"> Assessing the effects of heat and droughts on forest-climate interactions in Europe using a regional climate model with an interactively coupled vegetation module — https://doi.org/10.5194/egusphere-egu24-10675</w:t>
      </w:r>
    </w:p>
    <w:p>
      <w:pPr/>
      <w:r>
        <w:rPr>
          <w:b/>
        </w:rPr>
        <w:t>Shared claim-specific concepts:</w:t>
      </w:r>
      <w:r>
        <w:t xml:space="preserve"> regional, climate, simulations, euro-cordex, between; EU scope visible. This is a provisional connection, not an outcome finding.</w:t>
      </w:r>
    </w:p>
    <w:p>
      <w:pPr>
        <w:pStyle w:val="SourceNote"/>
      </w:pPr>
      <w:r>
        <w:rPr>
          <w:b/>
        </w:rPr>
        <w:t>Available abstract (not full text):</w:t>
      </w:r>
      <w:r>
        <w:t xml:space="preserve"> Forests play a pivotal role in the climate system by exchanging energy, water, and gases with the atmosphere. Through biogeochemical processes such as photosynthesis, respiration, and transpiration, forests heavily influence the carbon and water cycles. In particular, their capacity to sequester carbon through photosynthesis demonstrates their role as carbon sinks. Further, through biogeophysical processes forests influence the local and regional climate by determining local temperature and humidity distributions. However, forests not only influence the climate - they are also affected by it. Their vulnerability to climate extremes, particularly to heat and droughts, raises substantial challenges. Droughts induce water stress, affecting both biogeochemical and biogeophysical processes, at the soil-forest-atmosphere interface. Within the EU Horizon project OptFor-EU and in collaboration with the Euro-CORDEX Flagship Pilot Study LUCAS, we employ numerical models to assess the climate-forest interactions and to evaluate forest resilience in a changing climate. In this study, we examine the effects of heat and droughts on European forests and their climatic feedbacks in simulations using the regional climate model REMO2020 coupled with its interactive, mosaic-based vegetation module iMOVE. The coupling enables the exchange of crucial parameters on model timestep level, and therefor</w:t>
      </w:r>
    </w:p>
    <w:p>
      <w:pPr>
        <w:pStyle w:val="Heading2"/>
      </w:pPr>
      <w:r>
        <w:t>641.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article, provides, comprehensive, law, also, explores;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provides, comprehensive, overview, pandemic;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2024:</w:t>
      </w:r>
      <w:r>
        <w:t xml:space="preserve"> Human trafficking and forced prostitution under article 4 of the European convention on human rights — https://doi.org/10.1017/glj.2023.98</w:t>
      </w:r>
    </w:p>
    <w:p>
      <w:pPr/>
      <w:r>
        <w:rPr>
          <w:b/>
        </w:rPr>
        <w:t>Shared claim-specific concepts:</w:t>
      </w:r>
      <w:r>
        <w:t xml:space="preserve"> abstract, article, comprehensive, also; EU scope visible. This is a provisional connection, not an outcome finding.</w:t>
      </w:r>
    </w:p>
    <w:p>
      <w:pPr>
        <w:pStyle w:val="SourceNote"/>
      </w:pPr>
      <w:r>
        <w:rPr>
          <w:b/>
        </w:rPr>
        <w:t>Available abstract (not full text):</w:t>
      </w:r>
      <w:r>
        <w:t xml:space="preserve"> Abstract We discuss the issue of bringing human trafficking and forced prostitution within the purview of Article 4 of the European Convention on Human Rights. The judgment of the European Court of Human Rights in Rantsev v. Cyprus and Russia marked a turning point by classifying forced prostitution through human trafficking under Article 4. However, in the judgment in S.M. v. Croatia, the ECtHR further reinforced its view that human trafficking and forced prostitution constitute a violation of Article 4. We explain human trafficking and forced prostitution both theoretically and through a number of international legal acts. We then explain Article 4 of the Convention and provide a comprehensive analysis of the material and procedural guarantees against human trafficking and forced prostitution. We also comment on the positive obligations that the ECtHR set for Member States. The authors believe that, despite numerous criticisms, the ECtHR’s position is correct and that both human trafficking and forced prostitution violate the principles of democratic society. Therefore, victims must enjoy the protection afforded by Article 4 of the Human Rights Convention and other conventions if their life situation falls within their scope.</w:t>
      </w:r>
    </w:p>
    <w:p>
      <w:pPr/>
      <w:r>
        <w:rPr>
          <w:b/>
        </w:rPr>
        <w:t>POSSIBLE 2024:</w:t>
      </w:r>
      <w:r>
        <w:t xml:space="preserve"> Early Marriage: A European Perspective — https://doi.org/10.1007/978-3-031-71598-3_12</w:t>
      </w:r>
    </w:p>
    <w:p>
      <w:pPr/>
      <w:r>
        <w:rPr>
          <w:b/>
        </w:rPr>
        <w:t>Shared claim-specific concepts:</w:t>
      </w:r>
      <w:r>
        <w:t xml:space="preserve"> abstract, article, provides, overview; EU scope visible. This is a provisional connection, not an outcome finding.</w:t>
      </w:r>
    </w:p>
    <w:p>
      <w:pPr>
        <w:pStyle w:val="SourceNote"/>
      </w:pPr>
      <w:r>
        <w:rPr>
          <w:b/>
        </w:rPr>
        <w:t>Available abstract (not full text):</w:t>
      </w:r>
      <w:r>
        <w:t xml:space="preserve"> Abstract This article provides an overview and comparison of the findings of the contributions in this chapter and an outlook on possible European improvements. To protect the persons involved, the article argues against symbolic law-making and emphatically proposes a case-by-case approach.</w:t>
      </w:r>
    </w:p>
    <w:p>
      <w:pPr/>
      <w:r>
        <w:rPr>
          <w:b/>
        </w:rPr>
        <w:t>POSSIBLE 2024:</w:t>
      </w:r>
      <w:r>
        <w:t xml:space="preserve"> A comprehensive overview of industrial demand response status in Europe — https://doi.org/10.1016/j.rser.2024.114797</w:t>
      </w:r>
    </w:p>
    <w:p>
      <w:pPr/>
      <w:r>
        <w:rPr>
          <w:b/>
        </w:rPr>
        <w:t>Shared claim-specific concepts:</w:t>
      </w:r>
      <w:r>
        <w:t xml:space="preserve"> comprehensive, overview, energy; EU scope visible. This is a provisional connection, not an outcome finding.</w:t>
      </w:r>
    </w:p>
    <w:p>
      <w:pPr>
        <w:pStyle w:val="SourceNote"/>
      </w:pPr>
      <w:r>
        <w:rPr>
          <w:b/>
        </w:rPr>
        <w:t>Available abstract (not full text):</w:t>
      </w:r>
      <w:r>
        <w:t xml:space="preserve"> Industrial demand response (IDR) will play a crucial role in shaping future electricity systems, as it is a key element of a just energy transition and industrial development. The aim of this work is to provide an overview of the current status of IDR in a holistic perspective. First, the main benefits and potential of IDR are reviewed, together with the motivations and challenges for the industrial sector. Most recent advances in European markets and regulations with specific focus on IDR applications are explored. Then, the different resources which are currently available to help industries participate and implement IDR programmes are reviewed. In particular: 1) the (possible) tools for defining energy-aware scheduling and planning of the manufacturing systems are analysed; 2) The role of aggregators (i.e. intermediaries between industries and power markets) for facilitating explicit IDR is examined; 3) the importance of digitalisation to provide better IDR services from the manufacturing industry is highlighted, pointing out that digital twins, cyber-physical systems, Internet of Things sensors, robots, edge computing, artificial intelligence, and big data are promising technologies; and 4) most recent related research projects are reviewed. Finally, it is analysed and discussed how each of those resources can address the different challenges that are still preventing indus</w:t>
      </w:r>
    </w:p>
    <w:p>
      <w:pPr/>
      <w:r>
        <w:rPr>
          <w:b/>
        </w:rPr>
        <w:t>POSSIBLE 2024:</w:t>
      </w:r>
      <w:r>
        <w:t xml:space="preserve"> Making a comprehensive arms control agreement for Europe in times of crisis: Rationale, structure, and outcomes — https://doi.org/10.5937/pnb27-51889</w:t>
      </w:r>
    </w:p>
    <w:p>
      <w:pPr/>
      <w:r>
        <w:rPr>
          <w:b/>
        </w:rPr>
        <w:t>Shared claim-specific concepts:</w:t>
      </w:r>
      <w:r>
        <w:t xml:space="preserve"> article, comprehensive, framework; EU scope visible. This is a provisional connection, not an outcome finding.</w:t>
      </w:r>
    </w:p>
    <w:p>
      <w:pPr>
        <w:pStyle w:val="SourceNote"/>
      </w:pPr>
      <w:r>
        <w:rPr>
          <w:b/>
        </w:rPr>
        <w:t>Available abstract (not full text):</w:t>
      </w:r>
      <w:r>
        <w:t xml:space="preserve"> The war in Ukraine reflects the culmination of two international crises - one of the European security architecture and the other of strategic stability. This paper aims to examine how these crises influence the feasibility of future arms control in Europe. The authors claim that the current situation is an opportunity for a comprehensive arms control agreement for Europe. They begin by providing a theoretical framework of international crises and explain the current state of the arms control regime. Through a content and discourse analysis, they consider the positions of the main actors in relation to the key elements of future arms control and, based on this, by using a comparative method, consider the possible common ground that would serve as the bedrock for a new European comprehensive arms control regime. The article concludes that by going comprehensive, arms control can provide grounds for tradeoffs between the parties, settling most issues of concern in a multi-track process.</w:t>
      </w:r>
    </w:p>
    <w:p>
      <w:pPr/>
      <w:r>
        <w:rPr>
          <w:b/>
        </w:rPr>
        <w:t>POSSIBLE 2024:</w:t>
      </w:r>
      <w:r>
        <w:t xml:space="preserve"> A comprehensive analysis of European clinical trial governance: The evolution from directive to regulation — https://doi.org/10.1177/17411343241303843</w:t>
      </w:r>
    </w:p>
    <w:p>
      <w:pPr/>
      <w:r>
        <w:rPr>
          <w:b/>
        </w:rPr>
        <w:t>Shared claim-specific concepts:</w:t>
      </w:r>
      <w:r>
        <w:t xml:space="preserve"> article, provides, comprehensive, overview, explores; EU scope visible. This is a provisional connection, not an outcome finding.</w:t>
      </w:r>
    </w:p>
    <w:p>
      <w:pPr>
        <w:pStyle w:val="SourceNote"/>
      </w:pPr>
      <w:r>
        <w:rPr>
          <w:b/>
        </w:rPr>
        <w:t>Available abstract (not full text):</w:t>
      </w:r>
      <w:r>
        <w:t xml:space="preserve"> The implementation of the new European Clinical Trial Regulation on January 31, 2022, marks a significant advancement in promoting clinical research across Europe. This article comprises three key sections aimed at elucidating the transition from the previous clinical trial directives to the new regulation and its implications. The introductory segment provides a simplified overview of the historical context and limitations of clinical trial directives, setting the stage for a deeper exploration of the subsequent clinical trial regulation-related information. Here, the basic work structure of the Clinical Trial Information System (CTIS) is outlined alongside the transition period from directives to regulation, highlighting key differences between the two. Additionally, various differentiators of the regulation are highlighted, including coordinated assessments, increased public transparency, new definitions such as “low intervention clinical trials,” stricter timelines, simplified safety reporting, and improved patient protections. Lastly, the article creatively explores the guidance document titled “Guidance for the Transition of Clinical Trials from the Clinical Trial Directive to Clinical Trial Regulation,” elucidating its contents in an easy-to-understand manner. In summary, this article offers a concise yet comprehensive overview of the clinical trial directive, clinical t</w:t>
      </w:r>
    </w:p>
    <w:p>
      <w:pPr/>
      <w:r>
        <w:rPr>
          <w:b/>
        </w:rPr>
        <w:t>POSSIBLE 2023:</w:t>
      </w:r>
      <w:r>
        <w:t xml:space="preserve"> Contesting Europe: Eurosceptic Dissent and Integration Polarization in the European Parliament — https://doi.org/10.1111/jcms.13448</w:t>
      </w:r>
    </w:p>
    <w:p>
      <w:pPr/>
      <w:r>
        <w:rPr>
          <w:b/>
        </w:rPr>
        <w:t>Shared claim-specific concepts:</w:t>
      </w:r>
      <w:r>
        <w:t xml:space="preserve"> abstract, article, provides, comprehensive; EU scope visible. This is a provisional connection, not an outcome finding.</w:t>
      </w:r>
    </w:p>
    <w:p>
      <w:pPr>
        <w:pStyle w:val="SourceNote"/>
      </w:pPr>
      <w:r>
        <w:rPr>
          <w:b/>
        </w:rPr>
        <w:t>Available abstract (not full text):</w:t>
      </w:r>
      <w:r>
        <w:t xml:space="preserve"> Abstract This article provides a comprehensive analysis of Eurosceptic contestation within the legislative arena of the European Parliament (EP) from 2009 to 2019. Under what conditions do Eurosceptics vote differently from their Europhile peers? The literatures on European integration, party competition and policy types lead us to expect variation in Eurosceptic contestation across policy areas. Drawing on roll‐call votes in the EP, we introduce two new measures of such contestation: Eurosceptic dissent, that is, the extent to which Eurosceptics diverge from the Europhile plurality, and integration polarization, that is, the extent to which Eurosceptics and Europhiles oppose each other as cohesive camps. Our two indicators show that Eurosceptic contestation is particularly pronounced when the EP votes on cultural, distributive and constituent issues. When voting on redistributive policies, in contrast, dissent and polarization are curbed by national and ideological diversity.</w:t>
      </w:r>
    </w:p>
    <w:p>
      <w:pPr/>
      <w:r>
        <w:rPr>
          <w:b/>
        </w:rPr>
        <w:t>POSSIBLE 2023:</w:t>
      </w:r>
      <w:r>
        <w:t xml:space="preserve"> Selective European Solidarity: How Recipient Country Characteristics Shape Support for International Redistribution in Europe — https://doi.org/10.1111/jcms.13506</w:t>
      </w:r>
    </w:p>
    <w:p>
      <w:pPr/>
      <w:r>
        <w:rPr>
          <w:b/>
        </w:rPr>
        <w:t>Shared claim-specific concepts:</w:t>
      </w:r>
      <w:r>
        <w:t xml:space="preserve"> abstract, article, union, also; EU scope visible. This is a provisional connection, not an outcome finding.</w:t>
      </w:r>
    </w:p>
    <w:p>
      <w:pPr>
        <w:pStyle w:val="SourceNote"/>
      </w:pPr>
      <w:r>
        <w:rPr>
          <w:b/>
        </w:rPr>
        <w:t>Available abstract (not full text):</w:t>
      </w:r>
      <w:r>
        <w:t xml:space="preserve"> Abstract This article analyses how the characteristics of recipient countries shape individual support for international redistribution in Europe. Whilst a growing body of research has looked into the determinants of support for international redistribution, we argue that individuals may not be willing to redistribute in equal measure to any foreign country. We use data from a survey asking respondents in 14 European countries whether they think their governments should provide financial help to 35 [European Union (EU) and non‐EU] foreign countries in the event of a major crisis. We show that individuals are more likely to support helping foreign countries that speak the same language, are geographically close, have deeper trade links, are poorer than their own and are also EU members. Individuals who are more sceptical towards international redistribution are more likely to discriminate amongst foreign countries in their support for redistribution across borders.</w:t>
      </w:r>
    </w:p>
    <w:p>
      <w:pPr/>
      <w:r>
        <w:rPr>
          <w:b/>
        </w:rPr>
        <w:t>POSSIBLE 2023:</w:t>
      </w:r>
      <w:r>
        <w:t xml:space="preserve"> The Impact of COVID-19 in Europe: A Comprehensive Analysis — https://doi.org/10.54783/ijsoc.v5i4.787</w:t>
      </w:r>
    </w:p>
    <w:p>
      <w:pPr/>
      <w:r>
        <w:rPr>
          <w:b/>
        </w:rPr>
        <w:t>Shared claim-specific concepts:</w:t>
      </w:r>
      <w:r>
        <w:t xml:space="preserve"> article, comprehensive, pandemic; EU scope visible. This is a provisional connection, not an outcome finding.</w:t>
      </w:r>
    </w:p>
    <w:p>
      <w:pPr>
        <w:pStyle w:val="SourceNote"/>
      </w:pPr>
      <w:r>
        <w:rPr>
          <w:b/>
        </w:rPr>
        <w:t>Available abstract (not full text):</w:t>
      </w:r>
      <w:r>
        <w:t xml:space="preserve"> The COVID-19 pandemic, caused by the novel coronavirus SARS-CoV-2, has had a profound impact on the European continent. This scientific journal article aims to provide a comprehensive analysis of the spread, healthcare response, socio-economic consequences, and lessons learned from the COVID-19 pandemic in Europe. It combines data-driven insights with a review of relevant scientific literature to present a holistic view of the situation in Europe</w:t>
      </w:r>
    </w:p>
    <w:p>
      <w:pPr/>
      <w:r>
        <w:rPr>
          <w:b/>
        </w:rPr>
        <w:t>POSSIBLE 2023:</w:t>
      </w:r>
      <w:r>
        <w:t xml:space="preserve"> Incidence of Lyme Borreliosis in Europe: A Systematic Review (2005–2020) — https://doi.org/10.1089/vbz.2022.0070</w:t>
      </w:r>
    </w:p>
    <w:p>
      <w:pPr/>
      <w:r>
        <w:rPr>
          <w:b/>
        </w:rPr>
        <w:t>Shared claim-specific concepts:</w:t>
      </w:r>
      <w:r>
        <w:t xml:space="preserve"> article, provides, comprehensive, union, also; EU scope visible. This is a provisional connection, not an outcome finding.</w:t>
      </w:r>
    </w:p>
    <w:p>
      <w:pPr>
        <w:pStyle w:val="SourceNote"/>
      </w:pPr>
      <w:r>
        <w:rPr>
          <w:b/>
        </w:rPr>
        <w:t>Available abstract (not full text):</w:t>
      </w:r>
      <w:r>
        <w:t xml:space="preserve"> Background: Lyme borreliosis (LB) is the most common tick-borne disease in Europe, but the burden of disease is incompletely described. Methods: We conducted a systematic review across PubMed, EMBASE, and CABI Direct (Global Health) databases, from January 1, 2005, to November 20, 2020, of epidemiological studies reporting incidence of LB in Europe (PROSPERO, CRD42021236906). Results: The systematic review yielded 61 unique articles describing LB incidence (national or subnational) in 25 European countries. Substantial heterogeneity in study designs, populations sampled, and case definitions restricted data comparability. The European Union Concerted Action on Lyme Borreliosis (EUCALB)–published standardized LB case definitions were used by only 13 (21%) of the 61 articles. There were 33 studies that provided national-level LB incidence estimates for 20 countries. Subnational LB incidence was available from an additional four countries (Italy, Lithuania, Norway, and Spain). The highest LB incidences (&gt;100 cases per 100,000 population per year [PPY]) were reported in Belgium, Finland, the Netherlands, and Switzerland. Incidences were 20–40/100,000 PPY in the Czech Republic, Germany, Poland, and Scotland and &lt;20/100,000 PPY in Belarus, Croatia, Denmark, France, Ireland, Portugal, Russia, Slovakia, Sweden, and the United Kingdom (England, Northern Ireland, and Wales); markedly hig</w:t>
      </w:r>
    </w:p>
    <w:p>
      <w:pPr>
        <w:pStyle w:val="Heading2"/>
      </w:pPr>
      <w:r>
        <w:t>642.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2026:</w:t>
      </w:r>
      <w:r>
        <w:t xml:space="preserve"> Has the agricultural productivity increased after European Union enlargements in Central European countries? Evidence from four countries' cereal production — https://doi.org/10.17221/156/2023-agricecon</w:t>
      </w:r>
    </w:p>
    <w:p>
      <w:pPr/>
      <w:r>
        <w:rPr>
          <w:b/>
        </w:rPr>
        <w:t>Shared claim-specific concepts:</w:t>
      </w:r>
      <w:r>
        <w:t xml:space="preserve"> between, overall, expected, three; EU scope visible. This is a provisional connection, not an outcome finding.</w:t>
      </w:r>
    </w:p>
    <w:p>
      <w:pPr>
        <w:pStyle w:val="SourceNote"/>
      </w:pPr>
      <w:r>
        <w:rPr>
          <w:b/>
        </w:rPr>
        <w:t>Available abstract (not full text):</w:t>
      </w:r>
      <w:r>
        <w:t xml:space="preserve"> It was widely expected that following European Union's enlargement in 2004, farmers in new member states would improve their performance by increasing the efficiency of their production processes. In this study, using the Farm Accountancy Data Network data, we look at changes in total factor productivity, a measure which captures how efficiently and intensely inputs are utilised in production, that took place in farms producing cereals in the Czech Republic, Hungary, Poland, and Slovenia between 2004 and 2017. We find that in all four countries total factor productivity increased in the first years after the accession, but later declined. Overall, in the three former countries, total factor productivity in 2017 was higher than observed in 2004, whereas in Slovenia it was lower. This pattern largely corresponds to the dynamics observed with technological change: an initial technological progress was followed by a technological regress. Our results also suggest that over time farmers faced increasing problems with finding an optimal size of their operation. Finally, we observe that the technologies adopted on the farms were not used in an efficient way.</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2024:</w:t>
      </w:r>
      <w:r>
        <w:t xml:space="preserve"> Unequal geographies of gender-affirming care: A comparative typology of trans-specific healthcare systems across Europe — https://doi.org/10.1016/j.socscimed.2024.117145</w:t>
      </w:r>
    </w:p>
    <w:p>
      <w:pPr/>
      <w:r>
        <w:rPr>
          <w:b/>
        </w:rPr>
        <w:t>Shared claim-specific concepts:</w:t>
      </w:r>
      <w:r>
        <w:t xml:space="preserve"> between, overall, healthcare, based; EU scope visible. This is a provisional connection, not an outcome finding.</w:t>
      </w:r>
    </w:p>
    <w:p>
      <w:pPr>
        <w:pStyle w:val="SourceNote"/>
      </w:pPr>
      <w:r>
        <w:rPr>
          <w:b/>
        </w:rPr>
        <w:t>Available abstract (not full text):</w:t>
      </w:r>
      <w:r>
        <w:t xml:space="preserve"> RATIONALE: Gender-affirming healthcare can carry significant benefits for trans people. However, there are substantial geographical inequalities in the provision of and access to trans-specific healthcare across Europe. Comparative healthcare systems research has typically focused on universal services, neglecting provision which serves specific groups within populations (e.g., trans people). OBJECTIVE: This study aimed to develop a comparative typology of trans-specific healthcare systems across 28 European countries (the EU 27 plus the UK), and to examine country-level correlates which may influence or be influenced by these systems. METHODS: Using hierarchical and k-means cluster analysis, countries were classified into four types based on measures of trans-specific healthcare provision, regulation and access. Possible country-level correlates (including socio-political climate, medical outcomes, and the general healthcare system) were investigated. RESULTS AND DISCUSSION: The cluster analysis identified four clusters of trans-specific healthcare systems in Europe, characterized as: 1) Centralized conservative (highly centralized, extensive range of treatments, few trans-specific government policies); 2) Centralized reformist (highly centralized, extensive range of treatments, multiple trans-specific government policies); 3) Decentralized marketized (highly decentralized, mo</w:t>
      </w:r>
    </w:p>
    <w:p>
      <w:pPr/>
      <w:r>
        <w:rPr>
          <w:b/>
        </w:rPr>
        <w:t>POSSIBLE 2024:</w:t>
      </w:r>
      <w:r>
        <w:t xml:space="preserve"> A survey-based assessment of attitudes and needs regarding tinnitus healthcare among patients and healthcare professionals in Europe — https://doi.org/10.3389/fauot.2024.1347283</w:t>
      </w:r>
    </w:p>
    <w:p>
      <w:pPr/>
      <w:r>
        <w:rPr>
          <w:b/>
        </w:rPr>
        <w:t>Shared claim-specific concepts:</w:t>
      </w:r>
      <w:r>
        <w:t xml:space="preserve"> between, overall, healthcare, based; EU scope visible. This is a provisional connection, not an outcome finding.</w:t>
      </w:r>
    </w:p>
    <w:p>
      <w:pPr>
        <w:pStyle w:val="SourceNote"/>
      </w:pPr>
      <w:r>
        <w:rPr>
          <w:b/>
        </w:rPr>
        <w:t>Available abstract (not full text):</w:t>
      </w:r>
      <w:r>
        <w:t xml:space="preserve"> Despite good agreement of national guidelines for the assessment and treatment of tinnitus, there is still substantial variation regarding tinnitus-related healthcare across Europe. In contrast to previous work, which has mainly focussed on the perspective of healthcare professionals, we here report the results of separate web-based surveys conducted with clinicians and researchers as well as tinnitus patients. These surveys were devised to obtain information about their respective attitudes and needs with respect to tinnitus healthcare, and to reveal possible interdisciplinary inconsistencies among clinicians and researchers. We mainly targeted participants from Germany, Cyprus, and Greece, the countries in which the institutions of the researchers involved in this project are based. Results showed, firstly, that the treatment satisfaction of the patients was overall more negative than that of the clinicians and researchers, and that the patients' treatment satisfaction did not depend on the number of different treatments they had received. Secondly, patients as well as clinicians and researchers indicated that they were interested in learning more about a variety of tinnitus-related topics, especially treatment strategies, with no marked differences between clinicians from different professional disciplines. This suggests similar tinnitus-specific educational needs in patient</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between, expected, increase, burden, modelled, three;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Racism against racialized migrants in healthcare in Europe: a scoping review — https://doi.org/10.1186/s12939-023-02014-1</w:t>
      </w:r>
    </w:p>
    <w:p>
      <w:pPr/>
      <w:r>
        <w:rPr>
          <w:b/>
        </w:rPr>
        <w:t>Shared claim-specific concepts:</w:t>
      </w:r>
      <w:r>
        <w:t xml:space="preserve"> between, healthcare, three; EU scope visible. This is a provisional connection, not an outcome finding.</w:t>
      </w:r>
    </w:p>
    <w:p>
      <w:pPr>
        <w:pStyle w:val="SourceNote"/>
      </w:pPr>
      <w:r>
        <w:rPr>
          <w:b/>
        </w:rPr>
        <w:t>Available abstract (not full text):</w:t>
      </w:r>
      <w:r>
        <w:t xml:space="preserve"> BACKGROUND: Racism is frequently mentioned as a social determinant of migrants' health and a barrier to health services. However, in the European context, racism and its impact on racialized migrants' access to healthcare is remarkably under-researched. This scoping review makes a first step toward filling this void by mapping the existing literature on racial and ethnic discrimination against racialized migrants in healthcare in Europe, identifying evidence gaps, and offering recommendations for future research on this topic. METHODS: Following PRISMA guidelines, four databases were searched for empirical studies published in English between 1992 and 2022. Studies were included if they report findings on manifestations, experiences and/or impacts of racial or ethnic discrimination against racialized migrants in a healthcare setting in a European country. They were summarized by study characteristics (geographical scope, study design, research question and measures) and research findings were synthesized. RESULTS: Out of 2365 initial hits, 1724 records were included in the title/abstract-screening, 87 records in the full text-screening, and 38 records in the data extraction. For many country and healthcare contexts, evidence on racism in healthcare is lacking. Most studies apply an explorative qualitative research design; comparability and generalizability of research results a</w:t>
      </w:r>
    </w:p>
    <w:p>
      <w:pPr/>
      <w:r>
        <w:rPr>
          <w:b/>
        </w:rPr>
        <w:t>POSSIBLE 2023:</w:t>
      </w:r>
      <w:r>
        <w:t xml:space="preserve"> Socio-demographic and regional differences in unmet healthcare needs among migrants in Europe — https://doi.org/10.1371/journal.pone.0285886</w:t>
      </w:r>
    </w:p>
    <w:p>
      <w:pPr/>
      <w:r>
        <w:rPr>
          <w:b/>
        </w:rPr>
        <w:t>Shared claim-specific concepts:</w:t>
      </w:r>
      <w:r>
        <w:t xml:space="preserve"> between, overall, healthcare, factors; EU scope visible. This is a provisional connection, not an outcome finding.</w:t>
      </w:r>
    </w:p>
    <w:p>
      <w:pPr>
        <w:pStyle w:val="SourceNote"/>
      </w:pPr>
      <w:r>
        <w:rPr>
          <w:b/>
        </w:rPr>
        <w:t>Available abstract (not full text):</w:t>
      </w:r>
      <w:r>
        <w:t xml:space="preserve"> BACKGROUND: Different barriers that hinder migrants' access to healthcare may have detrimental effect on health but also contribute to health inequalities. Given the lack of evidence on unmet healthcare needs among European migrant population, the study aimed to analyse the demographic, socio-economic and health-related patterning of unmet healthcare needs among migrants in Europe. METHODS: European Health Interview Survey data from 2013-2015 covering 26 countries was used to analyse associations of individual-level factors and unmet healthcare needs among migrants (n = 12,817). Prevalences and 95% confidence intervals for unmet healthcare needs were presented for geographical regions and countries. Associations between unmet healthcare needs and demographic, socio-economic, and health indicators were analysed using Poisson regression models. RESULTS: The overall prevalence of unmet healthcare needs among migrants was 27.8% (95% CI 27.1-28.6) but the estimate varied substantially across geographical regions in Europe. Unmet healthcare needs due to cost or access were patterned by various demographic, socio-economic, and health-related indicators but higher prevalence of UHN were universally found for women, those with the lowest income, and poor health. CONCLUSIONS: While the high level of unmet healthcare needs illustrate migrants' vulnerability to health risks, the regional v</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between, overall, case;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Rising water-use efficiency in European grasslands is driven by increased primary production — https://doi.org/10.1038/s43247-023-00757-x</w:t>
      </w:r>
    </w:p>
    <w:p>
      <w:pPr/>
      <w:r>
        <w:rPr>
          <w:b/>
        </w:rPr>
        <w:t>Shared claim-specific concepts:</w:t>
      </w:r>
      <w:r>
        <w:t xml:space="preserve"> between, three, trends; EU scope visible. This is a provisional connection, not an outcome finding.</w:t>
      </w:r>
    </w:p>
    <w:p>
      <w:pPr>
        <w:pStyle w:val="SourceNote"/>
      </w:pPr>
      <w:r>
        <w:rPr>
          <w:b/>
        </w:rPr>
        <w:t>Available abstract (not full text):</w:t>
      </w:r>
      <w:r>
        <w:t xml:space="preserve"> Abstract Water-use efficiency is the amount of carbon assimilated per water used by an ecosystem and a key indicator of ecosystem functioning, but its variability in response to climate change and droughts is not thoroughly understood. Here, we investigated trends, drought response and drivers of three water-use efficiency indices from 1995–2018 in Europe with remote sensing data that considered long-term environmental effects. We show that inherent water-use efficiency decreased by −4.2% in Central Europe, exhibiting threatened ecosystem functioning. In European grasslands it increased by +24.2%, by regulated transpiration and increased carbon assimilation. Further, we highlight modulation of water-use efficiency drought response by hydro-climate and the importance of adaptive canopy conductance on ecosystem function. Our results imply that decoupling carbon assimilation from canopy conductance and efficient water management strategies could make the difference between threatened and well-coping ecosystems with ongoing climate change, and provide important insights for land surface model development.</w:t>
      </w:r>
    </w:p>
    <w:p>
      <w:pPr/>
      <w:r>
        <w:rPr>
          <w:b/>
        </w:rPr>
        <w:t>POSSIBLE 2023:</w:t>
      </w:r>
      <w:r>
        <w:t xml:space="preserve"> Epidemiology of hip fractures in Europe: Geographic variability — https://doi.org/10.22540/jrpms-07-108</w:t>
      </w:r>
    </w:p>
    <w:p>
      <w:pPr/>
      <w:r>
        <w:rPr>
          <w:b/>
        </w:rPr>
        <w:t>Shared claim-specific concepts:</w:t>
      </w:r>
      <w:r>
        <w:t xml:space="preserve"> between, overall, healthcare, expected, increase, factors; EU scope visible. This is a provisional connection, not an outcome finding.</w:t>
      </w:r>
    </w:p>
    <w:p>
      <w:pPr>
        <w:pStyle w:val="SourceNote"/>
      </w:pPr>
      <w:r>
        <w:rPr>
          <w:b/>
        </w:rPr>
        <w:t>Available abstract (not full text):</w:t>
      </w:r>
      <w:r>
        <w:t xml:space="preserve"> IntroductionOsteoporosis is the most common metabolic bone disease and the primary cause of fracture in people over the age of 50 years.Hip fractures constitute a major public health issue worldwide, particularly among the elderly population, and can cause substantial pain, disability, and even death 1 .Despite representing only 20% of all osteoporotic fractures, hip fractures are the most serious and costly consequence of osteoporosis and are typically identified because they require hospitalization and medical attention 2 .Hip fractures are a growing concern, with estimates indicating that over six million hip fractures occur on a global scale every year.This number is projected to rise significantly in the coming years, particularly in developing countries, due to the aging of the population and changes in lifestyle factors 3 .Hip fractures are associated with significant mortality and morbidity rates.For instance, up to 20% of patients with hip fractures die within one year of the injury, while another 50% experience a significant decline in their overall health and quality of life 4 .Additionally, hip fractures are a major cause of healthcare costs, particularly due to the need for prolonged hospital stays, surgery, and postoperative rehabilitation.International Osteoporosis Foundation (IOF) report projects that the population of individuals over 50 years old in the Europe</w:t>
      </w:r>
    </w:p>
    <w:p>
      <w:pPr/>
      <w:r>
        <w:rPr>
          <w:b/>
        </w:rPr>
        <w:t>POSSIBLE 2022:</w:t>
      </w:r>
      <w:r>
        <w:t xml:space="preserve"> P1034: HEALTHCARE UTILIZATION OF PATIENTS WITH HYPEREOSINOPHILIC SYNDROME IN EUROPE — https://doi.org/10.1097/01.hs9.0000847004.53726.7b</w:t>
      </w:r>
    </w:p>
    <w:p>
      <w:pPr/>
      <w:r>
        <w:rPr>
          <w:b/>
        </w:rPr>
        <w:t>Shared claim-specific concepts:</w:t>
      </w:r>
      <w:r>
        <w:t xml:space="preserve"> between, overall, healthcare, burden; EU scope visible. This is a provisional connection, not an outcome finding.</w:t>
      </w:r>
    </w:p>
    <w:p>
      <w:pPr>
        <w:pStyle w:val="SourceNote"/>
      </w:pPr>
      <w:r>
        <w:rPr>
          <w:b/>
        </w:rPr>
        <w:t>Available abstract (not full text):</w:t>
      </w:r>
      <w:r>
        <w:t xml:space="preserve"> Background: Hypereosinophilic syndrome (HES) is a rare group of blood disorders characterized by prolonged eosinophilia that can lead to tissue and organ damage. HES was previously considered to be largely idiopathic, but myeloid and lymphocytic variants are also now recognized. The disease may manifest in multiple organ systems, most commonly the heart, nervous system, gastrointestinal tract, skin, and lungs, due to eosinophilic infiltration. Treatment aims to reduce eosinophil counts, and the current standard of care consists of high-dose glucocorticosteroids, despite the risks associated with high doses or long exposure, and antineoplastic agents for those with more severe disease or who do not respond to steroids. Healthcare resource utilization (HCRU) in patients with HES is not well characterized, and data from clinical trials may not be representative of the general disease population encountered in real-world settings. Aims: To describe HES-related HCRU among a real-world cohort of patients with a confirmed diagnosis of HES in Europe. Methods: This retrospective chart review study included patients ≥6 years old with a confirmed diagnosis of HES and ≥1 year of follow-up data from index (first physician encounter: Jan 2015–Dec 2019). Chart review was conducted by physicians in 5 European countries (France, Germany, Italy, Spain, and the United Kingdom [UK]). Data from a s</w:t>
      </w:r>
    </w:p>
    <w:p>
      <w:pPr>
        <w:pStyle w:val="Heading2"/>
      </w:pPr>
      <w:r>
        <w:t>643.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2024:</w:t>
      </w:r>
      <w:r>
        <w:t xml:space="preserve"> Knowledge and Prizes — https://doi.org/10.1093/9780191976766.003.0012</w:t>
      </w:r>
    </w:p>
    <w:p>
      <w:pPr/>
      <w:r>
        <w:rPr>
          <w:b/>
        </w:rPr>
        <w:t>Shared claim-specific concepts:</w:t>
      </w:r>
      <w:r>
        <w:t xml:space="preserve"> desirable, based, knowledge; EU scope not established. This is a provisional connection, not an outcome finding.</w:t>
      </w:r>
    </w:p>
    <w:p>
      <w:pPr>
        <w:pStyle w:val="SourceNote"/>
      </w:pPr>
      <w:r>
        <w:rPr>
          <w:b/>
        </w:rPr>
        <w:t>Available abstract (not full text):</w:t>
      </w:r>
      <w:r>
        <w:t xml:space="preserve"> Abstract This chapter examines two leading theories of rational belief, the Lockean view and the explanationist view. The first is appealing because it fits with some independently plausible claims about the ways that rational persons pursue their aims. The second is appealing because it seems to account for intuitions that cause trouble for the Lockean view. While fitting the intuitive data is desirable, the trouble is that the explanationist view seems to clash with theoretical beliefs about what rationality must be like. The chapter argues that upon further examination, the intuitive appeal of the explanationist view starts to diminish. It also argues that these further intuitions that spell trouble for the explanationist spell trouble for any theory that is not expectationist. It proposes a novel expectationist theory of rational belief that improves upon the Lockean and the explanationist views. It argues that recent defences of the Lockean view contain an important insight. A substantive theory of rational response should be based on a suitable theory of prizes and a suitable theory of how we should pursue prizes in the face of uncertainty. Most theories of rational belief typically take for granted a truth-centred picture of epistemic prizes (e.g. that epistemic desirability and undesirability can be fully understood in terms of accuracy) and then differ in terms of how </w:t>
      </w:r>
    </w:p>
    <w:p>
      <w:pPr/>
      <w:r>
        <w:rPr>
          <w:b/>
        </w:rPr>
        <w:t>POSSIBLE 2023:</w:t>
      </w:r>
      <w:r>
        <w:t xml:space="preserve"> Immunitas and (un)desirable teacher knowledge in teacher education — https://doi.org/10.1111/ejed.12577</w:t>
      </w:r>
    </w:p>
    <w:p>
      <w:pPr/>
      <w:r>
        <w:rPr>
          <w:b/>
        </w:rPr>
        <w:t>Shared claim-specific concepts:</w:t>
      </w:r>
      <w:r>
        <w:t xml:space="preserve"> desirable, based, knowledge; EU scope visible. This is a provisional connection, not an outcome finding.</w:t>
      </w:r>
    </w:p>
    <w:p>
      <w:pPr>
        <w:pStyle w:val="SourceNote"/>
      </w:pPr>
      <w:r>
        <w:rPr>
          <w:b/>
        </w:rPr>
        <w:t>Available abstract (not full text):</w:t>
      </w:r>
      <w:r>
        <w:t xml:space="preserve"> Abstract Since the latter half of the 20th century many political efforts and initiatives have been launched to ensure that teacher education provides teachers with a positive (orderly) knowledge base. This includes things like professional teacher standards and notions like ‘best practices’ and ‘evidence‐based practice’. Building on the work of Esposito and with inspiration from psychoanalytic theory, we argue that today's educational policy can be seen as an attempt to immunise (teacher) education from risks associated with negativity ‐ disorderly, disruptive and ‘destructive’ matters that can problematise and question the normal order of things within political debates and policy‐based reforms. Drawing on examples from England and Denmark – contexts in which the authors work – we demonstrate how a dichotomy between desirable sound/healthy knowledge and undesirable unsound/unhealthy knowledge exist within teacher education. We examine how this produces epistemic injustice in that negative modes of thought and practice are rendered invisible, unthinkable and illegitimate. Being able to traverse such injustice, teachers must be encouraged to approach any and all sources of influence on their professional knowledge base with a sort of agonistic pragmatism, which may allow them to be faithful to the ethico‐political situation they are engaged in. What we suggest in this regard is</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pStyle w:val="Heading2"/>
      </w:pPr>
      <w:r>
        <w:t>644.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2026:</w:t>
      </w:r>
      <w:r>
        <w:t xml:space="preserve"> The carbon footprint of the hard coal sector in Poland in the context of the evolution of the European Union’s climate neutrality policy — https://doi.org/10.46873/2300-3960.1506</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The topic of the article is the carbon footprint of coal as a primary source of energy. In light of climate change and the energy transition in the European Union, it is increasingly important to analyse the carbon footprint of individual economic sectors. The aim of this review article is to present an analysis of the carbon footprint of the hard coal sector in Poland against the background of the EU’s climate neutrality policy. The paper reviews EU strategic documents, such as the European Green Deal, the ”Fit for 55” package, and the REPowerEU and Clean Industrial Deal initiatives, in terms of their impact on the functioning of the coal sector. It also presents a methodology for calculating the carbon footprint in terms of life cycle assessment (LCA), taking into account different scopes of greenhouse gas emissions according to the GHG Protocol. The article uses databases from the Instrat Foundation, Eurelectric – the Association of the Power Industry, the Polish Geological Institute, the Energy Market Agency, Ember – Electricity Data Explorer and the National Centre for Emissions Management. Using the latest available data from 2018 to 2024, the paper analyses changes in Poland’s and the EU’s energy mix and highlights the importance of the coal sector’s transition in the context of decarbonisation. The challenges associated with mine closures, the social transformation of m</w:t>
      </w:r>
    </w:p>
    <w:p>
      <w:pPr/>
      <w:r>
        <w:rPr>
          <w:b/>
        </w:rPr>
        <w:t>POSSIBLE 2026:</w:t>
      </w:r>
      <w:r>
        <w:t xml:space="preserve"> Contemporary institutional challenges in national innovation policy governance in Poland and Sweden in the context of the European Union’s competitiveness — https://doi.org/10.31338/1641-2478pe.3.26.6</w:t>
      </w:r>
    </w:p>
    <w:p>
      <w:pPr/>
      <w:r>
        <w:rPr>
          <w:b/>
        </w:rPr>
        <w:t>Shared claim-specific concepts:</w:t>
      </w:r>
      <w:r>
        <w:t xml:space="preserve"> article, presents, poland, political, union; EU scope visible. This is a provisional connection, not an outcome finding.</w:t>
      </w:r>
    </w:p>
    <w:p>
      <w:pPr>
        <w:pStyle w:val="SourceNote"/>
      </w:pPr>
      <w:r>
        <w:rPr>
          <w:b/>
        </w:rPr>
        <w:t>Available abstract (not full text):</w:t>
      </w:r>
      <w:r>
        <w:t xml:space="preserve"> This article presents a theory-informed benchmark comparison of national innovation policy governance in Poland and Sweden, and it also examines how governance capacity is associated with EU competitiveness. The study combines conceptual analysis, official institutional documents and data from European Innovation Scoreboard 2026. The comparison is focused on five governance dimensions: political anchoring, stakeholder architecture, links between strategy and instruments, demand-side capacity, transparency and institutional learning. Sweden is chosen for the analysis as a historical functional benchmark, while Poland is assessed in the institutional form introduced on 4 November 2025 by Prime Minister’s Order no. 62 amending the order establishing the Council for Innovation. The evidence indicates that the innovation gap is associated not only with expenditure, but also with coordination, participation, transparency and implementation capacity.</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r>
        <w:rPr>
          <w:b/>
        </w:rPr>
        <w:t>POSSIBLE 2025:</w:t>
      </w:r>
      <w:r>
        <w:t xml:space="preserve"> The Three Seas Initiative as a Component of India–Middle East–Europe Economic Corridor (IMEC) — https://doi.org/10.35757/stp.2025.53.1.11</w:t>
      </w:r>
    </w:p>
    <w:p>
      <w:pPr/>
      <w:r>
        <w:rPr>
          <w:b/>
        </w:rPr>
        <w:t>Shared claim-specific concepts:</w:t>
      </w:r>
      <w:r>
        <w:t xml:space="preserve"> article, presents, three, potential; EU scope visible. This is a provisional connection, not an outcome finding.</w:t>
      </w:r>
    </w:p>
    <w:p>
      <w:pPr>
        <w:pStyle w:val="SourceNote"/>
      </w:pPr>
      <w:r>
        <w:rPr>
          <w:b/>
        </w:rPr>
        <w:t>Available abstract (not full text):</w:t>
      </w:r>
      <w:r>
        <w:t xml:space="preserve"> The article presents the Three Seas Initiative (3SI) as a key component of the India–Middle East–Europe Economic Corridor (IMEC). It analyses the strategic role of transport infrastructure in Central and Eastern Europe amid shifting geopolitical dynamics. The study explores the impact of the pandemic, the war in Ukraine, and supply chain disruptions on the need for alternative trade routes. Special attention is given to Adriatic and Aegean ports such as Koper, Rijeka, and Thessaloniki as potential European endpoints of IMEC, highlighting their links to 3SI infrastructure and the broader TEN-T network. In this article IMEC and 3SI are portrayed not only as a logistics projects, but as a geopolitical tool reshaping regional alliances. The implementation of both may serve as a counterbalance to China’s Belt and Road Initiative by fostering secure and democratic trade connectivity across continents. Furthermore, the 3SI, supported by southern ports and expanding infrastructure along the north–south axis, may significantly improve access to the northernmost EU countries and Scandinavia, enhancing European cohesion and connectivity. This paper also emphasizes the dual-use nature of infrastructure investments, supporting both economic development and military mobility.</w:t>
      </w:r>
    </w:p>
    <w:p>
      <w:pPr/>
      <w:r>
        <w:rPr>
          <w:b/>
        </w:rPr>
        <w:t>POSSIBLE 2025:</w:t>
      </w:r>
      <w:r>
        <w:t xml:space="preserve"> The Silver Economy in the European Perspective — https://doi.org/10.37075/isa.2025.2.04</w:t>
      </w:r>
    </w:p>
    <w:p>
      <w:pPr/>
      <w:r>
        <w:rPr>
          <w:b/>
        </w:rPr>
        <w:t>Shared claim-specific concepts:</w:t>
      </w:r>
      <w:r>
        <w:t xml:space="preserve"> article, presents, three, exit; EU scope visible. This is a provisional connection, not an outcome finding.</w:t>
      </w:r>
    </w:p>
    <w:p>
      <w:pPr>
        <w:pStyle w:val="SourceNote"/>
      </w:pPr>
      <w:r>
        <w:rPr>
          <w:b/>
        </w:rPr>
        <w:t>Available abstract (not full text):</w:t>
      </w:r>
      <w:r>
        <w:t xml:space="preserve"> This article presents a comprehensive interdisciplinary analysis of demographic agеing in Europe through the analytical lens of the so-called ‘silver economy’, a conceptual paradigm that reframes ageing not as a unilateral social challenge but as a strategic economic asset. The study follows the evolving discourse surrounding older adults, shifting from perceptions of dependency and care to recognition of their agency as consumers, innovators, and contributors to productivity in the context of societal development. Drawing on up-to-date demographic indicators and EU-level policy documents, the paper systematizes three core dimensions through which the silver economy intersects with human well-being: late-life labor force participation, integrated social and healthcare services, and the infrastructure for digital and territorial connectivity. The findings suggest that the combination of policies aimed at extending working life – including raising the retirement age, promoting lifelong learning and reducing early exit from the labour market — significantly enhances the active social role of older individuals. Currently, the silver economy acts as a driver of innovation in healthcare, assistive technologies, and digital services, improving the quality of life of older people and opening new markets. The paper concludes that a successful transformation of demographic trends into su</w:t>
      </w:r>
    </w:p>
    <w:p>
      <w:pPr/>
      <w:r>
        <w:rPr>
          <w:b/>
        </w:rPr>
        <w:t>POSSIBLE 2025:</w:t>
      </w:r>
      <w:r>
        <w:t xml:space="preserve"> American Universalism and Poland in Central-Eastern Europe in the 20th Century — https://doi.org/10.17951/rh.2025.59.1389-1434</w:t>
      </w:r>
    </w:p>
    <w:p>
      <w:pPr/>
      <w:r>
        <w:rPr>
          <w:b/>
        </w:rPr>
        <w:t>Shared claim-specific concepts:</w:t>
      </w:r>
      <w:r>
        <w:t xml:space="preserve"> article, presents, poland, political; EU scope visible. This is a provisional connection, not an outcome finding.</w:t>
      </w:r>
    </w:p>
    <w:p>
      <w:pPr>
        <w:pStyle w:val="SourceNote"/>
      </w:pPr>
      <w:r>
        <w:rPr>
          <w:b/>
        </w:rPr>
        <w:t>Available abstract (not full text):</w:t>
      </w:r>
      <w:r>
        <w:t xml:space="preserve"> The article presents the importance of liberal universalism in the policy of the United States in relation to selected political and territorial problems of Poland and Central-Eastern Europe. From the end of World War I until the fall of the „Iron Curtain”, the U.S. tied the condition of its own liberal-democratic system with the spread of progressive, democratic and liberal values around the world. This liberal ideal of „emancipation of humanity” included concepts of perpetual peace, democracy, self-determination, social progress, economic development, free trade, and human rights, building thus a specific connection of American foreign policy with morality and economics. The objective is to demonstrate that universalism shaped the American view of Poland and Central and Eastern Europe as a liberal „laboratory of history” of the 20th century at the crossroads of empires, which was also a space of conflicts, revolutions and nationalisms that conflicted with American universalism.</w:t>
      </w:r>
    </w:p>
    <w:p>
      <w:pPr/>
      <w:r>
        <w:rPr>
          <w:b/>
        </w:rPr>
        <w:t>POSSIBLE 2025:</w:t>
      </w:r>
      <w:r>
        <w:t xml:space="preserve"> Basic assumptions of media policy in Poland: the legal and political framework — https://doi.org/10.13173/9783447124393.005</w:t>
      </w:r>
    </w:p>
    <w:p>
      <w:pPr/>
      <w:r>
        <w:rPr>
          <w:b/>
        </w:rPr>
        <w:t>Shared claim-specific concepts:</w:t>
      </w:r>
      <w:r>
        <w:t xml:space="preserve"> article, presents, poland, political; EU scope visible. This is a provisional connection, not an outcome finding.</w:t>
      </w:r>
    </w:p>
    <w:p>
      <w:pPr>
        <w:pStyle w:val="SourceNote"/>
      </w:pPr>
      <w:r>
        <w:rPr>
          <w:b/>
        </w:rPr>
        <w:t>Available abstract (not full text):</w:t>
      </w:r>
      <w:r>
        <w:t xml:space="preserve"> After the fall of communism and the start of Poland’s systemic transformation in the 1990s, fundamental changes also took place in the media. The transition to democracy did not immediately introduce the solutions and regulations characterising the democratic states of Western Europe. Although censorship was abolished and freedom of speech was finally possible, over the ensuing years and decades it was not possible to develop a political culture that would seek to adopt such regulations and solutions that would protect and strengthen these values. This article presents the main assumptions of state policy towards the media in Poland, which, because of the instability of the democratic system, requires more discussion than listing and explaining the most important legal acts regulating the media sector. media policy, media system, law</w:t>
      </w:r>
    </w:p>
    <w:p>
      <w:pPr/>
      <w:r>
        <w:rPr>
          <w:b/>
        </w:rPr>
        <w:t>POSSIBLE 2024:</w:t>
      </w:r>
      <w:r>
        <w:t xml:space="preserve"> Artificial Intelligence Across Europe: A Study on Awareness, Attitude and Trust — https://doi.org/10.1109/tai.2024.3461633</w:t>
      </w:r>
    </w:p>
    <w:p>
      <w:pPr/>
      <w:r>
        <w:rPr>
          <w:b/>
        </w:rPr>
        <w:t>Shared claim-specific concepts:</w:t>
      </w:r>
      <w:r>
        <w:t xml:space="preserve"> article, presents, three, poland; EU scope visible. This is a provisional connection, not an outcome finding.</w:t>
      </w:r>
    </w:p>
    <w:p>
      <w:pPr>
        <w:pStyle w:val="SourceNote"/>
      </w:pPr>
      <w:r>
        <w:rPr>
          <w:b/>
        </w:rPr>
        <w:t>Available abstract (not full text):</w:t>
      </w:r>
      <w:r>
        <w:t xml:space="preserve"> This article presents the results of an extensive study investigating the opinions on artificial intelligence (AI) of a sample of 4006 European citizens from eight distinct countries (France, Germany, Italy, Netherlands, Poland, Romania, Spain, and Sweden). The aim of the study is to gain a better understanding of people's views and perceptions within the European context, which is already marked by important policy actions and regulatory processes. To survey the perceptions of the citizens of Europe, we design and validate a new questionnaire (PAICE) structured around three dimensions: people's awareness, attitude, and trust. We observe that while awareness is characterized by a low level of self-assessed competency, the attitude toward AI is very positive for more than half of the population. Reflecting on the collected results, we highlight implicit contradictions and identify trends that may interfere with the creation of an ecosystem of trust and the development of inclusive AI policies. The introduction of rules that ensure legal and ethical standards, along with the activity of high-level educational entities, and the promotion of AI literacy are identified as key factors in supporting a trustworthy AI ecosystem. We make some recommendations for AI governance focused on the European context and conclude with suggestions for future work.</w:t>
      </w:r>
    </w:p>
    <w:p>
      <w:pPr/>
      <w:r>
        <w:rPr>
          <w:b/>
        </w:rPr>
        <w:t>POSSIBLE 2023:</w:t>
      </w:r>
      <w:r>
        <w:t xml:space="preserve"> EU enlargement in wartime Europe: three dimensions and scenarios — https://doi.org/10.1080/21582041.2023.2289661</w:t>
      </w:r>
    </w:p>
    <w:p>
      <w:pPr/>
      <w:r>
        <w:rPr>
          <w:b/>
        </w:rPr>
        <w:t>Shared claim-specific concepts:</w:t>
      </w:r>
      <w:r>
        <w:t xml:space="preserve"> article, presents, three, union;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A Lexicographic Practice Map of Europe — https://doi.org/10.1093/ijl/ecad023</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pStyle w:val="Heading2"/>
      </w:pPr>
      <w:r>
        <w:t>645.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2026:</w:t>
      </w:r>
      <w:r>
        <w:t xml:space="preserve"> Geopolitical and climate change risks affect FDI inflows: a bayesian panel data analysis — https://doi.org/10.1080/15140326.2026.2691367</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examines the simultaneous and interactive effects of geopolitical risk and climate change risk on foreign direct investment inflows across 43 economies during the period 2002–2023. Methodologically, we employ the Bayesian estimation technique, providing a robust, nuanced quantification of uncertainty compared to traditional frequentist approaches. Results reveal a significant negative impact of climate change risks on inward FDI, while GPR exhibits a positive “safe haven” effect. Furthermore, institutional quality, labor force size, and trade openness are identified as primary drivers, whereas import tariffs act as a deterrent. Our findings suggest that because FDI involves long-term, sunk-cost investments, host countries must move beyond evaluating risks in isolation. We argue that institutional reforms not only safeguard investor rights but also enhance climate resilience for multinational corporations. This research offers a refined risk assessment framework for navigating dual geopolitical and environmental challenges.</w:t>
      </w:r>
    </w:p>
    <w:p>
      <w:pPr/>
      <w:r>
        <w:rPr>
          <w:b/>
        </w:rPr>
        <w:t>POSSIBLE 2025:</w:t>
      </w:r>
      <w:r>
        <w:t xml:space="preserve"> Assessing The Effects of GDP and FDI Inflows on Carbon Dioxide Emission — https://doi.org/10.21776/jdess.2025.04.1.22</w:t>
      </w:r>
    </w:p>
    <w:p>
      <w:pPr/>
      <w:r>
        <w:rPr>
          <w:b/>
        </w:rPr>
        <w:t>Shared claim-specific concepts:</w:t>
      </w:r>
      <w:r>
        <w:t xml:space="preserve"> damage, fdi, inflows; EU scope not established. This is a provisional connection, not an outcome finding.</w:t>
      </w:r>
    </w:p>
    <w:p>
      <w:pPr>
        <w:pStyle w:val="SourceNote"/>
      </w:pPr>
      <w:r>
        <w:rPr>
          <w:b/>
        </w:rPr>
        <w:t>Available abstract (not full text):</w:t>
      </w:r>
      <w:r>
        <w:t xml:space="preserve"> Indonesia is one of the world's largest emitters of carbon dioxide. This aligns with the Environmental Kuznets Curve (EKC) hypothesis, which states that economic growth initially causes environmental damage. This study uses the Error Correction Model (ECM) with time series data from 2002-2022 to definitively examine the relationship between sectoral GDP and FDI inflows with CO2 emissions in Indonesia. The results show that sectoral GDP significantly negatively affects CO2 emissions in the long and short run. In contrast, the quadratic form of GDP has a positive effect, indicating an anomaly in the expected EKC pattern. Moreover, FDI inflows significantly affect CO2 emissions only in the long run. These findings highlight the urgent need for policymakers to implement environmentally sustainable economic development strategies in Indonesia. Abstrak Indonesia merupakan salah satu penghasil emisi karbon dioksida terbesar di dunia. Hal ini sejalan dengan hipotesis Environmental Kuznets Curve (EKC) di mana pertumbuhan ekonomi pada awalnya akan menyebabkan kerusakan lingkungan. Penelitian ini menggunakan Error Correction Model (ECM) dengan periode data dari tahun 2002-2022 untuk menguji secara definitif hubungan antara PDB sektoral dan FDI Inflows dengan emisi CO2 di Indonesia. Hasil penelitian menunjukkan bahwa PDB sektoral memiliki pengaruh negatif yang signifikan terhadap emisi CO2</w:t>
      </w:r>
    </w:p>
    <w:p>
      <w:pPr/>
      <w:r>
        <w:rPr>
          <w:b/>
        </w:rPr>
        <w:t>POSSIBLE 2025:</w:t>
      </w:r>
      <w:r>
        <w:t xml:space="preserve"> FDI inflows and carbon emissions: new global evidence — https://doi.org/10.1007/s43621-025-01292-9</w:t>
      </w:r>
    </w:p>
    <w:p>
      <w:pPr/>
      <w:r>
        <w:rPr>
          <w:b/>
        </w:rPr>
        <w:t>Shared claim-specific concepts:</w:t>
      </w:r>
      <w:r>
        <w:t xml:space="preserve"> result, fdi, inflows; EU scope not established. This is a provisional connection, not an outcome finding.</w:t>
      </w:r>
    </w:p>
    <w:p>
      <w:pPr>
        <w:pStyle w:val="SourceNote"/>
      </w:pPr>
      <w:r>
        <w:rPr>
          <w:b/>
        </w:rPr>
        <w:t>Available abstract (not full text):</w:t>
      </w:r>
      <w:r>
        <w:t xml:space="preserve"> This study investigates the environmental consequences of foreign direct investment (FDI) inflows, focusing on their impact on carbon (CO2) emissions. The findings indicate that FDI inflows significantly contribute to increased CO2 emissions, both in total quantity and intensity. Low- and middle-income nations are disproportionately affected. Additionally, higher levels of institutional quality, financial development, and technological innovation amplify the positive relationship between FDI and emissions. This positive link can be explained by the scale effect, where increased economic activity from FDI leads to higher energy use and emissions. This study also reveals the dual role of institutional quality, financial development, and technological innovation in moderating the environmental impact of FDI. While these factors facilitate growth and attract investment, they can also result in increased emissions if sustainability is not prioritized. These findings offer meaningful implications for policymakers seeking to balance economic growth with sustainability, especially in regions vulnerable to increased emissions due to FDI.</w:t>
      </w:r>
    </w:p>
    <w:p>
      <w:pPr/>
      <w:r>
        <w:rPr>
          <w:b/>
        </w:rPr>
        <w:t>POSSIBLE 2025:</w:t>
      </w:r>
      <w:r>
        <w:t xml:space="preserve"> Are Determinants Of Fdi Inflows Subject To Political And Pandemic Issues? Empirical Evidence From Vietnam — https://doi.org/10.2991/978-94-6463-694-9_5</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Foreign direct investment (FDI) plays an important role in economic growth and social innovation in developing countries, which are always thirsty for investment capital.Its role is expressed through promoting transformation, restructuring the economy, developing human resources, providing new production technology and improving quality of life.Therefore, FDI is always considered a top concern of governments of developing countries.The impact of FDI capital flows is unstable and changes depending on influencing factors such as macroeconomic factors, socio-political factors... Previously, studies based on this relationship were mostly implemented in developed economies and were considered quite little in developing countries like Vietnam.On the other hand, research results among authors are inconsistent.Our research aims to analyze the determinants of FDI flows into Vietnam in the period 1996-2021, focusing on political stability and the covid-19 epidemic, thereby drawing out applicable policies in the current post-COVID economic recovery context. Research purpose:This research is aimed at figuring out critical factors influencing the decision of foreign investors to pour money into Vietnam from 1996 to 2021 with a special focus on pandemic and political issuses.Based on empirical results, we aim to offer policy implications and recommendations for relevant stakeholders. Researc</w:t>
      </w:r>
    </w:p>
    <w:p>
      <w:pPr/>
      <w:r>
        <w:rPr>
          <w:b/>
        </w:rPr>
        <w:t>POSSIBLE 2024:</w:t>
      </w:r>
      <w:r>
        <w:t xml:space="preserve"> Do FDI and foreign remittance inflows affect the unemployment rate? A new insight — https://doi.org/10.18488/29.v11i2.3712</w:t>
      </w:r>
    </w:p>
    <w:p>
      <w:pPr/>
      <w:r>
        <w:rPr>
          <w:b/>
        </w:rPr>
        <w:t>Shared claim-specific concepts:</w:t>
      </w:r>
      <w:r>
        <w:t xml:space="preserve"> fdi, inflows; EU scope not established. This is a provisional connection, not an outcome finding.</w:t>
      </w:r>
    </w:p>
    <w:p>
      <w:pPr>
        <w:pStyle w:val="SourceNote"/>
      </w:pPr>
      <w:r>
        <w:rPr>
          <w:b/>
        </w:rPr>
        <w:t>Available abstract (not full text):</w:t>
      </w:r>
      <w:r>
        <w:t xml:space="preserve"> This study aims to investigate the impact of FDI and foreign remittances on unemployment from 1991 to 2020 from Bangladesh's perspective. With the use of EViews 10 version, this study used the ARDL technique to capture the long-run and short-run estimations. The study utilized the unemployment rate as a dependent variable and foreign direct investment (FDI) and foreign remittances as independent factors. The remaining factors include exchange rate, GDP growth, exports, and inflation rate; these are controllable variables. The results of the research show that FDI and foreign remittance have a positive and statistically significant association with unemployment rate in Bangladesh, both in the long run and in the short term. Thus, according to the findings, FDI and foreign remittances are creating more unemployment in Bangladesh. Unlike the general economic theory, which states that the bidirectional relationship of FDI with the unemployment rate, as well as foreign remittances with the unemployment rate, is inverse, these research outcomes basically suggest that FDI and foreign remittance inflows are displacing domestic labor with, perhaps, a low-cost, highly skilled overseas workforce, and also indicate that there might be an increasing trend in the brown-field investment sector. For policy implications, this investigation lends support to the theory that Bangladesh should focu</w:t>
      </w:r>
    </w:p>
    <w:p>
      <w:pPr/>
      <w:r>
        <w:rPr>
          <w:b/>
        </w:rPr>
        <w:t>POSSIBLE 2023:</w:t>
      </w:r>
      <w:r>
        <w:t xml:space="preserve"> A Study on Trade Damage and Trade Adjustment Assistance(TAA) — https://doi.org/10.18104/kalc.2023.38.1.31</w:t>
      </w:r>
    </w:p>
    <w:p>
      <w:pPr/>
      <w:r>
        <w:rPr>
          <w:b/>
        </w:rPr>
        <w:t>Shared claim-specific concepts:</w:t>
      </w:r>
      <w:r>
        <w:t xml:space="preserve"> damage, trade, related, but; EU scope not established. This is a provisional connection, not an outcome finding.</w:t>
      </w:r>
    </w:p>
    <w:p>
      <w:pPr>
        <w:pStyle w:val="SourceNote"/>
      </w:pPr>
      <w:r>
        <w:rPr>
          <w:b/>
        </w:rPr>
        <w:t>Available abstract (not full text):</w:t>
      </w:r>
      <w:r>
        <w:t xml:space="preserve"> Purpose: This paper tries to evaluate Korea's Trade Adjustment Assistance (TAA) system and proposes measures to more faithfully implement amendments to the TAA legislation from 2022. Research design, data, and methodology: This paper focuses on the regulations related to the TAA system, and on the problems that may arise from the regulations. Results: TAA support is allowed only when damage caused by the opening of trade is proven and confirmed. But it is very difficult for most small and medium-sized companies to prove trade damage. Conclusions: While the TAA system is designed to support trade-damaged companies, it should also include policies that focus on restructuring the business of a damaged company.</w:t>
      </w:r>
    </w:p>
    <w:p>
      <w:pPr/>
      <w:r>
        <w:rPr>
          <w:b/>
        </w:rPr>
        <w:t>POSSIBLE 2023:</w:t>
      </w:r>
      <w:r>
        <w:t xml:space="preserve"> Trade, Transport Emissions and Multimarket Collusion with Border Adjustments — https://doi.org/10.1007/s10640-023-00799-x</w:t>
      </w:r>
    </w:p>
    <w:p>
      <w:pPr/>
      <w:r>
        <w:rPr>
          <w:b/>
        </w:rPr>
        <w:t>Shared claim-specific concepts:</w:t>
      </w:r>
      <w:r>
        <w:t xml:space="preserve"> damage, trade, but; EU scope not established. This is a provisional connection, not an outcome finding.</w:t>
      </w:r>
    </w:p>
    <w:p>
      <w:pPr>
        <w:pStyle w:val="SourceNote"/>
      </w:pPr>
      <w:r>
        <w:rPr>
          <w:b/>
        </w:rPr>
        <w:t>Available abstract (not full text):</w:t>
      </w:r>
      <w:r>
        <w:t xml:space="preserve"> Abstract We analyze the impact of border adjustment policies on trade, pollution and welfare when firms, located in different countries, sell differentiated products in geographically-separated markets. Transportation of goods not only incurs a cost, but also generates emissions. We compare outcomes under competition and multimarket collusion. Cooperating governments can implement the first-best using appropriate border adjustments regardless of the market structure. When governments set policies non-cooperatively, the border adjustment tariffs exceed the marginal damage from emissions. While it is expected that colluding firms would reduce trade flows relative to competition, trade increases under collusion, resulting in higher welfare. This highlights the possibility of allowing firms to collude and taxing (part of) their profits, which can be redistributed to citizens or used to mitigate the effects of pollution.</w:t>
      </w:r>
    </w:p>
    <w:p>
      <w:pPr/>
      <w:r>
        <w:rPr>
          <w:b/>
        </w:rPr>
        <w:t>POSSIBLE 2023:</w:t>
      </w:r>
      <w:r>
        <w:t xml:space="preserve"> The impact of FDI on economic growth in developing countries: the role of FDI inflow and trade openness — https://doi.org/10.18488/29.v10i3.3519</w:t>
      </w:r>
    </w:p>
    <w:p>
      <w:pPr/>
      <w:r>
        <w:rPr>
          <w:b/>
        </w:rPr>
        <w:t>Shared claim-specific concepts:</w:t>
      </w:r>
      <w:r>
        <w:t xml:space="preserve"> trade, lower, fdi, inflows; EU scope not established. This is a provisional connection, not an outcome finding.</w:t>
      </w:r>
    </w:p>
    <w:p>
      <w:pPr>
        <w:pStyle w:val="SourceNote"/>
      </w:pPr>
      <w:r>
        <w:rPr>
          <w:b/>
        </w:rPr>
        <w:t>Available abstract (not full text):</w:t>
      </w:r>
      <w:r>
        <w:t xml:space="preserve"> This study examines the relationship between foreign direct investment (FDI) inflow, trade openness, and the influence of FDI on economic growth. The threshold methodology and GMM estimation are employed to analyze panel data from 60 developing countries in the period between 1995 and 2019. This study demonstrates the positive impact of FDI on economic growth in developing countries. However, the study also finds a significant threshold of FDI inflow relative to GDP that changes the impact of inward FDI on GDP growth. Regarding the role of trade openness, a significant threshold is found, which also indicates the absorptive capacity of the host countries. Moving from below to above this threshold, an increase in FDI inflow leads to a lower increase in economic growth. An increase in FDI relative to GDP stimulates growth only when the host country has sufficient absorptive capacity with regard to trade openness above the threshold. We suggest developing countries tighten the coherence of trade liberalization and FDI attraction policies to obtain the benefits of FDI and make changes to attract new investors when they succeed in attracting massive FDI inflows.</w:t>
      </w:r>
    </w:p>
    <w:p>
      <w:pPr/>
      <w:r>
        <w:rPr>
          <w:b/>
        </w:rPr>
        <w:t>POSSIBLE 2023:</w:t>
      </w:r>
      <w:r>
        <w:t xml:space="preserve"> Disentangling public opposition to Chinese FDI: trade unions, patient capital, and members’ preferences over FDI inflows — https://doi.org/10.1177/13540661231186382</w:t>
      </w:r>
    </w:p>
    <w:p>
      <w:pPr/>
      <w:r>
        <w:rPr>
          <w:b/>
        </w:rPr>
        <w:t>Shared claim-specific concepts:</w:t>
      </w:r>
      <w:r>
        <w:t xml:space="preserve"> trade, fdi, inflows, expect; EU scope visible. This is a provisional connection, not an outcome finding.</w:t>
      </w:r>
    </w:p>
    <w:p>
      <w:pPr>
        <w:pStyle w:val="SourceNote"/>
      </w:pPr>
      <w:r>
        <w:rPr>
          <w:b/>
        </w:rPr>
        <w:t>Available abstract (not full text):</w:t>
      </w:r>
      <w:r>
        <w:t xml:space="preserve"> I examine whether union membership affects individual foreign direct investment (FDI) preferences in ways that vary across investors’ country of origin. I argue that the country of FDI origin will bear upon how union members assess FDI, because it provides cues about what the economic prospects of (unionized) workers will look like under different foreign investors. I argue that the salient attribute of foreign investors is whether they originate from a country that is an important form of patient or impatient capital. Compared with non-members, members will be more supportive of FDI from countries embodying patient than impatient capital. Specifically, I expect the (positive) gap in support between FDI from patient and FDI from impatient capital countries to increase with union membership. Conversely, I expect the (positive) gap in support between FDI from impatient versus patient capital countries to decrease with membership. Evidence from original Swiss survey data corroborates my argument. Respondents were asked to evaluate FDI from China and Europe (entities embodying patient capital) and from the United States (a country embodying impatient capital). The results show that the gap in enthusiasm for European FDI versus American FDI increases with union membership, while the gap in enthusiasm for American FDI versus Chinese FDI decreases with membership. Complementary qualit</w:t>
      </w:r>
    </w:p>
    <w:p>
      <w:pPr/>
      <w:r>
        <w:rPr>
          <w:b/>
        </w:rPr>
        <w:t>POSSIBLE 2023:</w:t>
      </w:r>
      <w:r>
        <w:t xml:space="preserve"> Do greenfield FDI inflows promote international tourism? — https://doi.org/10.1080/13683500.2023.2294486</w:t>
      </w:r>
    </w:p>
    <w:p>
      <w:pPr/>
      <w:r>
        <w:rPr>
          <w:b/>
        </w:rPr>
        <w:t>Shared claim-specific concepts:</w:t>
      </w:r>
      <w:r>
        <w:t xml:space="preserve"> fdi, inflows, potential; EU scope not established. This is a provisional connection, not an outcome finding.</w:t>
      </w:r>
    </w:p>
    <w:p>
      <w:pPr>
        <w:pStyle w:val="SourceNote"/>
      </w:pPr>
      <w:r>
        <w:rPr>
          <w:b/>
        </w:rPr>
        <w:t>Available abstract (not full text):</w:t>
      </w:r>
      <w:r>
        <w:t xml:space="preserve"> To what extent do Greenfield foreign direct investment (FDI) inflows to emerging markets and developing economies drive their tourist inflows? Using a novel dataset on bilateral Greenfield FDI, this study is the first to empirically investigate the impact of bilateral Greenfield FDI on bilateral tourist flows. The analysis is based on a large cross-country dyadic dataset comprising 103 origin countries and 63 destination countries over the period 2003–2017. The findings robustly establish that greater flows of bilateral Greenfield FDI stimulate bilateral tourism flows, and this effect is stronger for country pairs that are linguistically further apart and/or with greater physical distance. These findings are not susceptible to potential endogeneity issues.</w:t>
      </w:r>
    </w:p>
    <w:p>
      <w:pPr/>
      <w:r>
        <w:rPr>
          <w:b/>
        </w:rPr>
        <w:t>POSSIBLE 2023:</w:t>
      </w:r>
      <w:r>
        <w:t xml:space="preserve"> Effect of COVID-19 pandemic on the inflow of FDI into Indian economy — https://doi.org/10.33545/26179210.2023.v6.i1.177</w:t>
      </w:r>
    </w:p>
    <w:p>
      <w:pPr/>
      <w:r>
        <w:rPr>
          <w:b/>
        </w:rPr>
        <w:t>Shared claim-specific concepts:</w:t>
      </w:r>
      <w:r>
        <w:t xml:space="preserve"> trade, lower, fdi, now, after; EU scope not established. This is a provisional connection, not an outcome finding.</w:t>
      </w:r>
    </w:p>
    <w:p>
      <w:pPr>
        <w:pStyle w:val="SourceNote"/>
      </w:pPr>
      <w:r>
        <w:rPr>
          <w:b/>
        </w:rPr>
        <w:t>Available abstract (not full text):</w:t>
      </w:r>
      <w:r>
        <w:t xml:space="preserve"> Covid-19 has battered the global economy causing the worst recession since The Great Depression of the 1930s. By the end of 2020, the worlds GDP maybe about 7.5% lower than it would have been without the pandemic. Globally more than 15% of the young people who were in work before the Covid-19 have lost their jobs. Widespread lockdowns have caused changes that were already affecting the world economy in technology, finance and trade. With great deal of uncertainty in the transactional space, investors are now more cautious before making any making any significant transactions. Global FDI flows fell by more than 49% in the first half of 2020 and even under the most optimistic scenario after the economic support policy measures by the governments, the numbers don’t seem to be getting better. The developing countries are hit even worse because the sectors attracting the largest shares of FDI such as primary and manufacturing sectors are hit the worst. FDI being a critical driver of the economic growth could play an important role in supporting the economies during and after the crisis.</w:t>
      </w:r>
    </w:p>
    <w:p>
      <w:pPr>
        <w:pStyle w:val="Heading2"/>
      </w:pPr>
      <w:r>
        <w:t>646.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2026:</w:t>
      </w:r>
      <w:r>
        <w:t xml:space="preserve"> The updated global burden of chronic kidney disease: one death every 20 seconds — https://doi.org/10.1093/ndt/gfag040</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2023:</w:t>
      </w:r>
      <w:r>
        <w:t xml:space="preserve"> Schistosomiasis in Europe — https://doi.org/10.1007/s40475-023-00286-9</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r>
        <w:rPr>
          <w:b/>
        </w:rPr>
        <w:t>POSSIBLE 2023:</w:t>
      </w:r>
      <w:r>
        <w:t xml:space="preserve"> Hepatitis B and C in Europe: an update from the Global Burden of Disease Study 2019 — https://doi.org/10.1016/s2468-2667(23)00149-4</w:t>
      </w:r>
    </w:p>
    <w:p>
      <w:pPr/>
      <w:r>
        <w:rPr>
          <w:b/>
        </w:rPr>
        <w:t>Shared claim-specific concepts:</w:t>
      </w:r>
      <w:r>
        <w:t xml:space="preserve"> estimated, incident, million, prevalent, cases; EU scope visible. This is a provisional connection, not an outcome finding.</w:t>
      </w:r>
    </w:p>
    <w:p>
      <w:pPr>
        <w:pStyle w:val="SourceNote"/>
      </w:pPr>
      <w:r>
        <w:rPr>
          <w:b/>
        </w:rPr>
        <w:t>Available abstract (not full text):</w:t>
      </w:r>
      <w:r>
        <w:t xml:space="preserve"> BACKGROUND: In 2016, the World Health Assembly adopted the resolution to eliminate viral hepatitis by 2030. This study aims to provide an overview of the burdens of hepatitis B virus (HBV) and hepatitis C virus (HCV) in Europe and their changes from 2010 to 2019 using estimates from the Global Burden of Diseases, Injuries, and Risk Factors Study (GBD) 2019. METHODS: We used GBD 2019 estimates of the burden associated with HBV-related and HCV-related diseases: acute hepatitis, cirrhosis and other chronic liver diseases, and liver cancer. We report total numbers and age-standardised rates per 100 000 for mortality, prevalence, incidence, and disability-adjusted life-years (DALYs) from 2010 to 2019. For each HBV-related and HCV-related disease and each measure, we analysed temporal changes and percentage changes for the 2010-19 period. FINDINGS: In 2019, across all age groups, there were an estimated 2·08 million (95% uncertainty interval [UI] 1·66 to 2·54) incident cases of acute hepatitis B and 0·49 million (0·42 to 0·57) of hepatitis C in Europe. There were an estimated 8·24 million (7·56 to 8·88) prevalent cases of HBV-related cirrhosis and 11·87 million (9·77 to 14·41) of HCV-related cirrhosis, with 24·92 thousand (19·86 to 31·03) deaths due to HBV-related cirrhosis and 36·89 thousand (29·94 to 45·56) deaths due to HCV-related cirrhosis. Deaths were estimated at 9·00 thousand</w:t>
      </w:r>
    </w:p>
    <w:p>
      <w:pPr/>
      <w:r>
        <w:rPr>
          <w:b/>
        </w:rPr>
        <w:t>POSSIBLE 2022:</w:t>
      </w:r>
      <w:r>
        <w:t xml:space="preserve"> Hybridization and introgression are prevalent in Southern European Erysimum (Brassicaceae) species — https://doi.org/10.1093/aob/mcac048</w:t>
      </w:r>
    </w:p>
    <w:p>
      <w:pPr/>
      <w:r>
        <w:rPr>
          <w:b/>
        </w:rPr>
        <w:t>Shared claim-specific concepts:</w:t>
      </w:r>
      <w:r>
        <w:t xml:space="preserve"> million, prevalent, cases; EU scope visible. This is a provisional connection, not an outcome finding.</w:t>
      </w:r>
    </w:p>
    <w:p>
      <w:pPr>
        <w:pStyle w:val="SourceNote"/>
      </w:pPr>
      <w:r>
        <w:rPr>
          <w:b/>
        </w:rPr>
        <w:t>Available abstract (not full text):</w:t>
      </w:r>
      <w:r>
        <w:t xml:space="preserve"> BACKGROUND AND AIMS: Hybridization is a common and important force in plant evolution. One of its outcomes is introgression - the transfer of small genomic regions from one taxon to another by hybridization and repeated backcrossing. This process is believed to be common in glacial refugia, where range expansions and contractions can lead to cycles of sympatry and isolation, creating conditions for extensive hybridization and introgression. Polyploidization is another genome-wide process with a major influence on plant evolution. Both hybridization and polyploidization can have complex effects on plant evolution. However, these effects are often difficult to understand in recently evolved species complexes. METHODS: We combined flow cytometry, analyses of transcriptomic sequences and pollen tube growth assays to investigate the consequences of polyploidization, hybridization and introgression on the recent evolution of several Erysimum (Brassicaceae) species from the South of the Iberian Peninsula, a well-known glacial refugium. This species complex differentiated in the last 2 million years, and its evolution has been hypothesized to be determined mainly by polyploidization, interspecific hybridization and introgression. KEY RESULTS: Our results support a scenario of widespread hybridization involving both extant and 'ghost' taxa. Several taxa studied here, most notably those </w:t>
      </w:r>
    </w:p>
    <w:p>
      <w:pPr/>
      <w:r>
        <w:rPr>
          <w:b/>
        </w:rPr>
        <w:t>POSSIBLE 2021:</w:t>
      </w:r>
      <w:r>
        <w:t xml:space="preserve"> Type 1 diabetes in 2017: global estimates of incident and prevalent cases in children and adults — https://doi.org/10.1007/s00125-021-05571-8</w:t>
      </w:r>
    </w:p>
    <w:p>
      <w:pPr/>
      <w:r>
        <w:rPr>
          <w:b/>
        </w:rPr>
        <w:t>Shared claim-specific concepts:</w:t>
      </w:r>
      <w:r>
        <w:t xml:space="preserve"> estimated, incident, prevalent, cases; EU scope visible. This is a provisional connection, not an outcome finding.</w:t>
      </w:r>
    </w:p>
    <w:p>
      <w:pPr>
        <w:pStyle w:val="SourceNote"/>
      </w:pPr>
      <w:r>
        <w:rPr>
          <w:b/>
        </w:rPr>
        <w:t>Available abstract (not full text):</w:t>
      </w:r>
      <w:r>
        <w:t xml:space="preserve"> AIMS/HYPOTHESIS: Data on type 1 diabetes incidence and prevalence are limited, particularly for adults. This study aims to estimate global numbers of incident and prevalent cases of type 1 diabetes in 2017 for all age groups, by country and areas defined by income and region. METHODS: Incidence rates of type 1 diabetes in children (available from 94 countries) from the IDF Atlas were used and extrapolated to countries without data. Age-specific incidence rates in adults (only known across full age range for fewer than ten countries) were obtained by applying scaling ratios for each adult age group relative to the incidence rate in children. Age-specific incidence rates were applied to population estimates to obtain incident case numbers. Duration of diabetes was estimated from available data and adjusted using differences in childhood mortality rate between countries from United Nations demographic data. Prevalent case numbers were derived by modelling the relationship between prevalence, incidence and disease duration. Sensitivity analyses were performed to quantify the impact of alternative assumptions and model inputs. RESULTS: Global numbers of incident and prevalent cases of type 1 diabetes were estimated to be 234,710 and 9,004,610, respectively, in 2017. High-income countries, with 17% of the global population, accounted for 49% of global incident cases and 52% of preval</w:t>
      </w:r>
    </w:p>
    <w:p>
      <w:pPr/>
      <w:r>
        <w:rPr>
          <w:b/>
        </w:rPr>
        <w:t>POSSIBLE 2021:</w:t>
      </w:r>
      <w:r>
        <w:t xml:space="preserve"> Financial losses for Dutch stakeholders during the 2013 aflatoxin incident in Maize in Europe — https://doi.org/10.1007/s12550-021-00429-9</w:t>
      </w:r>
    </w:p>
    <w:p>
      <w:pPr/>
      <w:r>
        <w:rPr>
          <w:b/>
        </w:rPr>
        <w:t>Shared claim-specific concepts:</w:t>
      </w:r>
      <w:r>
        <w:t xml:space="preserve"> estimated, incident, million; EU scope visible. This is a provisional connection, not an outcome finding.</w:t>
      </w:r>
    </w:p>
    <w:p>
      <w:pPr>
        <w:pStyle w:val="SourceNote"/>
      </w:pPr>
      <w:r>
        <w:rPr>
          <w:b/>
        </w:rPr>
        <w:t>Available abstract (not full text):</w:t>
      </w:r>
      <w:r>
        <w:t xml:space="preserve"> contaminated maize from Eastern Europe that was processed into compound feed, which was fed to dairy cows. Since the contamination was discovered in the downstream stages of the supply chain, multiple countries and parties were involved and recalls of the feed were necessary, resulting into financial losses. The aim of this study was to estimate the direct short-term financial losses related to the 2013 aflatoxin incident for the maize traders, the feed industry, and the dairy sector in the Netherlands. First, the sequence of events of the incident was retrieved. Then, a Monte Carlo simulation model was built to combine the scarce and uncertain data to estimate the direct financial losses for each stakeholder. The estimated total direct financial losses of this incident were estimated to be between 12 and 25 million euros. The largest share, about 60%, of the total losses was endured by the maize traders. About 39% of the total losses were for the feed industry, and less than 1% of the total losses were for the dairy sector. The financial losses estimated in this study should be interpreted cautiously due to limitations associated with the quality of the data used. Furthermore, this incident led to indirect long-term financial effects, identified but not estimated in this study.</w:t>
      </w:r>
    </w:p>
    <w:p>
      <w:pPr/>
      <w:r>
        <w:rPr>
          <w:b/>
        </w:rPr>
        <w:t>POSSIBLE 2021:</w:t>
      </w:r>
      <w:r>
        <w:t xml:space="preserve"> SCORE2-OP risk prediction algorithms: estimating incident cardiovascular event risk in older persons in four geographical risk regions — https://doi.org/10.1093/eurheartj/ehab312</w:t>
      </w:r>
    </w:p>
    <w:p>
      <w:pPr/>
      <w:r>
        <w:rPr>
          <w:b/>
        </w:rPr>
        <w:t>Shared claim-specific concepts:</w:t>
      </w:r>
      <w:r>
        <w:t xml:space="preserve"> estimated, additional, incident; EU scope visible. This is a provisional connection, not an outcome finding.</w:t>
      </w:r>
    </w:p>
    <w:p>
      <w:pPr>
        <w:pStyle w:val="SourceNote"/>
      </w:pPr>
      <w:r>
        <w:rPr>
          <w:b/>
        </w:rPr>
        <w:t>Available abstract (not full text):</w:t>
      </w:r>
      <w:r>
        <w:t xml:space="preserve"> AIMS: The aim of this study was to derive and validate the SCORE2-Older Persons (SCORE2-OP) risk model to estimate 5- and 10-year risk of cardiovascular disease (CVD) in individuals aged over 70 years in four geographical risk regions. METHODS AND RESULTS: Sex-specific competing risk-adjusted models for estimating CVD risk (CVD mortality, myocardial infarction, or stroke) were derived in individuals aged over 65 without pre-existing atherosclerotic CVD from the Cohort of Norway (28 503 individuals, 10 089 CVD events). Models included age, smoking status, diabetes, systolic blood pressure, and total- and high-density lipoprotein cholesterol. Four geographical risk regions were defined based on country-specific CVD mortality rates. Models were recalibrated to each region using region-specific estimated CVD incidence rates and risk factor distributions. For external validation, we analysed data from 6 additional study populations {338 615 individuals, 33 219 CVD validation cohorts, C-indices ranged between 0.63 [95% confidence interval (CI) 0.61-0.65] and 0.67 (0.64-0.69)}. Regional calibration of expected-vs.-observed risks was satisfactory. For given risk factor profiles, there was substantial variation across the four risk regions in the estimated 10-year CVD event risk. CONCLUSIONS: The competing risk-adjusted SCORE2-OP model was derived, recalibrated, and externally validated</w:t>
      </w:r>
    </w:p>
    <w:p>
      <w:pPr/>
      <w:r>
        <w:rPr>
          <w:b/>
        </w:rPr>
        <w:t>POSSIBLE 2021:</w:t>
      </w:r>
      <w:r>
        <w:t xml:space="preserve"> Milk intake and incident stroke and CHD in populations of European descent: a Mendelian randomisation study — https://doi.org/10.1017/s0007114521004244</w:t>
      </w:r>
    </w:p>
    <w:p>
      <w:pPr/>
      <w:r>
        <w:rPr>
          <w:b/>
        </w:rPr>
        <w:t>Shared claim-specific concepts:</w:t>
      </w:r>
      <w:r>
        <w:t xml:space="preserve"> estimated, additional, incident, cases; EU scope visible. This is a provisional connection, not an outcome finding.</w:t>
      </w:r>
    </w:p>
    <w:p>
      <w:pPr>
        <w:pStyle w:val="SourceNote"/>
      </w:pPr>
      <w:r>
        <w:rPr>
          <w:b/>
        </w:rPr>
        <w:t>Available abstract (not full text):</w:t>
      </w:r>
      <w:r>
        <w:t xml:space="preserve"> Abstract Higher milk intake has been associated with a lower stroke risk, but not with risk of CHD. Residual confounding or reverse causation cannot be excluded. Therefore, we estimated the causal association of milk consumption with stroke and CHD risk through instrumental variable (IV) and gene-outcome analyses. IV analysis included 29 328 participants (4611 stroke; 9828 CHD) of the European Prospective Investigation into Cancer and Nutrition (EPIC)-CVD (eight European countries) and European Prospective Investigation into Cancer and Nutrition-Netherlands (EPIC-NL) case-cohort studies. rs4988235, a lactase persistence (LP) SNP which enables digestion of lactose in adulthood was used as genetic instrument. Intake of milk was first regressed on rs4988235 in a linear regression model. Next, associations of genetically predicted milk consumption with stroke and CHD were estimated using Prentice-weighted Cox regression. Gene-outcome analysis included 777 024 participants (50 804 cases) from MEGASTROKE (including EPIC-CVD), UK Biobank and EPIC-NL for stroke, and 483 966 participants (61 612 cases) from CARDIoGRAM, UK Biobank, EPIC-CVD and EPIC-NL for CHD. In IV analyses, each additional LP allele was associated with a higher intake of milk in EPIC-CVD (β = 13·7 g/d; 95 % CI 8·4, 19·1) and EPIC-NL (36·8 g/d; 95 % CI 20·0, 53·5). Genetically predicted milk intake was not associated w</w:t>
      </w:r>
    </w:p>
    <w:p>
      <w:pPr/>
      <w:r>
        <w:rPr>
          <w:b/>
        </w:rPr>
        <w:t>POSSIBLE 2021:</w:t>
      </w:r>
      <w:r>
        <w:t xml:space="preserve"> Risk of Incident Heart Failure in Individuals With Early-Onset Type 2 Diabetes — https://doi.org/10.1210/clinem/dgab620</w:t>
      </w:r>
    </w:p>
    <w:p>
      <w:pPr/>
      <w:r>
        <w:rPr>
          <w:b/>
        </w:rPr>
        <w:t>Shared claim-specific concepts:</w:t>
      </w:r>
      <w:r>
        <w:t xml:space="preserve"> estimated, additional, incident; EU scope visible. This is a provisional connection, not an outcome finding.</w:t>
      </w:r>
    </w:p>
    <w:p>
      <w:pPr>
        <w:pStyle w:val="SourceNote"/>
      </w:pPr>
      <w:r>
        <w:rPr>
          <w:b/>
        </w:rPr>
        <w:t>Available abstract (not full text):</w:t>
      </w:r>
      <w:r>
        <w:t xml:space="preserve"> CONTEXT: Early-onset diabetes has been associated with unfavorable cardiovascular risk but data on heart failure (HF) in this subpopulation are scarce. OBJECTIVE: We aimed to study the risk of, and risk factors for, incident HF in individuals with early-onset type 2 diabetes. METHODS: We studied 606 individuals with type 2 diabetes diagnosed before 40 years of age (early-onset) and 1258 counterparts with diabetes diagnosed from 41 to 65 years of age (usual-onset) with no HF history, at a regional hospital, over a median follow-up period of 7.1 years. Incident HF by European Cardiology Society criteria was determined. RESULTS: A total of 62 and 108 HF events were identified in the early- and usual-onset groups (1.55 and 1.29 per 100 patient-years), respectively. Compared with usual-onset counterparts, individuals with early-onset diabetes had a 1.20-fold unadjusted (95% CI, 0.88-1.63; P = 0.26) and 1.91-fold age-adjusted (95% CI, 1.37-2.66; P &lt; 0.001) hazard ratio (HR) for incident HF. Adjustment for traditional cardiometabolic risk factors only moderately mitigated the hazards (adjusted HR 1.69; 95% CI, 1.19-2.40; P = 0.003). However, additional adjustment for estimated glomerular filtration rate and albuminuria markedly attenuated the association of early-onset age with incident HF (adjusted HR 1.24; 95% CI, 0.87-1.77; P = 0.24). Notably, a long diabetes duration was not signi</w:t>
      </w:r>
    </w:p>
    <w:p>
      <w:pPr>
        <w:pStyle w:val="Heading2"/>
      </w:pPr>
      <w:r>
        <w:t>647.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2025:</w:t>
      </w:r>
      <w:r>
        <w:t xml:space="preserve"> EuPPollNet : A European Database of Plant‐Pollinator Networks — https://doi.org/10.1111/geb.70000</w:t>
      </w:r>
    </w:p>
    <w:p>
      <w:pPr/>
      <w:r>
        <w:rPr>
          <w:b/>
        </w:rPr>
        <w:t>Shared claim-specific concepts:</w:t>
      </w:r>
      <w:r>
        <w:t xml:space="preserve"> here, database, data, includes;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here, climate, data, monthly, projections;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here, database, climate, data;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2023:</w:t>
      </w:r>
      <w:r>
        <w:t xml:space="preserve"> Last Glacial loess in Europe: luminescence database and chronology of deposition — https://doi.org/10.5194/essd-15-4689-2023</w:t>
      </w:r>
    </w:p>
    <w:p>
      <w:pPr/>
      <w:r>
        <w:rPr>
          <w:b/>
        </w:rPr>
        <w:t>Shared claim-specific concepts:</w:t>
      </w:r>
      <w:r>
        <w:t xml:space="preserve"> database, climate, data, last; EU scope visible. This is a provisional connection, not an outcome finding.</w:t>
      </w:r>
    </w:p>
    <w:p>
      <w:pPr>
        <w:pStyle w:val="SourceNote"/>
      </w:pPr>
      <w:r>
        <w:rPr>
          <w:b/>
        </w:rPr>
        <w:t>Available abstract (not full text):</w:t>
      </w:r>
      <w:r>
        <w:t xml:space="preserve"> Abstract. During the last glacial period, the climate shift to cold conditions associated with changes in atmospheric circulation and vegetation cover resulted in the development of large aeolian systems in Europe. On a regional scale, many factors may have influenced dust dynamics, such as the latitudinal difference between the various aeolian systems and the variability of the sources of wind-transported particles. Therefore, the assumption that the timing of aeolian deposition is strictly synchronous in Europe does not seem to be the most plausible hypothesis and needs to be evaluated. To test this assumption, the chronology of loess deposition in different European regions was investigated by studying 93 luminescence-dated loess-palaeosol sequences with their data recalculated and compiled in a single CSV file: the ChronoLoess database. Our study shows that the two major aeolian systems, the Northern European Loess Belt (NELB) on the one hand and the systems associated with the rivers draining the Alpine Ice Sheet on the other hand, developed asynchronously. The significant deposition started at about 32 ka for the NELB vs 40 ka for the perialpine loess and peaked about two millennia later for the former (21.8 ka vs 23.9 ka, respectively). This shift resulted mainly from the time lag between the maxima of the Alpine and Fennoscandian ice sheets, which acted as the primary s</w:t>
      </w:r>
    </w:p>
    <w:p>
      <w:pPr/>
      <w:r>
        <w:rPr>
          <w:b/>
        </w:rPr>
        <w:t>POSSIBLE 2023:</w:t>
      </w:r>
      <w:r>
        <w:t xml:space="preserve"> Interpolating climate variables by using INLA and the SPDE approach — https://doi.org/10.1002/joc.8240</w:t>
      </w:r>
    </w:p>
    <w:p>
      <w:pPr/>
      <w:r>
        <w:rPr>
          <w:b/>
        </w:rPr>
        <w:t>Shared claim-specific concepts:</w:t>
      </w:r>
      <w:r>
        <w:t xml:space="preserve"> climate, data, monthly; EU scope visible. This is a provisional connection, not an outcome finding.</w:t>
      </w:r>
    </w:p>
    <w:p>
      <w:pPr>
        <w:pStyle w:val="SourceNote"/>
      </w:pPr>
      <w:r>
        <w:rPr>
          <w:b/>
        </w:rPr>
        <w:t>Available abstract (not full text):</w:t>
      </w:r>
      <w:r>
        <w:t xml:space="preserve"> Abstract Gridded observational products of the main climate parameters are essential in climate science. Current interpolation approaches, implemented to derive such products, often lack of a proper uncertainty propagation and representation. In this study, we introduce a Bayesian spatiotemporal approach based on the integrated nested Laplace approximation (INLA) and the stochastic partial differential equation (SPDE). The method is described and discussed by using a real case study based on high‐resolution monthly 2‐m maximum (Tmax) and minimum (Tmin) air temperature over Italy in 1961–2020. The INLA‐SPDE based approach is able to properly take into account uncertainties in the final gridded products and offers interesting promising advantages to deal with nonstationary and non‐Gaussian multisource data.</w:t>
      </w:r>
    </w:p>
    <w:p>
      <w:pPr/>
      <w:r>
        <w:rPr>
          <w:b/>
        </w:rPr>
        <w:t>POSSIBLE 2023:</w:t>
      </w:r>
      <w:r>
        <w:t xml:space="preserve"> Moho depths beneath the European Alps: a homogeneously processed map and receiver functions database — https://doi.org/10.5194/essd-15-2117-2023</w:t>
      </w:r>
    </w:p>
    <w:p>
      <w:pPr/>
      <w:r>
        <w:rPr>
          <w:b/>
        </w:rPr>
        <w:t>Shared claim-specific concepts:</w:t>
      </w:r>
      <w:r>
        <w:t xml:space="preserve"> database, data, well; EU scope visible. This is a provisional connection, not an outcome finding.</w:t>
      </w:r>
    </w:p>
    <w:p>
      <w:pPr>
        <w:pStyle w:val="SourceNote"/>
      </w:pPr>
      <w:r>
        <w:rPr>
          <w:b/>
        </w:rPr>
        <w:t>Available abstract (not full text):</w:t>
      </w:r>
      <w:r>
        <w:t xml:space="preserve"> Abstract. Since the 1980s a number of active and passive seismic experiments have revealed significant information about the Earth’s crust in the broader European Alpine region. In this paper, we use seismic waveform data from the AlpArray Seismic Network and three other temporary seismic networks, to perform receiver function (RF) calculations and time−to−depth migration to update the knowledge of the Moho discontinuity beneath the broader European Alps. In particular, we set up a 5 homogeneous processing scheme to compute RFs using the time-domain iterative deconvolution method, and apply consistent quality control to yield 107,633 high-quality RFs. We then perform time−to−depth migration in a newly implemented 3D spherical coordinate system and using a European-scale reference P and S wave velocity model. This approach, together with the dense data coverage, provide us with a 3D migrated volume, from which we present migrated profiles that reflect the first-order crustal thickness structure. We create a detailed Moho map by manually picking the discontinuity in a set of orthogonal 10 profiles covering the entire area. We make the RF dataset, the software for the full processing workflow, as well as the Moho map, openly available; these open-access datasets and results will allow other researchers to build on the current study.</w:t>
      </w:r>
    </w:p>
    <w:p>
      <w:pPr/>
      <w:r>
        <w:rPr>
          <w:b/>
        </w:rPr>
        <w:t>POSSIBLE 2023:</w:t>
      </w:r>
      <w:r>
        <w:t xml:space="preserve"> Accounting for forest condition in Europe based on an international statistical standard — https://doi.org/10.1038/s41467-023-39434-0</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Covering 35% of Europe's land area, forest ecosystems play a crucial role in safeguarding biodiversity and mitigating climate change. Yet, forest degradation continues to undermine key ecosystem services that forests deliver to society. Here we provide a spatially explicit assessment of the condition of forest ecosystems in Europe following a United Nations global statistical standard on ecosystem accounting, adopted in March 2021. We measure forest condition on a scale from 0 to 1, where 0 represents a degraded ecosystem and 1 represents a reference condition based on primary or protected forests. We show that the condition across 44 forest types averaged 0.566 in 2000 and increased to 0.585 in 2018. Forest productivity and connectivity are comparable to levels observed in undisturbed or least disturbed forests. One third of the forest area was subject to declining condition, signalled by a reduction in soil organic carbon, tree cover density and species richness of threatened birds. Our findings suggest that forest ecosystems will need further restoration, improvements in management and an extended period of recovery to approach natural conditions.</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comprehensive, climate, data, annual, well;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pStyle w:val="Heading2"/>
      </w:pPr>
      <w:r>
        <w:t>648.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2024:</w:t>
      </w:r>
      <w:r>
        <w:t xml:space="preserve"> Unlocking public infrastructures? State aid and the common European data space — https://doi.org/10.1177/02673231241290675</w:t>
      </w:r>
    </w:p>
    <w:p>
      <w:pPr/>
      <w:r>
        <w:rPr>
          <w:b/>
        </w:rPr>
        <w:t>Shared claim-specific concepts:</w:t>
      </w:r>
      <w:r>
        <w:t xml:space="preserve"> argue, approach, aid; EU scope visible. This is a provisional connection, not an outcome finding.</w:t>
      </w:r>
    </w:p>
    <w:p>
      <w:pPr>
        <w:pStyle w:val="SourceNote"/>
      </w:pPr>
      <w:r>
        <w:rPr>
          <w:b/>
        </w:rPr>
        <w:t>Available abstract (not full text):</w:t>
      </w:r>
      <w:r>
        <w:t xml:space="preserve"> EU state aid rules are part of the EU’s competition policy, a form of soft law developed to nudge states away from public investments in many areas. Rules were used to impose that market competition holds a privileged position, and that enacting social, political, or economic benefits that might stifle competition requires a complicated legal and political negotiation process between the European Commission, Member States, and private companies. Nonetheless, many strategic projects or situations in recent years led to significant state aid. The Commission utilised a variety of means to encourage both private and public investments in EU based digital infrastructure that is critical for public media services and for unified European data space. Despite EU’s balancing act between the private and public interests, business interests are dangerously capturing the development in the media data space. To grasp the social and economic contribution of publicly financed productive activities, we approach public broadcasting systems as producers of public wealth of a peculiar kind whose activities and goals are defined by their public purpose, rather than the imperatives of capital and profitmaking. Unifying data spaces with too many design decisions conceded to capitalist production runs the risk of further neglecting social foundations of member states. We argue that the desired digita</w:t>
      </w:r>
    </w:p>
    <w:p>
      <w:pPr/>
      <w:r>
        <w:rPr>
          <w:b/>
        </w:rPr>
        <w:t>POSSIBLE 2024:</w:t>
      </w:r>
      <w:r>
        <w:t xml:space="preserve"> European social funding and the institutionalisation of food aid : a wicked policy problem — https://doi.org/10.63028/10067/2092390151162165141</w:t>
      </w:r>
    </w:p>
    <w:p>
      <w:pPr/>
      <w:r>
        <w:rPr>
          <w:b/>
        </w:rPr>
        <w:t>Shared claim-specific concepts:</w:t>
      </w:r>
      <w:r>
        <w:t xml:space="preserve"> argue, approach, aid, gaps; EU scope visible. This is a provisional connection, not an outcome finding.</w:t>
      </w:r>
    </w:p>
    <w:p>
      <w:pPr>
        <w:pStyle w:val="SourceNote"/>
      </w:pPr>
      <w:r>
        <w:rPr>
          <w:b/>
        </w:rPr>
        <w:t>Available abstract (not full text):</w:t>
      </w:r>
      <w:r>
        <w:t xml:space="preserve"> This dissertation explores European social funding as a pivotal tool within the EU’s social policy framework, specifically examining its influence on national policies and governance structures. By focusing on EU funds aimed at addressing material deprivation, particularly those supporting food aid, the study unveils the complexities and challenges policymakers face in this area of social policy. Adopting a novel perspective, we analyse the institutionalisation of food aid in Europe through the lens of ‘wicked problems’ (Rittel &amp; Webber, 1973). This framework allows us to better understand the intricate and normative nature of food aid as a policy issue, offering fresh insights into the multifaceted challenges involved. To further our analysis, we employ the ‘Governance Analytical Framework’ (Hufty, 2009) to shed light on often overlooked aspects of EU food aid policy, such as underlying norms and budget trends, especially within the ‘Fund for European Aid to the Most Deprived’ (FEAD) and the ‘European Social Fund Plus’ (ESF+). The study also examines how EU food aid policies contribute to reinforcing social rights and citizenship by applying a resource-based and multi-level approach to social rights (Vandenbroucke, Keune, Ferrera &amp; Corti, 2021). Additionally, the research investigates the extent to which local food aid organisations in Belgium, Lithuania, and Portugal collabor</w:t>
      </w:r>
    </w:p>
    <w:p>
      <w:pPr/>
      <w:r>
        <w:rPr>
          <w:b/>
        </w:rPr>
        <w:t>POSSIBLE 2024:</w:t>
      </w:r>
      <w:r>
        <w:t xml:space="preserve"> European cybersecurity standardisation: a tale of two solitudes in view of Europe’s cyber resilience — https://doi.org/10.1080/13511610.2024.2349626</w:t>
      </w:r>
    </w:p>
    <w:p>
      <w:pPr/>
      <w:r>
        <w:rPr>
          <w:b/>
        </w:rPr>
        <w:t>Shared claim-specific concepts:</w:t>
      </w:r>
      <w:r>
        <w:t xml:space="preserve"> approach, makers, support; EU scope visible. This is a provisional connection, not an outcome finding.</w:t>
      </w:r>
    </w:p>
    <w:p>
      <w:pPr>
        <w:pStyle w:val="SourceNote"/>
      </w:pPr>
      <w:r>
        <w:rPr>
          <w:b/>
        </w:rPr>
        <w:t>Available abstract (not full text):</w:t>
      </w:r>
      <w:r>
        <w:t xml:space="preserve"> Cybersecurity resilience as a concept and EU policy approach encompasses, in broad terms, the preparedness of organisations against and the ability to recover from cyber-attacks. Policy and law makers in the European Union have started endorsing strategies moving both towards reactive measures mitigating the consequences of cybersecurity incidents and proactive measures geared towards prevention. Recently, a political agreement was reached on a new horizontal Regulation addressing cyber resilience of products with digital elements. An essential aspect of the Cyber Resilience Act is technical standardisation to support its goals. How appropriate is however the European Standardisation system for such a role in EU cybersecurity law? The paper argues that for European standards to be conceptualised as a building block of cyber resilience in the European Union, their development process must be inclusive and open, and a prerequisite for that is that the ESOs jointly work towards the common goal of developing and adopting European standards in support of the EU cyber resilience policy and law. This collaborative approach is mandated both by the nature of cyber resilience and cybersecurity as regulated fields, but also the changing nature of standardisation aspiring to contribute to areas pertaining to societal interests and fundamental rights.</w:t>
      </w:r>
    </w:p>
    <w:p>
      <w:pPr/>
      <w:r>
        <w:rPr>
          <w:b/>
        </w:rPr>
        <w:t>POSSIBLE 2024:</w:t>
      </w:r>
      <w:r>
        <w:t xml:space="preserve"> Sustainable transitions in age-friendly communities in Europe: a participatory approach — https://doi.org/10.14311/app.2024.46.0001</w:t>
      </w:r>
    </w:p>
    <w:p>
      <w:pPr/>
      <w:r>
        <w:rPr>
          <w:b/>
        </w:rPr>
        <w:t>Shared claim-specific concepts:</w:t>
      </w:r>
      <w:r>
        <w:t xml:space="preserve"> approach, support; EU scope visible. This is a provisional connection, not an outcome finding.</w:t>
      </w:r>
    </w:p>
    <w:p>
      <w:pPr>
        <w:pStyle w:val="SourceNote"/>
      </w:pPr>
      <w:r>
        <w:rPr>
          <w:b/>
        </w:rPr>
        <w:t>Available abstract (not full text):</w:t>
      </w:r>
      <w:r>
        <w:t xml:space="preserve">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pPr/>
      <w:r>
        <w:rPr>
          <w:b/>
        </w:rPr>
        <w:t>POSSIBLE 2023:</w:t>
      </w:r>
      <w:r>
        <w:t xml:space="preserve"> The suspension of the Democratic Governance Facility in Uganda: the illusion of “politically smart aid” — https://doi.org/10.1080/09614524.2023.2238915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2021, the President of Uganda suspended the “Democratic Governance Facility” (DGF), which is a European basket fund aimed at providing financial support in areas such as democracy, human rights, and rule of law. Paradoxically, the DGF had explicitly adopted a new “politically smart framework”, which is a development approach that promises to deliver aid more effectively and sustainably in contentious environments. This raises the question: what went wrong? Informed by post-development theoretical arguments and through a discursive analysis of the DGF’s implementation of this new aid framework, this paper argues that this framework itself does not allow proper understanding of what makes aid “political”; in casu that it does not allow appreciation of local viewpoints of democracy, representation, and ownership. Then, rather than improving the status quo, this paper argues in favour of making aid “political” through a fundamental reconsideration of the very substance and infrastructure of aid itself.</w:t>
      </w:r>
    </w:p>
    <w:p>
      <w:pPr/>
      <w:r>
        <w:rPr>
          <w:b/>
        </w:rPr>
        <w:t>POSSIBLE 2022:</w:t>
      </w:r>
      <w:r>
        <w:t xml:space="preserve"> China’s Evolving Approach to Foreign Aid — https://doi.org/10.55163/wtnj4163</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China’s role in foreign aid and, more broadly, in development cooperation on the global stage has grown significantly since it began seven decades ago. Particularly in recent years, through such platforms as the Belt and Road Initiative (BRI), China’s profile and engagement in global governance in foreign aid and related areas has been further enhanced. China’s ambition is taking a more proactive approach in foreign aid and moving towards a model of international development cooperation by linking with the United Nations 2030 Agenda for Sustainable Development and by including the BRI as a major platform to achieve key development goals. This paper provides a timely analysis of the evolution of China’s foreign aid policy in the past seven decades with a particular focus on the developments since 2000. It discusses China’s development finance to Africa and the major sectors receiving Chinese aid. It also analyses recent trends of Chinese foreign aid and identifies some of the challenges that China faces as it becomes a major player in international development financing.</w:t>
      </w:r>
    </w:p>
    <w:p>
      <w:pPr/>
      <w:r>
        <w:rPr>
          <w:b/>
        </w:rPr>
        <w:t>POSSIBLE 2022:</w:t>
      </w:r>
      <w:r>
        <w:t xml:space="preserve"> The European Union's migration management aid: Developing democracies or supporting authoritarianism? — https://doi.org/10.1111/imig.13075</w:t>
      </w:r>
    </w:p>
    <w:p>
      <w:pPr/>
      <w:r>
        <w:rPr>
          <w:b/>
        </w:rPr>
        <w:t>Shared claim-specific concepts:</w:t>
      </w:r>
      <w:r>
        <w:t xml:space="preserve"> argue, aid; EU scope visible. This is a provisional connection, not an outcome finding.</w:t>
      </w:r>
    </w:p>
    <w:p>
      <w:pPr>
        <w:pStyle w:val="SourceNote"/>
      </w:pPr>
      <w:r>
        <w:rPr>
          <w:b/>
        </w:rPr>
        <w:t>Available abstract (not full text):</w:t>
      </w:r>
      <w:r>
        <w:t xml:space="preserve"> Abstract The European Union and its member states have invested billions of euros in migration management programs that purport to promote “good migration governance” around the world. But what is the impact of migration management aid on governance outside of the EU? In this article, we theorise the impact of migration management aid on governance in recipient countries by analysing the key policy areas of intervention. To do so, we focus on the effects of the European Union Emergency Trust Fund for Africa and draw on data collected from policy and government documents, in addition to secondary literature, to understand how migration management aid negatively impacts institutions of governance in recipient countries. While migration management aid may build the capacity of states to monitor borders and prevent irregular migration, we argue that this fails to account for negative externalities including human rights abuses and increased surveillance for migrants and citizens alike.</w:t>
      </w:r>
    </w:p>
    <w:p>
      <w:pPr/>
      <w:r>
        <w:rPr>
          <w:b/>
        </w:rPr>
        <w:t>POSSIBLE 2022:</w:t>
      </w:r>
      <w:r>
        <w:t xml:space="preserve"> The European Commission and the COVID-19 pandemic: a pluri-institutional approach — https://doi.org/10.1080/13501763.2022.2140821</w:t>
      </w:r>
    </w:p>
    <w:p>
      <w:pPr/>
      <w:r>
        <w:rPr>
          <w:b/>
        </w:rPr>
        <w:t>Shared claim-specific concepts:</w:t>
      </w:r>
      <w:r>
        <w:t xml:space="preserve"> argue, approach, support; EU scope visible. This is a provisional connection, not an outcome finding.</w:t>
      </w:r>
    </w:p>
    <w:p>
      <w:pPr>
        <w:pStyle w:val="SourceNote"/>
      </w:pPr>
      <w:r>
        <w:rPr>
          <w:b/>
        </w:rPr>
        <w:t>Available abstract (not full text):</w:t>
      </w:r>
      <w:r>
        <w:t xml:space="preserve"> According to a widely held view, the European Council decides how the EU should respond in times of crisis, since the European Council alone has the authority to lead. Other institutions, meanwhile, adopt at best a secondary role. An alternative perspective has emerged, however, which contends, first, that the European Council’s influence on the EU's crisis response is variable and, second, that other EU institutions, in particular the European Commission, are able to shape EU action, including through interventions made independently of the European Council. This article builds on this alternative view to argue that the respective role played by the European Council and the European Commisson is contingent, first, on the policy area where a crisis strikes and second, on leadership or agency on the part of the Presidents of the two institutions. The dynamics of the EU’s response to the COVID-19 pandemic support this view. Acting on its powers in public health and other affected areas, and with Commission President Ursula von der Leyen taking a highly pro-active approach to outbreak of the virus, the Commission intervened early, framed the pandemic as a crisis, and set and then expanded the EU’s agenda. Although its decision-making role was important, the European Council largely followed the Commission's lead.</w:t>
      </w:r>
    </w:p>
    <w:p>
      <w:pPr/>
      <w:r>
        <w:rPr>
          <w:b/>
        </w:rPr>
        <w:t>POSSIBLE 2022:</w:t>
      </w:r>
      <w:r>
        <w:t xml:space="preserve"> Understanding Public Support for European Protected Areas: A Review of the Literature and Proposing a New Approach for Policy Makers — https://doi.org/10.3390/land11050733</w:t>
      </w:r>
    </w:p>
    <w:p>
      <w:pPr/>
      <w:r>
        <w:rPr>
          <w:b/>
        </w:rPr>
        <w:t>Shared claim-specific concepts:</w:t>
      </w:r>
      <w:r>
        <w:t xml:space="preserve"> approach, makers, support; EU scope visible. This is a provisional connection, not an outcome finding.</w:t>
      </w:r>
    </w:p>
    <w:p>
      <w:pPr>
        <w:pStyle w:val="SourceNote"/>
      </w:pPr>
      <w:r>
        <w:rPr>
          <w:b/>
        </w:rPr>
        <w:t>Available abstract (not full text):</w:t>
      </w:r>
      <w:r>
        <w:t xml:space="preserve"> Protected Areas are the most widely applied policy tool for biodiversity conservation. In Europe, protected areas are expected to significantly increase as the new EU Biodiversity strategy sets an ambitious target of 30% of land and 30% of water to be protected by 2030. Despite the popularity of this environmental policy, understanding variations in the level of public support for protected areas remains underexplored. This is an important area of research, considering that, in order for protected areas to be effective, they need to be supported by most users, including local communities and visitors. In this paper, we reviewed theoretical and empirical evidence explaining the level of support for protected areas and proposed a new approach when designing and designating protected areas in Europe. This approach models the process of the introduction of a new protected area as a policy intervention within a socio-ecological system. Specifically, it models how protected area social outcomes or impacts are conditioned and contextualised by numerous intervening factors relating to the social context and governance and management system to influence local actors’ attitude and active support for the protected area. This new approach aims to assist policy makers, conservation practitioners and scientists to plan actions that assist in increasing the level of public support for protect</w:t>
      </w:r>
    </w:p>
    <w:p>
      <w:pPr>
        <w:pStyle w:val="Heading2"/>
      </w:pPr>
      <w:r>
        <w:t>649.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2024:</w:t>
      </w:r>
      <w:r>
        <w:t xml:space="preserve"> Crisis in world politics. Corporate roles and responses in the Ukraine war and beyond — https://doi.org/10.1177/13540661241279787</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For some time, Global Governance has made the case that multinational enterprises (MNEs) have become so involved in multistakeholder provisions of public goods that they should be considered as global governors. Their involvement and whether it improves governance, however, remain fiercely debated. In this context, MNEs are frequently framed and discussed as entities sui generis, pursuing private interests while reconciling with broader public expectations. The article argues that the concept of crisis, if adequately theorized, offers a new perspective into this discussion. To do so, I draw from American Pragmatism to introduce crisis both as a challenge for an actor but also a lens into the beliefs expressed throughout for the researcher. Against this dual use of the concept, I develop a typology of crises and relate this to the roles and responses of MNEs that are likely to follow from different crises. As a lens into corporate beliefs, I illustrate the conceptual potential of crisis by looking into how Shell and ExxonMobil respond to Russia’s invasion of Ukraine. As an exogenous, rather immediate crisis, the article discusses to what extent their responses reveal a broader acceptance or rejection of new corporate responsibilities. Based on careful reconstruction, the article concludes that neither productively solved the crisis. More specifically, as Shell remains reluctant </w:t>
      </w:r>
    </w:p>
    <w:p>
      <w:pPr/>
      <w:r>
        <w:rPr>
          <w:b/>
        </w:rPr>
        <w:t>POSSIBLE 2023:</w:t>
      </w:r>
      <w:r>
        <w:t xml:space="preserve"> Unfinished Discourse Of ‘Backwardness’ In Independent India — https://doi.org/10.59670/ml.v20is5.8377</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pPr/>
      <w:r>
        <w:rPr>
          <w:b/>
        </w:rPr>
        <w:t>POSSIBLE 2023:</w:t>
      </w:r>
      <w:r>
        <w:t xml:space="preserve"> The Role of Humor in Work Group Dynamics in Times of Crisis — https://doi.org/10.1177/10464964231173335</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Humor is a key indicator of the health of work groups, including during times of crisis. Moreover, studies of newly formed groups show that the type of humor used can change as members of a group get to know one another and form bonds. Yet in the context of a relatively established work group, can the nature of the group’s humor evolve in response to a crisis? We address this question in the context of the Federal Open Market Committee (FOMC), examining whether the FOMC was able to pivot its use of humor following the 2007 financial crash. As hypothesized, we find a post-crash increase in “affiliative” humor in general, and “playful banter” specifically, indicating effective group dynamics among members (which bodes well for the global economy). The FOMC thus offers evidence that established work groups can use humor as a dynamic mechanism for adapting to new circumstances.</w:t>
      </w:r>
    </w:p>
    <w:p>
      <w:pPr/>
      <w:r>
        <w:rPr>
          <w:b/>
        </w:rPr>
        <w:t>POSSIBLE 2022:</w:t>
      </w:r>
      <w:r>
        <w:t xml:space="preserve"> Crisis, Ψ-trauma, refugees — https://doi.org/10.24135/ppi.v20i4.04</w:t>
      </w:r>
    </w:p>
    <w:p>
      <w:pPr/>
      <w:r>
        <w:rPr>
          <w:b/>
        </w:rPr>
        <w:t>Shared claim-specific concepts:</w:t>
      </w:r>
      <w:r>
        <w:t xml:space="preserve"> discussing, crisis, role; EU scope visible. This is a provisional connection, not an outcome finding.</w:t>
      </w:r>
    </w:p>
    <w:p>
      <w:pPr>
        <w:pStyle w:val="SourceNote"/>
      </w:pPr>
      <w:r>
        <w:rPr>
          <w:b/>
        </w:rPr>
        <w:t>Available abstract (not full text):</w:t>
      </w:r>
      <w:r>
        <w:t xml:space="preserve"> Since 2014 the situation in the Mediterranean Sea has been named and tackled as a ‘refugee crisis’, and in the name of this ‘crisis’ migrants have been accommodated in ‘hotspots’ and camps. Within these spaces, their experiences have often been articulated by the humanitarian sector and the discipline of psychology as traumatic, with refugees being described as traumatised. In this article, I critically discuss the politics of psychology and trauma within the European territory of aid, with a specific focus on Greece, amid the current, so-called ‘refugee crisis’. I start by situating crisis and trauma as concepts and their role within humanitarian and state governance. I continue by discussing how the terms ‘hotspot’ and ‘camp’ emerged in state and humanitarian discourse and practice, to explore then the politics of psychology and trauma there. Both space and time are important elements for understanding the role of psychology, as they comprise the material landscape of migration amid ‘refugee crisis’. At the same time, the discourses of psychology and trauma are implicated in the very production of these spaces. Approaching critically their interconnection through the lens of critical psychology and the work of Frantz Fanon, the article concludes that the gaze of humanitarian aid and psychology, besides medicalising refugees, psychologises the inherently political issues of mi</w:t>
      </w:r>
    </w:p>
    <w:p>
      <w:pPr/>
      <w:r>
        <w:rPr>
          <w:b/>
        </w:rPr>
        <w:t>POSSIBLE 2021:</w:t>
      </w:r>
      <w:r>
        <w:t xml:space="preserve"> The unfinished business of Church history — https://doi.org/10.4102/ve.v42i1.2329</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The Church will presumably have unfinished business until the day when Christ returns. And Church history will, in gruesome details, bear witness to the missed opportunities, the failures and wrongdoings and all the mistakes made. This is especially true in South Africa where racial tensions, violence, crimes and numerous other evils prevail, while the bride of Christ, in hiding from the realities of life, is awaiting death. The first part of the article explains why this is the case and the second part proposes some rectifications towards how adjudication and reconciliation can be attained through new life in a novel way of being Church to the world. Intradisciplinary and/or interdisciplinary implications: Christians, theologians and Church historians must openly and honestly expose the use and abuse of (Church) history, and the role that collective memory played in constructing misleading perceptions of the past through the implementation of motivated reasoning. A comprehensive, amended rewriting of Church history that includes all sources that fed Christianity in South Africa during the past nearly 370 years must reconceptualise our religious past towards a healing future. This can promote unity and bring closure to at least some issues while providing a renewed focus on the ongoing need for constant reformation, a renewed comprehension of spirituality, and inspiring Missiol</w:t>
      </w:r>
    </w:p>
    <w:p>
      <w:pPr/>
      <w:r>
        <w:rPr>
          <w:b/>
        </w:rPr>
        <w:t>POSSIBLE 2021:</w:t>
      </w:r>
      <w:r>
        <w:t xml:space="preserve"> Virtually Viral Hangouts: Reflections on the role of community during crisis — https://doi.org/10.23860/jmle-2021-13-3-12</w:t>
      </w:r>
    </w:p>
    <w:p>
      <w:pPr/>
      <w:r>
        <w:rPr>
          <w:b/>
        </w:rPr>
        <w:t>Shared claim-specific concepts:</w:t>
      </w:r>
      <w:r>
        <w:t xml:space="preserve"> conclude, crisis, role, means; EU scope not established. This is a provisional connection, not an outcome finding.</w:t>
      </w:r>
    </w:p>
    <w:p>
      <w:pPr>
        <w:pStyle w:val="SourceNote"/>
      </w:pPr>
      <w:r>
        <w:rPr>
          <w:b/>
        </w:rPr>
        <w:t>Available abstract (not full text):</w:t>
      </w:r>
      <w:r>
        <w:t xml:space="preserve"> In this essay, I reflect on two key aspects of my membership in the online community known as Virtually Viral Hangouts (VVH). First, I reflect on how membership in this group helped me professionally, providing important, in-time instruction as I learned to make the switch from in-person to remote learning in the early days of Covid-19. Next, I reflect on how membership in this group helped me personally, as I struggled to find my identity as a teacher through a computer screen. I conclude by reflecting upon what it means to be a member of a community and why such membership matters in higher education and beyond.</w:t>
      </w:r>
    </w:p>
    <w:p>
      <w:pPr/>
      <w:r>
        <w:rPr>
          <w:b/>
        </w:rPr>
        <w:t>POSSIBLE 2021:</w:t>
      </w:r>
      <w:r>
        <w:t xml:space="preserve"> The Fault Lines of Leadership: Lessons from the Global Covid-19 Crisis — https://doi.org/10.1080/14697017.2021.1861724</w:t>
      </w:r>
    </w:p>
    <w:p>
      <w:pPr/>
      <w:r>
        <w:rPr>
          <w:b/>
        </w:rPr>
        <w:t>Shared claim-specific concepts:</w:t>
      </w:r>
      <w:r>
        <w:t xml:space="preserve"> conclude, crisis, role; EU scope not established. This is a provisional connection, not an outcome finding.</w:t>
      </w:r>
    </w:p>
    <w:p>
      <w:pPr>
        <w:pStyle w:val="SourceNote"/>
      </w:pPr>
      <w:r>
        <w:rPr>
          <w:b/>
        </w:rPr>
        <w:t>Available abstract (not full text):</w:t>
      </w:r>
      <w:r>
        <w:t xml:space="preserve"> In this article, we reflect on the role that leadership has played in the response to the global Covid-19 crisis. We discuss two major ‘fault lines' of leadership: narcissism, and ideological rigidity. A fault line is a problem that may not be obvious under normal circumstances but could cause leadership to fail stakeholders and society at large in a defining moment such as a global pandemic. Using case examples from global political leaders we elaborate on these breaking points in crisis leadership and contrast them with the healing properties of leader compassion and mending forces of evidence-based decision making. We conclude our article with implications for responsible leadership research and practice.</w:t>
      </w:r>
    </w:p>
    <w:p>
      <w:pPr/>
      <w:r>
        <w:rPr>
          <w:b/>
        </w:rPr>
        <w:t>POSSIBLE 2021:</w:t>
      </w:r>
      <w:r>
        <w:t xml:space="preserve"> The Role of Diplomacy in the Times of the Coronavirus Crisis — https://openalex.org/W7217182940</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The author’s objective is to highlight the role of diplomacy during the COVID-19 pandemic. We discuss selected dimensions of diplomacy (health, economic…) and analyse how they have been adapted to new challenges resulting from the disease outbreak. The paper is concluded by a series of recommendations aimed at increasing the efficacy of diplomatic efforts. Despite its horrific impacts, the pandemic can be regarded as an opportunity to revitalise certain areas such as national economies, to make them more innovative and environmentally friendly. For diplomacy in the future, we expect the prevalence of digital use and a focus on health, science, and environmental diplomacy.</w:t>
      </w:r>
    </w:p>
    <w:p>
      <w:pPr>
        <w:pStyle w:val="Heading2"/>
      </w:pPr>
      <w:r>
        <w:t>650.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2026:</w:t>
      </w:r>
      <w:r>
        <w:t xml:space="preserve"> Climate Warming Accelerates Hydrological Reversals Across Europe — https://doi.org/10.21203/rs.3.rs-9924236/v1</w:t>
      </w:r>
    </w:p>
    <w:p>
      <w:pPr/>
      <w:r>
        <w:rPr>
          <w:b/>
        </w:rPr>
        <w:t>Shared claim-specific concepts:</w:t>
      </w:r>
      <w:r>
        <w:t xml:space="preserve"> hydrological, across, warming;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Continental-scale assessment of hydrological cycle across Europe under anthropogenic warming — https://doi.org/10.5194/egusphere-egu26-862</w:t>
      </w:r>
    </w:p>
    <w:p>
      <w:pPr/>
      <w:r>
        <w:rPr>
          <w:b/>
        </w:rPr>
        <w:t>Shared claim-specific concepts:</w:t>
      </w:r>
      <w:r>
        <w:t xml:space="preserve"> hydrological, across, increasing, warming, levels, index; EU scope visible. This is a provisional connection, not an outcome finding.</w:t>
      </w:r>
    </w:p>
    <w:p>
      <w:pPr>
        <w:pStyle w:val="SourceNote"/>
      </w:pPr>
      <w:r>
        <w:rPr>
          <w:b/>
        </w:rPr>
        <w:t>Available abstract (not full text):</w:t>
      </w:r>
      <w:r>
        <w:t xml:space="preserve"> Climate change is fundamentally altering the spatial and temporal dynamics of the hydrological cycle, with profound implications for water security, ecosystem stability, and regional climate resilience. Building on the framework of Thakur et al. (2025), which evaluated how PET-method choices influence historical hydrological trends, we extend the framework to future conditions using CMIP6-based ISIMIP3b projections. We assess changes in precipitation (P), runoff (Q), total water storage (TWS), and actual evapotranspiration (AET) at 1°C, 2°C, and 3°C global warming levels across 553 European catchments. Using 165 mesoscale Hydrologic Model (mHM) simulations per catchment (five GCMs, three SSPs, 11 PET methods, we introduce a framework to detect emerging hydrological cycle patterns based on trend combinations. quantify projection agreement using the Data Concurrency Index (DCI) and characterize uncertainty with two complementary metrics that capture variability (ψ) and temporal inconsistency (χ) for each warming level and hydrological variable. Our findings show a marked expansion in the spatial extent of negative trends in P, Q, and TWS with increasing warming, while AET trends are positive in over 96% of catchments. More than two-thirds of catchments follow clear wetting (W1) or drying (D1) hydrological cycle patterns, with D1 becoming increasingly dominant at higher warming le</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hydrological, across, index, water;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2026:</w:t>
      </w:r>
      <w:r>
        <w:t xml:space="preserve"> Increasing Floods and Intensifying Droughts: The Future of Hydrological Extremes in a Warming Climate — https://doi.org/10.31223/x56v0w</w:t>
      </w:r>
    </w:p>
    <w:p>
      <w:pPr/>
      <w:r>
        <w:rPr>
          <w:b/>
        </w:rPr>
        <w:t>Shared claim-specific concepts:</w:t>
      </w:r>
      <w:r>
        <w:t xml:space="preserve"> hydrological, droughts, across, increasing, warming, derived; EU scope visible. This is a provisional connection, not an outcome finding.</w:t>
      </w:r>
    </w:p>
    <w:p>
      <w:pPr>
        <w:pStyle w:val="SourceNote"/>
      </w:pPr>
      <w:r>
        <w:rPr>
          <w:b/>
        </w:rPr>
        <w:t>Available abstract (not full text):</w:t>
      </w:r>
      <w:r>
        <w:t xml:space="preserve"> Understanding how climate change alters the frequency and severity of hydrological extremes is critical for anticipating regional vulnerabilities and guiding adaptation. In this study, we analyze changes in the magnitude, intensity, and duration of extreme streamflow events, both floods and droughts, under RCP4.5 and RCP8.5 scenarios using the FutureStreams dataset. This dataset, driven by multiple CMIP5 climate models, enables a global-scale assessment across all Intergovernmental Panel on Climate Change (IPCC) Special Report on Managing the Risks of Extreme Events and Disasters to Advance Climate Adaptation (SREX) regions. We identified events using percentile-based thresholds derived from historical (1976–2005) streamflow distributions and evaluated future extremes relative to these baselines across seasonal and decadal time slices. Our results show an apparent intensification of extremes, particularly under RCP8.5, with substantial increases in flood and drought events in climate-stressed regions such as South Asia, the Mediterranean, Central Australia, and Northern Europe. The seasonal dynamics of these changes, such as summer drought intensification and winter flood increases, underscore the compound effects of warming, altered precipitation, and snowmelt patterns. While the most significant increases occur in regions with a known history of hydrological stress, some area</w:t>
      </w:r>
    </w:p>
    <w:p>
      <w:pPr/>
      <w:r>
        <w:rPr>
          <w:b/>
        </w:rPr>
        <w:t>POSSIBLE 2026:</w:t>
      </w:r>
      <w:r>
        <w:t xml:space="preserve"> Low-flow patterns and hydrological regionalisation across the Baltic Sea basin — https://doi.org/10.1016/j.ejrh.2026.103643</w:t>
      </w:r>
    </w:p>
    <w:p>
      <w:pPr/>
      <w:r>
        <w:rPr>
          <w:b/>
        </w:rPr>
        <w:t>Shared claim-specific concepts:</w:t>
      </w:r>
      <w:r>
        <w:t xml:space="preserve"> shows, hydrological, across, temperature, low-flow, discharge; EU scope visible. This is a provisional connection, not an outcome finding.</w:t>
      </w:r>
    </w:p>
    <w:p>
      <w:pPr>
        <w:pStyle w:val="SourceNote"/>
      </w:pPr>
      <w:r>
        <w:rPr>
          <w:b/>
        </w:rPr>
        <w:t>Available abstract (not full text):</w:t>
      </w:r>
      <w:r>
        <w:t xml:space="preserve"> Study region The Baltic Sea basin covers approximately 1.7 million km² across northern Europe, extending from sub-Arctic to temperate climates with pronounced gradients in snow cover, precipitation, temperature, and catchment storage. As one of the largest brackish sea basins globally, its hydrology regulates freshwater and nutrient inputs that critically influence coastal water quality and marine ecosystem functioning. Despite its ecological and hydrological importance, a consistent basin-scale assessment of low-flow regimes across national boundaries has been lacking, with existing studies limited to individual countries using different methods and indicators. Study focus The study analyses daily discharge records from 134 water gauging stations across six countries (Sweden, Finland, Estonia, Latvia, Lithuania, and Poland) for the period 1961–2020. Low-flow conditions were characterised using the annual minimum 30-day mean discharge (Q30) and its catchment-area-normalised form of specific discharge (q30), enabling comparison of low-flow magnitude, seasonality, and variability, across contrasting hydroclimatic regions. We examined spatial patterns, temporal changes between two climate normal periods (1961–1990 and 1991–2020), and identified hydrologically coherent regions through K-means cluster analysis based on q30, coefficient of variation, proportion of warm-season low-flo</w:t>
      </w:r>
    </w:p>
    <w:p>
      <w:pPr/>
      <w:r>
        <w:rPr>
          <w:b/>
        </w:rPr>
        <w:t>POSSIBLE 2026:</w:t>
      </w:r>
      <w:r>
        <w:t xml:space="preserve"> Compounding hazards increase flood economic losses across Europe — https://doi.org/10.1038/s41467-026-73248-0</w:t>
      </w:r>
    </w:p>
    <w:p>
      <w:pPr/>
      <w:r>
        <w:rPr>
          <w:b/>
        </w:rPr>
        <w:t>Shared claim-specific concepts:</w:t>
      </w:r>
      <w:r>
        <w:t xml:space="preserve"> across, increasing, above, river, discharge;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2025:</w:t>
      </w:r>
      <w:r>
        <w:t xml:space="preserve"> Spatiotemporal characteristics of meteorological and hydrological droughts across Europe — https://doi.org/10.1080/19475705.2025.2567413</w:t>
      </w:r>
    </w:p>
    <w:p>
      <w:pPr/>
      <w:r>
        <w:rPr>
          <w:b/>
        </w:rPr>
        <w:t>Shared claim-specific concepts:</w:t>
      </w:r>
      <w:r>
        <w:t xml:space="preserve"> hydrological, droughts, across, warming, water; EU scope visible. This is a provisional connection, not an outcome finding.</w:t>
      </w:r>
    </w:p>
    <w:p>
      <w:pPr>
        <w:pStyle w:val="SourceNote"/>
      </w:pPr>
      <w:r>
        <w:rPr>
          <w:b/>
        </w:rPr>
        <w:t>Available abstract (not full text):</w:t>
      </w:r>
      <w:r>
        <w:t xml:space="preserve"> Amid ongoing global warming and growing water resource pressures, droughts have intensified in frequency and severity across Europe. Using ERA5 reanalysis data (1970–2024), we assessed four drought indices—meteorological (SPI, SPEI) and hydrological (SRI, RZI)—at 3-, 6-, and 12-month scales. Spatiotemporal dynamics were evaluated through trend analysis (Mann–Kendall), persistence assessment (Hurst exponent), abrupt change detection (mutation test), spatial pattern metrics (Fragstats), and inter-index correlation. Results show that hydrological droughts exhibited stronger trends and persistence than meteorological droughts. Significant intensification emerged in Western, Eastern, and Southern Europe, with SRI and RZI affecting nearly 700 × 10⁴ km². Breakpoints were detected in 1974 for meteorological and 1993–1994 for hydrological indices. Landscape analysis indicated increased patch numbers, higher spatial complexity, and aggregation, particularly for hydrological indices. Inter-index correlations were high at the 12-month scale (|R| &gt; 0.6) but declined (~0.3) at the 3-month scale, revealing divergence between meteorological and hydrological droughts. These findings advance understanding of drought evolution and underlying climate mechanisms, providing scientific support for monitoring, early warning, and adaptive water management strategies in Europe.</w:t>
      </w:r>
    </w:p>
    <w:p>
      <w:pPr/>
      <w:r>
        <w:rPr>
          <w:b/>
        </w:rPr>
        <w:t>POSSIBLE 2025:</w:t>
      </w:r>
      <w:r>
        <w:t xml:space="preserve"> Intergenerational inequity from hydrological drought in a warming world — https://doi.org/10.1016/j.jenvman.2025.125988</w:t>
      </w:r>
    </w:p>
    <w:p>
      <w:pPr/>
      <w:r>
        <w:rPr>
          <w:b/>
        </w:rPr>
        <w:t>Shared claim-specific concepts:</w:t>
      </w:r>
      <w:r>
        <w:t xml:space="preserve"> shows, hydrological, droughts, across, warming, river; EU scope visible. This is a provisional connection, not an outcome finding.</w:t>
      </w:r>
    </w:p>
    <w:p>
      <w:pPr>
        <w:pStyle w:val="SourceNote"/>
      </w:pPr>
      <w:r>
        <w:rPr>
          <w:b/>
        </w:rPr>
        <w:t>Available abstract (not full text):</w:t>
      </w:r>
      <w:r>
        <w:t xml:space="preserve"> As warmer temperatures enhance atmospheric moisture, hydrological droughts tend to intensify in most regions of the globe. Consequently, younger generations are expected to face a more severe risk of hydrological drought during their lifetimes, emphasizing the critical issue of intergenerational inequity due to climate change. To quantify exposure to hydrological drought across generations, we constructed a cascade model chain for drought simulation using hybrid terrestrial models, based on 5 GCM outputs under SSP5-85, five hydrological models and a deep learning model. We then projected future univariate and bivariate hydrological drought evolution in 4091 river basins, and quantified lifetime exposure to drought for the age groups born in 2020 and 1960. Drought severity and duration are projected to increase substantially in the Eastern America, Southern Brazil and Western Europe, over 79 % of basins. Extreme droughts far beyond historical records are expected to become more frequent and impact Western Europe in particular. Of note, the exposure of the different age groups to hydrological drought shows a notable disequilibrium. Exposure of people born in 2020 to hydrological drought hazards is projected to increase by 12 % over the late 21st century compared to those born in 1960, indicating that the acceleration of climate change is expected to increase the lifetime risk of </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hydrological, droughts, warming, river, simulations,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pStyle w:val="Heading2"/>
      </w:pPr>
      <w:r>
        <w:t>651.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Burden of Dementia in Europe, 1990–2023: a systematic analysis from the Global Burden of Disease Study 2023 — https://doi.org/10.1016/j.lanepe.2026.101796</w:t>
      </w:r>
    </w:p>
    <w:p>
      <w:pPr/>
      <w:r>
        <w:rPr>
          <w:b/>
        </w:rPr>
        <w:t>Shared claim-specific concepts:</w:t>
      </w:r>
      <w:r>
        <w:t xml:space="preserve"> dementia, leading, cause, mortality, disease, burden; EU scope visible. This is a provisional connection, not an outcome finding.</w:t>
      </w:r>
    </w:p>
    <w:p>
      <w:pPr>
        <w:pStyle w:val="SourceNote"/>
      </w:pPr>
      <w:r>
        <w:rPr>
          <w:b/>
        </w:rPr>
        <w:t>Available abstract (not full text):</w:t>
      </w:r>
      <w:r>
        <w:t xml:space="preserve"> Background: Dementia is a leading cause of disability and mortality in Europe, yet no recent harmonised assessment has described its impact across the European Union (EU-27) and the WHO European Region. Methods: We used data from the Global Burden of Disease Study 2023 (GBD 2023) to estimate prevalence, mortality, and disability-adjusted life years (DALYs) for dementia from 1990 to 2023. Estimates were produced for the EU-27 and the WHO European Region, by age and sex. Non-fatal outcomes were modelled using DisMod-MR 2.1, and dementia-attributable mortality was estimated using an excess-mortality framework. We also quantified DALYs attributable to six modifiable risk factors. Findings: In 2023, 7.76 million people (95% UI 6.69-8.72) were living with dementia in the EU-27 and 12.28 million (10.44-13.90) in the WHO European Region, representing ∼90% increases since 1990 despite modest declines in age-standardised prevalence. Prevalence was nearly twice as high in women as in men. Dementia rose from the eighth to the third leading cause of death in the EU-27. Dementia accounted for 5.49 million DALYs (2.44-11.41) in the EU-27. An estimated 41% (24.4-57.4) of dementia DALYs in the EU-27 were attributable to modifiable risk factors, particularly ambient particulate matter pollution, high fasting plasma glucose, and high body-mass index, which are disproportionately concentrated in s</w:t>
      </w:r>
    </w:p>
    <w:p>
      <w:pPr/>
      <w:r>
        <w:rPr>
          <w:b/>
        </w:rPr>
        <w:t>POSSIBLE 2026:</w:t>
      </w:r>
      <w:r>
        <w:t xml:space="preserve"> Concurrence of Dementia and Mental Disorders Across Populational Epidemiology and Global Disease Burden Perspectives — https://doi.org/10.64898/2026.04.28.26351932</w:t>
      </w:r>
    </w:p>
    <w:p>
      <w:pPr/>
      <w:r>
        <w:rPr>
          <w:b/>
        </w:rPr>
        <w:t>Shared claim-specific concepts:</w:t>
      </w:r>
      <w:r>
        <w:t xml:space="preserve"> dementia, leading, disease, burden, health; EU scope visible. This is a provisional connection, not an outcome finding.</w:t>
      </w:r>
    </w:p>
    <w:p>
      <w:pPr>
        <w:pStyle w:val="SourceNote"/>
      </w:pPr>
      <w:r>
        <w:rPr>
          <w:b/>
        </w:rPr>
        <w:t>Available abstract (not full text):</w:t>
      </w:r>
      <w:r>
        <w:t xml:space="preserve"> ABSTRACT Background Dementia and mental disorders are leading causes of disease burden in middle-aged and older adults. Existing evidence suggests close clinical and epidemiological associations between dementia and mental disorders. We aimed to characterize the concurrent features of dementia and eight mental disorders at both the individual level and the population level (temporal and spatial patterns of global burden of disease co-existence and co-occurrence). Methods The study utilized data from the UK Biobank (UKB, N=502461, 2006-2021) and Global Burden of Disease (GBD, 204 countries, 1990-2021). In UKB, Cox models were used to explore associations between mental disorders and dementia and shared risk factors between the two conditions. In GBD, multi-state Markov models were constructed to quantify the expected time of concurrent burden. Results There was a substantial concurrence between dementia and mental disorders, along with causal associations and shared risk factors at the individual level. At the country level, although a trend of decreased prevalence and incidence of dementia was observed in most regions over the past 31 years, dementia demonstrated greater co-existence burden of neurodevelopmental disorders (especially attention-deficit/hyperactivity disorder and idiopathic developmental intellectual disability) in Middle East and North Africa. In high-socio-demo</w:t>
      </w:r>
    </w:p>
    <w:p>
      <w:pPr/>
      <w:r>
        <w:rPr>
          <w:b/>
        </w:rPr>
        <w:t>POSSIBLE 2026:</w:t>
      </w:r>
      <w:r>
        <w:t xml:space="preserve"> Population attributable fractions of a wide range of peripheral diseases for the burden of dementia — https://doi.org/10.25405/ncl.34541268</w:t>
      </w:r>
    </w:p>
    <w:p>
      <w:pPr/>
      <w:r>
        <w:rPr>
          <w:b/>
        </w:rPr>
        <w:t>Shared claim-specific concepts:</w:t>
      </w:r>
      <w:r>
        <w:t xml:space="preserve"> dementia, leading, disease, burden, health; EU scope not established. This is a provisional connection, not an outcome finding.</w:t>
      </w:r>
    </w:p>
    <w:p>
      <w:pPr>
        <w:pStyle w:val="SourceNote"/>
      </w:pPr>
      <w:r>
        <w:rPr>
          <w:b/>
        </w:rPr>
        <w:t>Available abstract (not full text):</w:t>
      </w:r>
      <w:r>
        <w:t xml:space="preserve"> © The Author(s), under exclusive licence to Springer Nature Limited 2026. Growing evidence suggests that peripheral diseases serve as risk factors for dementia, but the population-level burden of dementia associated with various peripheral diseases has remained unknown. Here, by conducting a systematic review and Bayesian meta-analyses to estimate the relative risks of 26 peripheral diseases across 9 systems with dementia, including 202 articles searched from the PubMed until 6 September 2024, we identified 16 peripheral diseases as associated with increased risk of dementia. With the relative risks estimated from meta-analyses, prevalences extracted from the Global Burden of Disease Study, and communalities among these 16 peripheral diseases derived from the UK Biobank, we analysed the population attributable fractions (PAFs) of these 16 peripheral diseases for dementia, stratified by sex, age, sociodemographic index level, world region and country, and trends from 1990 to 2021. Globally, these peripheral diseases collectively were related to a combined PAF of 33.18% (95% confidence interval (CI) 16.80–48.43) of dementia burden, corresponding to 18.8 million prevalent cases. The leading ten PAF contributors were periodontal diseases (6.10%, 95% CI 0.95–10.28), cirrhosis and other chronic liver diseases (5.51%, 95% CI 1.77–8.86), age-related and other hearing loss (4.70%, 95% C</w:t>
      </w:r>
    </w:p>
    <w:p>
      <w:pPr/>
      <w:r>
        <w:rPr>
          <w:b/>
        </w:rPr>
        <w:t>POSSIBLE 2026:</w:t>
      </w:r>
      <w:r>
        <w:t xml:space="preserve"> Global burden of disease due to young-onset dementia and the forecast for 2050: update from global burden of disease study 2021 — https://doi.org/10.1080/13696998.2026.2646088</w:t>
      </w:r>
    </w:p>
    <w:p>
      <w:pPr/>
      <w:r>
        <w:rPr>
          <w:b/>
        </w:rPr>
        <w:t>Shared claim-specific concepts:</w:t>
      </w:r>
      <w:r>
        <w:t xml:space="preserve"> dementia, leading, disease, burden, groups; EU scope not established. This is a provisional connection, not an outcome finding.</w:t>
      </w:r>
    </w:p>
    <w:p>
      <w:pPr>
        <w:pStyle w:val="SourceNote"/>
      </w:pPr>
      <w:r>
        <w:rPr>
          <w:b/>
        </w:rPr>
        <w:t>Available abstract (not full text):</w:t>
      </w:r>
      <w:r>
        <w:t xml:space="preserve"> OBJECTIVE: The prevalence of young-onset dementia (YOD) is increasing worldwide, leading to greater economic and social burden, necessitating strategic management and prevention. MATERIALS AND METHODS: Using GBD 2021 data, disability-adjusted life years (DALYs) rates were analyzed by age, sex, and risk factors across five age groups. ARIMA and Bayesian models were applied to predict disease burden through 2050. RESULTS: From 1990 to 2021, disease burden increased in both sexes aged ≥55 years, with the greatest rise in the 55-59 group. DALYs rates were consistently higher in females, peaking in the 60-64 group. High fasting plasma glucose was the leading risk factor. Model performance varied by sex and age; applying the best-fitting models indicated a continued increase in burden, particularly among females. CONCLUSIONS: YOD burden has risen over time and is associated with modifiable factors such as high blood glucose and body mass index. The increasing trend is expected to persist, highlighting the need for effective management strategies to reduce future socioeconomic impact.</w:t>
      </w:r>
    </w:p>
    <w:p>
      <w:pPr/>
      <w:r>
        <w:rPr>
          <w:b/>
        </w:rPr>
        <w:t>POSSIBLE 2025:</w:t>
      </w:r>
      <w:r>
        <w:t xml:space="preserve"> Dementia is a neglected noncommunicable disease and leading cause of death — https://doi.org/10.1038/s41582-024-01051-w</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now the leading cause of death in Australia. But why is it fatal? — https://doi.org/10.64628/aa.ykgeqx5n6</w:t>
      </w:r>
    </w:p>
    <w:p>
      <w:pPr/>
      <w:r>
        <w:rPr>
          <w:b/>
        </w:rPr>
        <w:t>Shared claim-specific concepts:</w:t>
      </w:r>
      <w:r>
        <w:t xml:space="preserve"> dementia, leading, cause;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Health inequalities in disease burden of dementia and early-onset dementia: findings from the Global Burden of Disease 2021 study — https://doi.org/10.1186/s41256-025-00417-x</w:t>
      </w:r>
    </w:p>
    <w:p>
      <w:pPr/>
      <w:r>
        <w:rPr>
          <w:b/>
        </w:rPr>
        <w:t>Shared claim-specific concepts:</w:t>
      </w:r>
      <w:r>
        <w:t xml:space="preserve"> dementia, mortality, disease, burden, health; EU scope not established. This is a provisional connection, not an outcome finding.</w:t>
      </w:r>
    </w:p>
    <w:p>
      <w:pPr>
        <w:pStyle w:val="SourceNote"/>
      </w:pPr>
      <w:r>
        <w:rPr>
          <w:b/>
        </w:rPr>
        <w:t>Available abstract (not full text):</w:t>
      </w:r>
      <w:r>
        <w:t xml:space="preserve"> BACKGROUND: Given the increasing aging global population and advancements in dementia action plans, the latest disparities in the dementia burden may evolve. This study aimed to analyze and compare temporal trends at regional, national, and sociodemographic levels to provide evidence for public health planning and resource prioritization. METHODS: The age-standardized prevalence rate (ASPR), age-standardized incidence rate (ASIR), age-standardized mortality rate (ASMR), and age-standardized disability-adjusted life years (DALYs) rate (ASDR) were derived from the Global Burden of Disease 2021 study. Estimated annual percentage changes (EAPCs) were calculated to quantify their temporal trends. Correlations between EAPC and the human resources for health (HRH) were assessed using Pearson correlation analysis. RESULTS: Although the ASPR and ASIR remained stable or decreased globally, they both greatly increased in East Asia (ASPR: EAPC = 0.43; 95% CI 0.35, 0.51; ASIR: EAPC = 0.40; 95% CI 0.33, 0.47). For early-onset dementia, the ASPR (range of EAPC = 0.03-0.17) and ASIR (range of EAPC = 0.05-0.19) in the 45 to 59 years age group increased in North Africa and Middle East, particularly among females (ASPR: range of EAPC = 0.08-0.21; ASIR: range of EAPC = 0.09-0.2). Although the ASMR and ASDR both decreased globally and in high socio-demographic index region, they both increased grea</w:t>
      </w:r>
    </w:p>
    <w:p>
      <w:pPr/>
      <w:r>
        <w:rPr>
          <w:b/>
        </w:rPr>
        <w:t>POSSIBLE 2024:</w:t>
      </w:r>
      <w:r>
        <w:t xml:space="preserve"> The global macroeconomic burden of Alzheimer's disease and other dementias: estimates and projections for 152 countries or territories — https://doi.org/10.1016/s2214-109x(24)00264-x</w:t>
      </w:r>
    </w:p>
    <w:p>
      <w:pPr/>
      <w:r>
        <w:rPr>
          <w:b/>
        </w:rPr>
        <w:t>Shared claim-specific concepts:</w:t>
      </w:r>
      <w:r>
        <w:t xml:space="preserve"> mortality, disease, burden, health, care; EU scope not established. This is a provisional connection, not an outcome finding.</w:t>
      </w:r>
    </w:p>
    <w:p>
      <w:pPr>
        <w:pStyle w:val="SourceNote"/>
      </w:pPr>
      <w:r>
        <w:rPr>
          <w:b/>
        </w:rPr>
        <w:t>Available abstract (not full text):</w:t>
      </w:r>
      <w:r>
        <w:t xml:space="preserve"> BACKGROUND: Alzheimer's disease and other dementias (ADODs) severely threaten the wellbeing of older people, their families, and communities, especially with projected exponential growth. Understanding the macroeconomic implications of ADODs for policy making is essential but under-researched. METHODS: We used a health-augmented macroeconomic model to calculate the macroeconomic burden of ADODs for 152 countries or territories, accounting for: the effect on labour supply of reduced working hours of informal caregivers; the effect on labour supply of ADODs-related mortality and morbidity; age-sex-specific differences in education, work experience, labour market participations, and informal caregivers; and treatment and formal care costs diverting from savings and investments. FINDINGS: ADODs will cost the world economy 14 513 billion international dollars (INT$, measured in the base year 2020; 95% uncertainty interval [UI] 12 106-17 778) from 2020 to 2050, equivalent to 0·421% (95% UI 0·351-0·515) of annual global GDP. Japan incurs the largest annual GDP loss at 1·463% (1·225-1·790). China (INT$2961 billion [2507-3564]), the USA (INT$2331 billion [1989-2829]), and Japan (INT$1758 billion [1471-2150]) face the largest absolute economic burdens. The economic burden of informal care ranges from 60·97% in high-income countries to 85·45% in lower-middle-income countries, and treatmen</w:t>
      </w:r>
    </w:p>
    <w:p>
      <w:pPr/>
      <w:r>
        <w:rPr>
          <w:b/>
        </w:rPr>
        <w:t>POSSIBLE 2023:</w:t>
      </w:r>
      <w:r>
        <w:t xml:space="preserve"> Ranking of Alzheimer's disease and related dementia among the leading causes of death in the US varies depending on NCHS or WHO definitions — https://doi.org/10.1002/dad2.12442</w:t>
      </w:r>
    </w:p>
    <w:p>
      <w:pPr/>
      <w:r>
        <w:rPr>
          <w:b/>
        </w:rPr>
        <w:t>Shared claim-specific concepts:</w:t>
      </w:r>
      <w:r>
        <w:t xml:space="preserve"> dementia, leading, disease, health; EU scope not established. This is a provisional connection, not an outcome finding.</w:t>
      </w:r>
    </w:p>
    <w:p>
      <w:pPr>
        <w:pStyle w:val="SourceNote"/>
      </w:pPr>
      <w:r>
        <w:rPr>
          <w:b/>
        </w:rPr>
        <w:t>Available abstract (not full text):</w:t>
      </w:r>
      <w:r>
        <w:t xml:space="preserve"> INTRODUCTION: We compared the ranking of Alzheimer's disease and related dementia (ADRD) among the leading causes of death (LCODs) between those according to the National Center for Health Statistics (NCHS) and the World Health Organization (WHO) lists by sex. METHOD: The number of deaths in each LCOD category was obtained from CDC WONDER. RESULTS: According to the WHO list, ADRD was the second LCOD from 2005 to 2013, the first from 2014 to 2020, and the third in 2021, respectively, for women and was the second in 2018 and 2019, the third in 2020, and the fourth in 2021, respectively, for men. According to the NCHS list, Alzheimer's disease was the fourth in 2019 and 2020 for women and was the seventh from 2016 to 2019 for men. DISCUSSION: The ranking of ADRD among the LCODs according to the WHO list was higher than those according to the NCHS list.</w:t>
      </w:r>
    </w:p>
    <w:p>
      <w:pPr>
        <w:pStyle w:val="Heading2"/>
      </w:pPr>
      <w:r>
        <w:t>652.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2026:</w:t>
      </w:r>
      <w:r>
        <w:t xml:space="preserve"> Ideological Foundations of the Militarization of World Politics in a Multipolar Era — https://doi.org/10.53658/rw2026-4-2(20)-24-34</w:t>
      </w:r>
    </w:p>
    <w:p>
      <w:pPr/>
      <w:r>
        <w:rPr>
          <w:b/>
        </w:rPr>
        <w:t>Shared claim-specific concepts:</w:t>
      </w:r>
      <w:r>
        <w:t xml:space="preserve"> political, world, era, main, scientific; EU scope not established. This is a provisional connection, not an outcome finding.</w:t>
      </w:r>
    </w:p>
    <w:p>
      <w:pPr>
        <w:pStyle w:val="SourceNote"/>
      </w:pPr>
      <w:r>
        <w:rPr>
          <w:b/>
        </w:rPr>
        <w:t>Available abstract (not full text):</w:t>
      </w:r>
      <w:r>
        <w:t xml:space="preserve"> The article provides a comprehensive analysis of the transformation of the ideological foundations of the militarized politics in the multipolar era, which allows us to identify key trends and patterns in this field. Scientific ideas about the spiritual roots of traditional and imperialist militarism are being systematized, which allows for a deeper understanding of the nature and functioning of these mechanisms. Based on the analysis of the achievements of political thought, it is concluded that there is an inherent militaristic potential in the context of modern global transformations. The results of the study emphasize the need to take into account moral, ideological, and political aspects when determining the level of militarization in the world community during the transition from a post-bipolar world order to a multipolar system. The article proves the close relationship between the development of the spiritual sphere of international relations and the content of military-political expansionism in the postmodern era, which makes it possible to identify dialectical prerequisites for the development and limitations of militarism in the context of globalization. There is a mimicry of militaristic manifestations in post-industrial countries that are successfully adapting to modern realities, which indicates the ability of militarism to evolve and expand its technological and </w:t>
      </w:r>
    </w:p>
    <w:p>
      <w:pPr/>
      <w:r>
        <w:rPr>
          <w:b/>
        </w:rPr>
        <w:t>POSSIBLE 2026:</w:t>
      </w:r>
      <w:r>
        <w:t xml:space="preserve"> Women's Political Engagement and Empowerment in a Globalized World: The Indian Experience — https://doi.org/10.5281/zenodo.18943598</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Historically, women’s participation in governance has been restricted by patriarchal norms and institutional barriers. While early intellectual movements laid the groundwork, it was the late 20th-century activism that successfully began dismantling male -dominated political monopolies. In today’s globalized world, the focus has shifted toward gender justice and social inclusion. Empowerment is no longer viewed just as a social goal but as a democratic and developmental necessity. For India, this era offers a unique opportunity to translate educational and institutional growth into meaningful engagement. However, true progress requires moving beyond institutional reform to transform deepseated societal attitudes. To achieve genuine socio-economic equity in the 21st century, women must be recognized not as passive beneficiaries, but as active agents of change who are essential to a robust and inclusive democracy.</w:t>
      </w:r>
    </w:p>
    <w:p>
      <w:pPr/>
      <w:r>
        <w:rPr>
          <w:b/>
        </w:rPr>
        <w:t>POSSIBLE 2025:</w:t>
      </w:r>
      <w:r>
        <w:t xml:space="preserve"> Bodily Autonomy and Identity Politics: Feminist Approaches in the Era of Global Political Changes : Editors’ Note — https://openalex.org/W7125467776</w:t>
      </w:r>
    </w:p>
    <w:p>
      <w:pPr/>
      <w:r>
        <w:rPr>
          <w:b/>
        </w:rPr>
        <w:t>Shared claim-specific concepts:</w:t>
      </w:r>
      <w:r>
        <w:t xml:space="preserve"> political, era, main; EU scope not established. This is a provisional connection, not an outcome finding.</w:t>
      </w:r>
    </w:p>
    <w:p>
      <w:pPr>
        <w:pStyle w:val="SourceNote"/>
      </w:pPr>
      <w:r>
        <w:rPr>
          <w:b/>
        </w:rPr>
        <w:t>Available abstract (not full text):</w:t>
      </w:r>
      <w:r>
        <w:t xml:space="preserve"> Our intention for this special issue of the AM Journal of Art and Media Studies was to offer a platform for voices that are rarely heard in public discourse, and to present topics that are of great importance primarily to the feminist and queer communities, but also to the society as a whole – because no one is free and safe until we are all free and safe. Collected papers in this issue deal with feminist and queer topics belonging to various social contexts. The main topic is divided into three thematic units. The first unit comprises texts describing feminist and related progressive movements. The second thematic unit focuses on anti-gender movements and transfeminist resistance against them. The third thematic unit is dedicated to the feminist and queer analyses of various artistic formats.</w:t>
      </w:r>
    </w:p>
    <w:p>
      <w:pPr/>
      <w:r>
        <w:rPr>
          <w:b/>
        </w:rPr>
        <w:t>POSSIBLE 2025:</w:t>
      </w:r>
      <w:r>
        <w:t xml:space="preserve"> POLITICS OF THE INDIAN OCEAN AFTER WORLD WAR II TO THE ERA OF GLOBALIZATION — https://openalex.org/W7217302936</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The Indian Ocean region has historically been a vital arena of global strategic, economic, and political competition. Since the end of World War II, the region has undergone significant transformation due to decolonization, Cold War rivalry, and the rise of globalization. Rich in natural resources and traversed by critical sea-lanes of communication, the Indian Ocean has attracted major powers seeking strategic dominance and economic advantage. The presence of competing military powers, fragile littoral states, and transnational challenges such as piracy and terrorism have further complicated the regional dynamics. This paper examines the evolving geopolitics of the Indian Ocean from the post–World War II period to the contemporary era of globalization, with particular focus on the role of external powers, littoral state politics, maritime security, and India’s strategic position.</w:t>
      </w:r>
    </w:p>
    <w:p>
      <w:pPr/>
      <w:r>
        <w:rPr>
          <w:b/>
        </w:rPr>
        <w:t>POSSIBLE 2025:</w:t>
      </w:r>
      <w:r>
        <w:t xml:space="preserve"> The Political Relevance of Kartosuwiryo's Hijrah in the Global Context: Inspiration for Struggle in the Modern Era — https://doi.org/10.24090/jihm.v4i1.13073</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Sekarmadji Maridjan Kartosuwiryo, familiarly called Kartosuwiryo, was the proclamator of the Islamic State of Indonesia. Kartosuwiryo believed Islam had a significant influence on every aspect of human life. The idea he wanted to realize was establishing the Islamic State of Indonesia, and hijrah politics was one of Kartosuwiryo's efforts toward the Islamic State of Indonesia. This article will analyze the basic concept of the hijrah political thought of Sekarmadji Maridjan Kartosuwiryo in establishing the Islamic State of Indonesia. The method used is qualitative, with literature studies such as books, journals, articles, and others. In addition, the author uses a historical approach and the construction of a day approach to explore information about Kartosuwiryo's hijrah politics. The results showed that Kartosuwiryo's hijrah politics was an Islamic-based struggle to build a state with laws and order based on the Qur'an. This concept remains relevant to address modern global challenges, such as migration, religious identity, and cross-cultural solidarity. In addition, this article also shows that the politics of hijrah is not only a strategy of resistance against colonialism but also has relevance in the modern era. Hijrah can be translated as an effort to create social transformation, such as community empowerment, cross-cultural solidarity, and humane management of global m</w:t>
      </w:r>
    </w:p>
    <w:p>
      <w:pPr/>
      <w:r>
        <w:rPr>
          <w:b/>
        </w:rPr>
        <w:t>POSSIBLE 2025:</w:t>
      </w:r>
      <w:r>
        <w:t xml:space="preserve"> Speaking Truth to Power: Language, Politics, and Human Rights in a Globalized World — https://doi.org/10.33682/f3dn-v7tx</w:t>
      </w:r>
    </w:p>
    <w:p>
      <w:pPr/>
      <w:r>
        <w:rPr>
          <w:b/>
        </w:rPr>
        <w:t>Shared claim-specific concepts:</w:t>
      </w:r>
      <w:r>
        <w:t xml:space="preserve"> political, world, complex; EU scope visible. This is a provisional connection, not an outcome finding.</w:t>
      </w:r>
    </w:p>
    <w:p>
      <w:pPr>
        <w:pStyle w:val="SourceNote"/>
      </w:pPr>
      <w:r>
        <w:rPr>
          <w:b/>
        </w:rPr>
        <w:t>Available abstract (not full text):</w:t>
      </w:r>
      <w:r>
        <w:t xml:space="preserve"> This article investigates linguistic socio-political structures in a globalized world, focusing on the intersections between language policy, ideology, and socio-political disturbances. It examines cases of linguistic suppression in Franco-era Spain and communist China to explore similarities in language policy in authoritarian contexts. A comparison of English and Portuguese lects serves to explore language ideologies within the context of social and cultural hierarchies. This article highlights the complex relationship between legal and social aspects of language discrimination within nation-states and linguistic cultures; it argues that understanding these linguistic socio-political structures can serve not only to better understand a political context, but as a bellwether for minority rights and human rights violations.</w:t>
      </w:r>
    </w:p>
    <w:p>
      <w:pPr/>
      <w:r>
        <w:rPr>
          <w:b/>
        </w:rPr>
        <w:t>POSSIBLE 2024:</w:t>
      </w:r>
      <w:r>
        <w:t xml:space="preserve"> Changing Perspective Of Political Science Education In The Era Of Globalization: A Study — https://doi.org/10.53555/jrtdd.v5i1.3081</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In recent decades, globalization has significantly reshaped the field of political science education, prompting a re-evaluation of curricular content and pedagogical approaches. This study investigates the changing perspectives of political science education in the era of globalization, emphasizing the need for a curriculum that reflects the complexities and interconnectivity of global issues. The research employs a mixed-methods approach, including qualitative interviews with educators from various academic institutions and quantitative surveys distributed to students. This comprehensive methodology enables an in-depth understanding of both instructor and student perceptions regarding the relevance of globalization within political science. Key findings of the study reveal that political science curricula have increasingly integrated global perspectives to better prepare students for modern citizenship and professional roles. Educators reported a shift toward incorporating topics such as international relations, human rights, environmental politics, and transnational movements into their courses. This change reflects a consensus among faculty that an understanding of global dynamics is essential for students aspiring to engage meaningfully with contemporary political challenges. Conversely, students expressed a strong desire for content that addresses real-world issues but als</w:t>
      </w:r>
    </w:p>
    <w:p>
      <w:pPr/>
      <w:r>
        <w:rPr>
          <w:b/>
        </w:rPr>
        <w:t>POSSIBLE 2024:</w:t>
      </w:r>
      <w:r>
        <w:t xml:space="preserve"> Between Worlds: The Making of Global Identities in the Migration Era — https://doi.org/10.62311/nesx/97801</w:t>
      </w:r>
    </w:p>
    <w:p>
      <w:pPr/>
      <w:r>
        <w:rPr>
          <w:b/>
        </w:rPr>
        <w:t>Shared claim-specific concepts:</w:t>
      </w:r>
      <w:r>
        <w:t xml:space="preserve"> political, era, complex; EU scope not established. This is a provisional connection, not an outcome finding.</w:t>
      </w:r>
    </w:p>
    <w:p>
      <w:pPr>
        <w:pStyle w:val="SourceNote"/>
      </w:pPr>
      <w:r>
        <w:rPr>
          <w:b/>
        </w:rPr>
        <w:t>Available abstract (not full text):</w:t>
      </w:r>
      <w:r>
        <w:t xml:space="preserve"> Abstract: This chapter, "Between Worlds: The Making of Global Identities in the Migration Era," examines the complex interplay between migration and identity formation within the global context. It delves into how the act of migration reshapes the identities of individuals and groups, navigating through a myriad of socio-cultural, economic, and political landscapes. Drawing on a diverse range of theoretical frameworks and empirical studies, the chapter explores the transformative processes that migrants undergo as they adapt to new environments while maintaining ties to their homelands. It highlights the role of transnational networks, the impact of host and home country policies, and the personal negotiations of belonging and identity among migrants. This analysis not only illuminates the challenges faced by migrants but also showcases the dynamic creation of hybrid identities that contribute to the rich tapestry of global multiculturalism. The chapter aims to provide a nuanced understanding of the ongoing and complex nature of identity transformation in the migration era, offering insights into the broader implications for integration policies and multicultural coexistence. Keywords: Migration,Identity Formation,Transnationalism,Cultural Hybridity,Globalization,Integration Policies,Multiculturalism,Socio-Cultural Adaptation ,Diaspora Communities and Ethnic Identity.</w:t>
      </w:r>
    </w:p>
    <w:p>
      <w:pPr/>
      <w:r>
        <w:rPr>
          <w:b/>
        </w:rPr>
        <w:t>POSSIBLE 2024:</w:t>
      </w:r>
      <w:r>
        <w:t xml:space="preserve"> Globalization and Transformations in the World Politics: Global Politics, Global Governance, Geopolitics, and International Politics. — https://openalex.org/W4406290880</w:t>
      </w:r>
    </w:p>
    <w:p>
      <w:pPr/>
      <w:r>
        <w:rPr>
          <w:b/>
        </w:rPr>
        <w:t>Shared claim-specific concepts:</w:t>
      </w:r>
      <w:r>
        <w:t xml:space="preserve"> political, world, collapse, scientific; EU scope not established. This is a provisional connection, not an outcome finding.</w:t>
      </w:r>
    </w:p>
    <w:p>
      <w:pPr>
        <w:pStyle w:val="SourceNote"/>
      </w:pPr>
      <w:r>
        <w:rPr>
          <w:b/>
        </w:rPr>
        <w:t>Available abstract (not full text):</w:t>
      </w:r>
      <w:r>
        <w:t xml:space="preserve"> This article is a focus on Globalization of the economy, which has become, over the past four decades, a new field of study in world politics. Its impact on the world order draws all eyes to the political system put in place since the end of the Second World War and the collapse of the Soviet Union, marking the end of the Cold War and the rise of the United States on the international arena. It encompasses all human activities related to production, economy, trade, finance and even migration. Globalization is the fruit of liberal democracy promoted by the Western civilization, which proclaims individualism, that means, people are born equal and free, which freedom is more important than justice and authority, and then, since people are capable of reasoning, this leads them to self-actualization and prosperity. The right to freedom and self-determination of peoples become the cornerstone of the neoliberal ideology that promotes the principles of economic liberalization, that is, the rights of states and peoples to productivity, commercialization and privatization of the economy. The principles that allowed the re-foundation of the State, born with the Treaty of Westphalia in 1648, putting an end to private or religious wars, and enshrining the principles of territoriality, sovereignty and self-determination, have admitted that States can no longer continue to remain hidden behin</w:t>
      </w:r>
    </w:p>
    <w:p>
      <w:pPr/>
      <w:r>
        <w:rPr>
          <w:b/>
        </w:rPr>
        <w:t>POSSIBLE 2024:</w:t>
      </w:r>
      <w:r>
        <w:t xml:space="preserve"> State and politics in the transitional era of globalization: Twisting and turning toward authoritarian and hybrid regimes — https://doi.org/10.1111/polp.12603</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Beyond its discontented thesis, globalization has had a difficult time in the last few years, owing to the global financial crises of 2008–2009 when its vacuous premises and promises were widely contested for being an unfair deal. The recent rise of nationalist and populist movements across the West and the East, boosted by the COVID‐19 pandemic, now threatens its survival. However, globalization experts are largely divided in charting its future; while some predict the demise of the existing world order, others believe globalization will continue with some restructuring. By analyzing the global political dynamics and reviewing political and scholarly news and views, we argue that globalization is currently undergoing a transitional era with a new paradox—one characterized by the emergence of a multipolar world but with local identity and tradition‐based politics. The upshot is that the state with the border is re‐emerging alongside authoritarian and hybrid regimes. Related Articles Kane, John, and Haig Patapan. 2010. “Recovering Justice: Political Legitimacy Reconsidered.” Politics &amp; Policy 38(3): 589–610. https://doi.org/10.1111/j.1747‐1346.2010.00250.x . Quinn, Adam. 2007. “The Great Illusion: Chimeras of Isolationism and Realism in Post‐Iraq U.S. Foreign Policy.” Politics &amp; Policy 35(3): 522–47. https://doi.org/10.1111/j.1747‐1346.2007.00071.x . Zaidi, Syed Muhamma</w:t>
      </w:r>
    </w:p>
    <w:p>
      <w:pPr/>
      <w:r>
        <w:rPr>
          <w:b/>
        </w:rPr>
        <w:t>POSSIBLE 2023:</w:t>
      </w:r>
      <w:r>
        <w:t xml:space="preserve"> Architecture and the politics of nationalism in the era of globalization — https://doi.org/10.54203/jaas.2023.2</w:t>
      </w:r>
    </w:p>
    <w:p>
      <w:pPr/>
      <w:r>
        <w:rPr>
          <w:b/>
        </w:rPr>
        <w:t>Shared claim-specific concepts:</w:t>
      </w:r>
      <w:r>
        <w:t xml:space="preserve"> political, era, well; EU scope not established. This is a provisional connection, not an outcome finding.</w:t>
      </w:r>
    </w:p>
    <w:p>
      <w:pPr>
        <w:pStyle w:val="SourceNote"/>
      </w:pPr>
      <w:r>
        <w:rPr>
          <w:b/>
        </w:rPr>
        <w:t>Available abstract (not full text):</w:t>
      </w:r>
      <w:r>
        <w:t xml:space="preserve"> Architecture is a physical force and a communication medium that speaks to power of value and ideals of a society through effective communication of socio-political messages embedded in its physical configurations. It helps to create the physical as well as the political institutions of establishments in the society that embodies the civilization codes of “law and order.” However, the power of architecture as a political propaganda tool is reminiscent of nationalism in many facets and circumstances. In the past imperial establishments, the ruler used architecture as a control tool to influence the people’s perception of the state and the achievements of the civilization. Whereas, the later civilization of globalization in the 21st century helps to create the institutional establishments of democratic architecture with a renewed strategy to wield power to entertain and gain political and socio-economic supports for the governments and corporate organizations. This review therefore demonstrates the role of architecture in the politics of power and influence vividly evident in the emergent democracies and some current establishments of globalization, a case reference of Dubai.</w:t>
      </w:r>
    </w:p>
    <w:p>
      <w:pPr>
        <w:pStyle w:val="Heading2"/>
      </w:pPr>
      <w:r>
        <w:t>653.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2025:</w:t>
      </w:r>
      <w:r>
        <w:t xml:space="preserve"> Readiness to Change and the Intention to Consume Novel Foods: Evidence from Linear Discriminant Analysis — https://doi.org/10.3390/su17114902</w:t>
      </w:r>
    </w:p>
    <w:p>
      <w:pPr/>
      <w:r>
        <w:rPr>
          <w:b/>
        </w:rPr>
        <w:t>Shared claim-specific concepts:</w:t>
      </w:r>
      <w:r>
        <w:t xml:space="preserve"> food, sustainable, climate; EU scope not established. This is a provisional connection, not an outcome finding.</w:t>
      </w:r>
    </w:p>
    <w:p>
      <w:pPr>
        <w:pStyle w:val="SourceNote"/>
      </w:pPr>
      <w:r>
        <w:rPr>
          <w:b/>
        </w:rPr>
        <w:t>Available abstract (not full text):</w:t>
      </w:r>
      <w:r>
        <w:t xml:space="preserve"> The challenges associated with climate change have led to the need for pro-environmental behaviors, including the consumption of sustainable novel foods. Despite the importance of sustainable food for the environment, there is still a need to further investigate the psychological determinants of consumer behavior change putatively able to promote the use of novel foods. In line with this, the aim of the present study was to investigate the role of readiness to change (RTC) in shaping the intention to consume sustainable foods (e.g., chia seeds and edible insects). RTC refers to a valuable construct composed of seven different dimensions, namely perceived importance of the problem/change, motivation, self-efficacy, effectiveness of proposed solution, social support, action and involvement, and perceived readiness. In keeping with this, a cross-sectional study was conducted by collecting from 1252 participants through an online and anonymous survey. In line with the aim above, a linear discriminant analysis was performed to explore potential non-linear relationships between RTC and novel food consumption. The results highlighted certain RTC dimensions (e.g., perceived importance of the problem, action, and self-efficacy) able to positively support the intention to consume novel foods (e.g., chia seeds and spirulina algae). In conclusion, the study pointed out evidence regarding p</w:t>
      </w:r>
    </w:p>
    <w:p>
      <w:pPr/>
      <w:r>
        <w:rPr>
          <w:b/>
        </w:rPr>
        <w:t>POSSIBLE 2024:</w:t>
      </w:r>
      <w:r>
        <w:t xml:space="preserve"> European Forest Type Map — https://doi.org/10.5194/egusphere-egu24-3418</w:t>
      </w:r>
    </w:p>
    <w:p>
      <w:pPr/>
      <w:r>
        <w:rPr>
          <w:b/>
        </w:rPr>
        <w:t>Shared claim-specific concepts:</w:t>
      </w:r>
      <w:r>
        <w:t xml:space="preserve"> types, along, climate, mitigation, system, aims; EU scope visible. This is a provisional connection, not an outcome finding.</w:t>
      </w:r>
    </w:p>
    <w:p>
      <w:pPr>
        <w:pStyle w:val="SourceNote"/>
      </w:pPr>
      <w:r>
        <w:rPr>
          <w:b/>
        </w:rPr>
        <w:t>Available abstract (not full text):</w:t>
      </w:r>
      <w:r>
        <w:t xml:space="preserve"> Forest types are key factors to consider when monitoring forests, particularly in consideration of the increasing need to assess how climate change is affecting different forests in Europe and beyond. A comprehensive classification system is indeed essential for understanding the diverse forest ecosystems, tracking their changes over time and across various spatial and geographical scales. Moreover, it provides valuable insights on the baseline conditions and current states of forest ecosystems, aiding in decision-making for conservation and resource management. A "forest type classification scheme" aims to break down extensive forested areas, like stocked forest land, into smaller, more similar units. This breakdown helps streamline the analysis, interpretation, and communication of forest-related data. In Europe, the European Forest Types (EFT) classification system has demonstrated its effectiveness and user-friendliness in facilitating the comprehension, interpretation, and dissemination of data regarding indicators that depict the conditions and changes within European forests, as well as forest management practices. The EFT, could support a standardised reporting of several forest area related indicators. This includes assessments of biodiversity, organised into ecologically similar groups across the entire European region. However, until now, there was no EFTs map availa</w:t>
      </w:r>
    </w:p>
    <w:p>
      <w:pPr/>
      <w:r>
        <w:rPr>
          <w:b/>
        </w:rPr>
        <w:t>POSSIBLE 2024:</w:t>
      </w:r>
      <w:r>
        <w:t xml:space="preserve"> Cross‐border dimensions of Arctic climate change impacts and implications for Europe — https://doi.org/10.1002/wcc.905</w:t>
      </w:r>
    </w:p>
    <w:p>
      <w:pPr/>
      <w:r>
        <w:rPr>
          <w:b/>
        </w:rPr>
        <w:t>Shared claim-specific concepts:</w:t>
      </w:r>
      <w:r>
        <w:t xml:space="preserve"> demonstrate, climate;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demonstrate, climate, mitigation;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Natural Hazards in a Changing World: Methods for Analyzing Trends and Non‐Linear Changes — https://doi.org/10.1029/2023ef003553</w:t>
      </w:r>
    </w:p>
    <w:p>
      <w:pPr/>
      <w:r>
        <w:rPr>
          <w:b/>
        </w:rPr>
        <w:t>Shared claim-specific concepts:</w:t>
      </w:r>
      <w:r>
        <w:t xml:space="preserve"> types, dynamics, assess; EU scope visible. This is a provisional connection, not an outcome finding.</w:t>
      </w:r>
    </w:p>
    <w:p>
      <w:pPr>
        <w:pStyle w:val="SourceNote"/>
      </w:pPr>
      <w:r>
        <w:rPr>
          <w:b/>
        </w:rPr>
        <w:t>Available abstract (not full text):</w:t>
      </w:r>
      <w:r>
        <w:t xml:space="preserve"> Abstract Estimating the frequency and magnitude of natural hazards largely hinges on stationary models, which do not account for changes in the climatological, hydrological, and geophysical baseline conditions. Using five diverse case studies encompassing various natural hazard types, we present advanced statistical and machine learning methods to analyze and model transient states from long‐term inventory data. A novel storminess metric reveals increasing European winter windstorm severity from 1950 to 2010. Non‐stationary extreme value models quantify trends, seasonal shifts, and regional differences in extreme precipitation for Germany between 1941 and 2021. Utilizing quantile sampling and empirical mode decomposition on 148 years of daily weather and discharge data in the European Alps, we assess the impacts of changing snow cover, precipitation, and anthropogenic river network modifications on river runoff. Moreover, a probabilistic framework estimates return periods of glacier lake outburst floods in the Himalayas, demonstrating large differences in 100‐year flood levels. Utilizing a Bayesian change point algorithm, we track the onset of increased seismicity in the southern central United States and find correlation with wastewater injections into deep wells. In conclusion, data science reveals transient states for very different natural hazard types, characterized by div</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demonstrate, food, sustainable;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2023:</w:t>
      </w:r>
      <w:r>
        <w:t xml:space="preserve"> Reduced grazing and changes in the area of agroforestry in Europe — https://doi.org/10.3389/fenvs.2023.1258697</w:t>
      </w:r>
    </w:p>
    <w:p>
      <w:pPr/>
      <w:r>
        <w:rPr>
          <w:b/>
        </w:rPr>
        <w:t>Shared claim-specific concepts:</w:t>
      </w:r>
      <w:r>
        <w:t xml:space="preserve"> types, food, system;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Deep learning-based classification of atmospheric circulation types over Europe in a CMIP6 Large Ensemble — https://doi.org/10.5194/ems2023-327</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The 29 circulation types by Hess &amp; Brezowsky, called “Großwetterlagen”, are one of the most established classification schemes of the large-scale atmospheric circulation influencing Europe. They are widely used in order to assess linkages between atmospheric forcing and surface conditions e.g. extreme events like floods or heat waves. Because of the connection between driving circulation type and extreme event, it is of high interest to understand future changes in the occurrence of circulation types in the context of climate change. Even though the “Großwetterlagen” have been commonly used in conjunction with historical data, only very few studies examine future trends in the frequency distribution of these circulation types using climate models. Potential reasons for this, are the lack of an open-source classification method of the “Großwetterlagen” and their high range of internal variability. Due to the dynamic nature of the large-scale atmospheric circulation in the mid-latitudes, it is highly relevant to consider the range of internal variability when studying future changes in circulation patterns and to separate the climate change signal from noise. We have therefore developed an open-source, automated method for classifying the “Großwetterlagen” using deep learning. We apply this method to the SMHI-LE, an initial-condition single-model large ensemble of the CMIP6 gener</w:t>
      </w:r>
    </w:p>
    <w:p>
      <w:pPr/>
      <w:r>
        <w:rPr>
          <w:b/>
        </w:rPr>
        <w:t>POSSIBLE 2023:</w:t>
      </w:r>
      <w:r>
        <w:t xml:space="preserve"> Health Benefits of Consuming Foods with Bacterial Probiotics, Postbiotics, and Their Metabolites: A Review — https://doi.org/10.3390/molecules28031230</w:t>
      </w:r>
    </w:p>
    <w:p>
      <w:pPr/>
      <w:r>
        <w:rPr>
          <w:b/>
        </w:rPr>
        <w:t>Shared claim-specific concepts:</w:t>
      </w:r>
      <w:r>
        <w:t xml:space="preserve"> demonstrate, food, aims; EU scope not established. This is a provisional connection, not an outcome finding.</w:t>
      </w:r>
    </w:p>
    <w:p>
      <w:pPr>
        <w:pStyle w:val="SourceNote"/>
      </w:pPr>
      <w:r>
        <w:rPr>
          <w:b/>
        </w:rPr>
        <w:t>Available abstract (not full text):</w:t>
      </w:r>
      <w:r>
        <w:t xml:space="preserve"> Over the years, probiotics have been extensively studied within the medical, pharmaceutical, and food fields, as it has been revealed that these microorganisms can provide health benefits from their consumption. Bacterial probiotics comprise species derived from lactic acid bacteria (LAB) (genus Lactobacillus, Leuconostoc, and Streptococcus), the genus Bifidobacterium, and strains of Bacillus and Escherichia coli, among others. The consumption of probiotic products is increasing due to the current situation derived from the pandemic caused by COVID-19. Foods with bacterial probiotics and postbiotics are premised on being healthier than those not incorporated with them. This review aims to present a bibliographic compilation related to the incorporation of bacterial probiotics in food and to demonstrate through in vitro and in vivo studies or clinical trials the health benefits obtained with their metabolites and the consumption of foods with bacterial probiotics/postbiotics. The health benefits that have been reported include effects on the digestive tract, metabolism, antioxidant, anti-inflammatory, anticancer, and psychobiotic properties, among others. Therefore, developing food products with bacterial probiotics and postbiotics is a great opportunity for research in food science, medicine, and nutrition, as well as in the food industry.</w:t>
      </w:r>
    </w:p>
    <w:p>
      <w:pPr/>
      <w:r>
        <w:rPr>
          <w:b/>
        </w:rPr>
        <w:t>POSSIBLE 2023:</w:t>
      </w:r>
      <w:r>
        <w:t xml:space="preserve"> Insects as food - Changes in consumers’ acceptance of entomophagy in Hungary between 2016 and 2021 — https://doi.org/10.1016/j.appet.2023.106770</w:t>
      </w:r>
    </w:p>
    <w:p>
      <w:pPr/>
      <w:r>
        <w:rPr>
          <w:b/>
        </w:rPr>
        <w:t>Shared claim-specific concepts:</w:t>
      </w:r>
      <w:r>
        <w:t xml:space="preserve"> food, aims; EU scope visible. This is a provisional connection, not an outcome finding.</w:t>
      </w:r>
    </w:p>
    <w:p>
      <w:pPr>
        <w:pStyle w:val="SourceNote"/>
      </w:pPr>
      <w:r>
        <w:rPr>
          <w:b/>
        </w:rPr>
        <w:t>Available abstract (not full text):</w:t>
      </w:r>
      <w:r>
        <w:t xml:space="preserve"> Public interest in entomophagy (consumption of insects) has developed significantly over the past several years. Possible nutritional benefits are perceived by consumers according to several recent studies, as well as sustainability and food security. However, most European communities, including the Hungarian, do not embrace entomophagy, despite the widespread practice elsewhere globally. This study aims to evaluate the changes in the perception of entomophagy among the Hungarian population between 2016 and 2021, together with the factors differentiating between acceptive and dismissive consumers. The results of the two representative quantitative surveys indicate that more than 70% of Hungarian consumers are not willing to try entomophagy, which had not changed significantly in the observed period, despite the high media coverage of this topic in recent years. Some groups open to insect consumption can still be identified. According to the socioeconomic segmentation of the data collected in 2021, consumers who accept insect-based foods can be found in high numbers among men between 18 and 39 years old (49.3%). Positive attitudes are less likely to be observed among females; however, 27.6% of highly educated women between 18 and 59 years demonstrated a certain level of interest. Those consumers willing to consume insects are driven mainly by curiosity, and also value high prot</w:t>
      </w:r>
    </w:p>
    <w:p>
      <w:pPr>
        <w:pStyle w:val="Heading2"/>
      </w:pPr>
      <w:r>
        <w:t>654.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2026:</w:t>
      </w:r>
      <w:r>
        <w:t xml:space="preserve"> The economics of Decarbonizing Road Freight Transport – comparing Europe, USA and China — https://doi.org/10.34726/hss.2026.134201</w:t>
      </w:r>
    </w:p>
    <w:p>
      <w:pPr/>
      <w:r>
        <w:rPr>
          <w:b/>
        </w:rPr>
        <w:t>Shared claim-specific concepts:</w:t>
      </w:r>
      <w:r>
        <w:t xml:space="preserve"> outcomes, show, road, transport, emission, reductions; EU scope visible. This is a provisional connection, not an outcome finding.</w:t>
      </w:r>
    </w:p>
    <w:p>
      <w:pPr>
        <w:pStyle w:val="SourceNote"/>
      </w:pPr>
      <w:r>
        <w:rPr>
          <w:b/>
        </w:rPr>
        <w:t>Available abstract (not full text):</w:t>
      </w:r>
      <w:r>
        <w:t xml:space="preserve"> This thesis examines the techno-economic and environmental feasibility of decarbonizing long-haul heavy-duty road freight through battery-electric vehicles (BEVs) and fuel-cell vehicles (FCVs) in comparison with conventional diesel trucks. The primary focus lies on Europe, complemented by comparative case analyses for the United States and China in order to account for differences in energy systems, cost structures, and policy frameworks.An integrated modelling framework was developed that combines a discounted-cash-flow-based Total Cost of Ownership (TCO) model with a life-cycle assessment (LCA). The analysis is based on a representative 40-tonne long-haul truck with an annual mileage of 120,000 km and a lifetime mileage of 960,000 km. The TCO model includes vehicle and infrastructure capital expenditure, energy costs, maintenance, tolls, insurance, and residual values, while the LCA covers well-to-tank, tank-to-wheel, and manufacturing-related greenhouse gas emissions. In addition, operational parameters relevant to freight transport, including payload effects, ambient-temperature-related energy consumption, charging downtime, and battery degradation represented through residual value effects, are incorporated into the analytical framework. Where consistent market data were unavailable for all countries and years, intermediate values were derived using transparent interpolati</w:t>
      </w:r>
    </w:p>
    <w:p>
      <w:pPr/>
      <w:r>
        <w:rPr>
          <w:b/>
        </w:rPr>
        <w:t>POSSIBLE 2025:</w:t>
      </w:r>
      <w:r>
        <w:t xml:space="preserve"> Investigating the preferences for autonomous vehicle use in European road transport: a binary logit model — https://doi.org/10.1038/s44333-025-00055-3</w:t>
      </w:r>
    </w:p>
    <w:p>
      <w:pPr/>
      <w:r>
        <w:rPr>
          <w:b/>
        </w:rPr>
        <w:t>Shared claim-specific concepts:</w:t>
      </w:r>
      <w:r>
        <w:t xml:space="preserve"> show, road, transport, policies; EU scope visible. This is a provisional connection, not an outcome finding.</w:t>
      </w:r>
    </w:p>
    <w:p>
      <w:pPr>
        <w:pStyle w:val="SourceNote"/>
      </w:pPr>
      <w:r>
        <w:rPr>
          <w:b/>
        </w:rPr>
        <w:t>Available abstract (not full text):</w:t>
      </w:r>
      <w:r>
        <w:t xml:space="preserve"> This research study investigates the factors shaping European citizens’ perceptions and decisions regarding the adoption of Autonomous Vehicles (AVs). Key aspects such as safety, infrastructure readiness, data protection, legislation, and vehicle cost, were identified through a literature review. An online stated preference survey collected 235 responses across Europe, which were analyzed using Binary Logistic Regression. Findings reveal that safety is the most influential factor, followed by road infrastructure and legislative support. Socio-demographic patterns show that younger and higher-income individuals are more likely to adopt AVs, while drivers of cars and motorcycles express more favorable attitudes toward automation. These insights emphasize the need to address regulatory, infrastructural, and social barriers to support AV integration. The study offers guidance for developing targeted strategies and policies to accelerate AV adoption in Europe, ensuring their benefits are accessible to a wide range of users.</w:t>
      </w:r>
    </w:p>
    <w:p>
      <w:pPr/>
      <w:r>
        <w:rPr>
          <w:b/>
        </w:rPr>
        <w:t>POSSIBLE 2025:</w:t>
      </w:r>
      <w:r>
        <w:t xml:space="preserve"> Green Energy Fuelling Stations in Road Transport: Poland in the European and Global Context — https://doi.org/10.3390/en18154110</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The transition to green energy in the transport sector is becoming a priority in the context of global climate challenges and the European Green Deal. This paper investigates the development of alternative fuelling stations, particularly electric vehicle (EV) charging infrastructure and hydrogen stations, across EU countries with a focus on Poland. It combines a policy and technology overview with a quantitative scientific analysis, offering a multidimensional perspective on green infrastructure deployment. A Pearson correlation analysis reveals significant links between charging station density and both GDP per capita and the share of renewable energy. The study introduces an original Infrastructure Accessibility Index (IAI) to compare infrastructure availability across EU member states and models Poland’s EV charging station demand up to 2030 under multiple growth scenarios. Furthermore, the article provides a comprehensive overview of biofuels, including first-, second-, and third-generation technologies, and highlights recent advances in hydrogen and renewable electricity integration. Emphasis is placed on life cycle considerations, energy source sustainability, and economic implications. The findings support policy development toward zero-emission mobility and the decarbonisation of transport systems, offering recommendations for infrastructure expansion and energy diversi</w:t>
      </w:r>
    </w:p>
    <w:p>
      <w:pPr/>
      <w:r>
        <w:rPr>
          <w:b/>
        </w:rPr>
        <w:t>POSSIBLE 2024:</w:t>
      </w:r>
      <w:r>
        <w:t xml:space="preserve"> Critical diameter for a single-tank molten salt storage – Parametric study on structural tank design — https://doi.org/10.1016/j.est.2024.113870</w:t>
      </w:r>
    </w:p>
    <w:p>
      <w:pPr/>
      <w:r>
        <w:rPr>
          <w:b/>
        </w:rPr>
        <w:t>Shared claim-specific concepts:</w:t>
      </w:r>
      <w:r>
        <w:t xml:space="preserve"> show, tank, best; EU scope not established. This is a provisional connection, not an outcome finding.</w:t>
      </w:r>
    </w:p>
    <w:p>
      <w:pPr>
        <w:pStyle w:val="SourceNote"/>
      </w:pPr>
      <w:r>
        <w:rPr>
          <w:b/>
        </w:rPr>
        <w:t>Available abstract (not full text):</w:t>
      </w:r>
      <w:r>
        <w:t xml:space="preserve"> Molten salt thermal energy storage (TES) is a cost-effective option for grid-connected storage in both concentrating solar power (CSP) plants and retrofitted thermal power plants in a multimegawatt scale. Current systems use two tanks (hot and cold), but future systems may use a single tank with a transient temperature profile (hot in the top and cold in the bottom) to reduce costs and space. However, the structural and mechanical design of large-scale molten salt single-tank storages at 560 °C has not been fully explored, and the impact of increasing the operating temperature to 620 °C is still uncertain. The challenge presented by a single tank is the existence of a temperature profile that results in a varying thermal expansion of the tank shell along its height. In the case of larger tanks, this discrepancy can reach a magnitude of centimeters, which in turn gives rise to bending moments. To the best of our knowledge, this study addresses the issue of bending stresses in large-sized high-temperature tanks with thermal stratification for the first time. The modelling approach is applied to single-tank CSP TES systems as a case study to evaluate the constraints imposed by tank size and wall thickness. With the help of experimentally validated numerical methods, it is revealed that a low thermocline thickness can be a limiting factor for large tank diameters. It is shown that </w:t>
      </w:r>
    </w:p>
    <w:p>
      <w:pPr/>
      <w:r>
        <w:rPr>
          <w:b/>
        </w:rPr>
        <w:t>POSSIBLE 2023:</w:t>
      </w:r>
      <w:r>
        <w:t xml:space="preserve"> Design and optimization of a type-C tank for liquid hydrogen marine transport — https://doi.org/10.1016/j.ijhydene.2023.05.102</w:t>
      </w:r>
    </w:p>
    <w:p>
      <w:pPr/>
      <w:r>
        <w:rPr>
          <w:b/>
        </w:rPr>
        <w:t>Shared claim-specific concepts:</w:t>
      </w:r>
      <w:r>
        <w:t xml:space="preserve"> outcomes, tank, transport; EU scope not established. This is a provisional connection, not an outcome finding.</w:t>
      </w:r>
    </w:p>
    <w:p>
      <w:pPr>
        <w:pStyle w:val="SourceNote"/>
      </w:pPr>
      <w:r>
        <w:rPr>
          <w:b/>
        </w:rPr>
        <w:t>Available abstract (not full text):</w:t>
      </w:r>
      <w:r>
        <w:t xml:space="preserve"> As one of the most promising renewable energy sources, hydrogen has the excellent environmental benefit of producing zero emissions. A key technical challenge in using hydrogen across sectors is placed on its storage technology. The storage temperature of liquid hydrogen (20 K, or −253 °C) is close to absolute zero so the storage materials and the insulation layers are subjected to extremely stringent requirements against the cryogenic behaviour of the medium. In this context, this research proposed to design a large liquid hydrogen type-C tank with AISI (American Iron and Steel Institution) type 316 L stainless steel as the metal barrier, using Vapor-Cooled Shield (VCS) and Rigid Polyurethane Foams (RPF) as the insulation layer. A parametric study on the design of the insulation layer was carried out by establishing a thermodynamic model. The effects of VCS location on heat ingress to the liquid hydrogen transport tank and insulation temperature distribution were investigated, and the optimal location of the VCS in the insulation was identified. Research outcomes finally suggest two optimal design schemes: (1) when the thickness of the insulation layer is determined, Self-evaporation Vapor-Cooled Shield (SVCS) and Forced-evaporation Vapor-Cooled Shield (FVCS) can reduce heat transfer by 47.84% and 85.86% respectively; (2) when the liquid hydrogen evaporation capacity is determ</w:t>
      </w:r>
    </w:p>
    <w:p>
      <w:pPr/>
      <w:r>
        <w:rPr>
          <w:b/>
        </w:rPr>
        <w:t>POSSIBLE 2023:</w:t>
      </w:r>
      <w:r>
        <w:t xml:space="preserve"> Assessment: Road transport — https://doi.org/10.1787/e8065a49-en</w:t>
      </w:r>
    </w:p>
    <w:p>
      <w:pPr/>
      <w:r>
        <w:rPr>
          <w:b/>
        </w:rPr>
        <w:t>Shared claim-specific concepts:</w:t>
      </w:r>
      <w:r>
        <w:t xml:space="preserve"> outcomes, road, transport; EU scope not established. This is a provisional connection, not an outcome finding.</w:t>
      </w:r>
    </w:p>
    <w:p>
      <w:pPr>
        <w:pStyle w:val="SourceNote"/>
      </w:pPr>
      <w:r>
        <w:rPr>
          <w:b/>
        </w:rPr>
        <w:t>Available abstract (not full text):</w:t>
      </w:r>
      <w:r>
        <w:t xml:space="preserve"> Driving is a major source of carbon emissions, local air pollutants, congestion and noise and can contribute to road accidents. Particular in urban areas, congestion and air pollution are of key concern. Such damage on the environment and on society – commonly referred to as external costs – are typically not reflected in an individual’s or a firm’s decision to own and drive a car. Tax policy can contribute to reflecting the full costs from environmental damage in drivers’ and vehicle owners’ decision making process by relating a price to it, thereby improving transport and environmental outcomes.</w:t>
      </w:r>
    </w:p>
    <w:p>
      <w:pPr/>
      <w:r>
        <w:rPr>
          <w:b/>
        </w:rPr>
        <w:t>POSSIBLE 2023:</w:t>
      </w:r>
      <w:r>
        <w:t xml:space="preserve"> Simulation of the Progress of the Decarbonization Process in Poland’s Road Transport Sector — https://doi.org/10.3390/en16124635</w:t>
      </w:r>
    </w:p>
    <w:p>
      <w:pPr/>
      <w:r>
        <w:rPr>
          <w:b/>
        </w:rPr>
        <w:t>Shared claim-specific concepts:</w:t>
      </w:r>
      <w:r>
        <w:t xml:space="preserve"> outcomes, road, transport, emission, electrification, all; EU scope visible. This is a provisional connection, not an outcome finding.</w:t>
      </w:r>
    </w:p>
    <w:p>
      <w:pPr>
        <w:pStyle w:val="SourceNote"/>
      </w:pPr>
      <w:r>
        <w:rPr>
          <w:b/>
        </w:rPr>
        <w:t>Available abstract (not full text):</w:t>
      </w:r>
      <w:r>
        <w:t xml:space="preserve"> In the years ahead, the majority of the EU member states will be implementing their energy and climate plans. These plans are aimed at fulfilling obligations related to the strategy for the Sustainable and Smart Mobility Strategy and the “Fit for 55” package. The European Commission has presented highly challenging proposals for the decarbonization of the transport sector through electrification and support for innovation. The decarbonization of transport will not be possible without cooperation and mutual understanding between manufacturers, suppliers, and customers, or without proper organization of the transport process itself. High-emission means of transport must be replaced with low-emission ones. In the EU, road transport generates 70% of all transport emissions. There are few scalable decarbonization opportunities in the transport sector. Various kinds of solutions should be promoted, yet at the same time, it is imperative to analyze the current situation and forecast desirable potential future outcomes. By employing optimization theory tools, specifically the SOLVER add-in—an Excel-based optimization tool—the optimum structure of the stock of road transport vehicles in Poland’s commercial road transport sector was searched for. Several research hypotheses were formulated, primarily focusing on the potential for electric vehicles to reduce emissions significantly. These</w:t>
      </w:r>
    </w:p>
    <w:p>
      <w:pPr/>
      <w:r>
        <w:rPr>
          <w:b/>
        </w:rPr>
        <w:t>POSSIBLE 2022:</w:t>
      </w:r>
      <w:r>
        <w:t xml:space="preserve"> Teaching Acoustics at the EELISA THINK TANK on SUSTAINABLE BUILDINGS — https://doi.org/10.61782/fa.2023.1301</w:t>
      </w:r>
    </w:p>
    <w:p>
      <w:pPr/>
      <w:r>
        <w:rPr>
          <w:b/>
        </w:rPr>
        <w:t>Shared claim-specific concepts:</w:t>
      </w:r>
      <w:r>
        <w:t xml:space="preserve"> outcomes, tank, all; EU scope visible. This is a provisional connection, not an outcome finding.</w:t>
      </w:r>
    </w:p>
    <w:p>
      <w:pPr>
        <w:pStyle w:val="SourceNote"/>
      </w:pPr>
      <w:r>
        <w:rPr>
          <w:b/>
        </w:rPr>
        <w:t>Available abstract (not full text):</w:t>
      </w:r>
      <w:r>
        <w:t xml:space="preserve"> Building acoustics should be seen as a transversal discussion with all the disciplines involved in construction and introducing acoustics to non-acousticians in the construction industry is often challenging.This paper aims at describing the outcomes and methodology of teaching acoustics used during the THINK TANK on SUSTAINABLE BUILDINGS, an activity organized by EELISA, an alliance of Higher Education Institutions from different countries in Europe meant to define and implement a common model of European engineer rooted in society.The EELISA Community "SUSBCC.Technical and Social Challenges for Sustainable Buildings, Cities and Communities" together with the European Space Agency (ESA) planned and coordinated more than 30 workshops in Madrid ESA Headquarters, which were held between students, industry and scientific communities as well as wrap up and integrating sessions.</w:t>
      </w:r>
    </w:p>
    <w:p>
      <w:pPr/>
      <w:r>
        <w:rPr>
          <w:b/>
        </w:rPr>
        <w:t>POSSIBLE 2022:</w:t>
      </w:r>
      <w:r>
        <w:t xml:space="preserve"> European road transport policy assessment: a case study for Germany — https://doi.org/10.1186/s12302-022-00663-7</w:t>
      </w:r>
    </w:p>
    <w:p>
      <w:pPr/>
      <w:r>
        <w:rPr>
          <w:b/>
        </w:rPr>
        <w:t>Shared claim-specific concepts:</w:t>
      </w:r>
      <w:r>
        <w:t xml:space="preserve"> outcomes, road, transport, co2, policies; EU scope visible. This is a provisional connection, not an outcome finding.</w:t>
      </w:r>
    </w:p>
    <w:p>
      <w:pPr>
        <w:pStyle w:val="SourceNote"/>
      </w:pPr>
      <w:r>
        <w:rPr>
          <w:b/>
        </w:rPr>
        <w:t>Available abstract (not full text):</w:t>
      </w:r>
      <w:r>
        <w:t xml:space="preserve"> Abstract In the EU, the transport sector is the only sector with increasing GHG emissions compared to 1990. While harmful emissions have decreased due to successful regulation, transport performance, fossil fuel consumption and thus CO2 emissions have continued to increase, despite powertrain efficiency improvements. Meaningful regulation, which can be market-based (MBI) and non-market-based (NMBI) by nature, is needed to meet climate targets. To understand the mechanisms, effects and limitations of MBI and NMBI, this study investigates and evaluates selected regulations in the German road transportation sector until 2020. Therefore, this study identifies, describes, and categorizes environmental policy instrument types. Based on this step, selected instruments in the road transportation sector are identified by their type and implemented policies are described and assessed. Furthermore, an assessment methodology is developed to evaluate and score target achievement, cost-efficiency and practical feasibility by linking the outcomes of instruments to its goals. Based on the findings of this assessment, conclusions and recommendations are developed and discussed. Finally, results and general properties of policies and their type of instruments are extrapolated, and general statements about market and non-market-based instruments in a broader context for future regulation and mark</w:t>
      </w:r>
    </w:p>
    <w:p>
      <w:pPr>
        <w:pStyle w:val="Heading2"/>
      </w:pPr>
      <w:r>
        <w:t>655.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2026:</w:t>
      </w:r>
      <w:r>
        <w:t xml:space="preserve"> Integrated Digital Garment Modeling and Monte Carlo Simulation of a Water‐Based Radiation Protection Vest for Spaceflight Radiation Hazards — https://doi.org/10.1029/2026sw005103</w:t>
      </w:r>
    </w:p>
    <w:p>
      <w:pPr/>
      <w:r>
        <w:rPr>
          <w:b/>
        </w:rPr>
        <w:t>Shared claim-specific concepts:</w:t>
      </w:r>
      <w:r>
        <w:t xml:space="preserve"> radiation, hazards, events, astronauts, space; EU scope not established. This is a provisional connection, not an outcome finding.</w:t>
      </w:r>
    </w:p>
    <w:p>
      <w:pPr>
        <w:pStyle w:val="SourceNote"/>
      </w:pPr>
      <w:r>
        <w:rPr>
          <w:b/>
        </w:rPr>
        <w:t>Available abstract (not full text):</w:t>
      </w:r>
      <w:r>
        <w:t xml:space="preserve"> Abstract As crewed space missions set course for the Moon and beyond, astronauts will experience prolonged exposure to Galactic Cosmic Rays (GCR) and potentially intense Solar Proton Events (SPEs), both of which pose significant short‐ and long‐term health risks. These conditions underscore the need for a better systemic understanding of radiation protection requirements and for developing personal protective equipment that maintains astronaut safety and operational readiness. This paper presents a new concept and design for a water‐filled radiation‐protection garment tailored for deep‐space missions. The approach integrates organ‐specific protective performance with ergonomics‐informed garment design considerations for microgravity environments. It highlights the value of a transdisciplinary, iterative workflow for advancing design early in radiation‐shielding research. Using a flux‐to‐dose response function derived from Monte Carlo simulations, we assess Effective Dose (ED) rates at high temporal resolution for SPEs and GCR during 1974–2025. We simulated a digital anthropomorphic phantom inside a spacecraft modeled as a 50 g·cm −2 aluminum shell and found that the garment reduces the GCR‐induced ED by approximately 9%. For missions coinciding with the September–October 1989 solar particle event series, the reduction reaches up to 30%. We also propose an operational procedure </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2025:</w:t>
      </w:r>
      <w:r>
        <w:t xml:space="preserve"> The PIANOFORTE partnership: Elevating European research for enhanced radiation protection — https://doi.org/10.1051/epjn/2025009</w:t>
      </w:r>
    </w:p>
    <w:p>
      <w:pPr/>
      <w:r>
        <w:rPr>
          <w:b/>
        </w:rPr>
        <w:t>Shared claim-specific concepts:</w:t>
      </w:r>
      <w:r>
        <w:t xml:space="preserve"> reliable, radiation, infrastructure; EU scope visible. This is a provisional connection, not an outcome finding.</w:t>
      </w:r>
    </w:p>
    <w:p>
      <w:pPr>
        <w:pStyle w:val="SourceNote"/>
      </w:pPr>
      <w:r>
        <w:rPr>
          <w:b/>
        </w:rPr>
        <w:t>Available abstract (not full text):</w:t>
      </w:r>
      <w:r>
        <w:t xml:space="preserve"> The PIANOFORTE partnership (2022–2029) aims to enhance radiation protection for the public, patients, workers, and the environment across various exposure scenarios. This European initiative addresses key barriers in health and environmental risk research related to ionising radiation and promotes findings that support effective radiation protection policies. By building a comprehensive pan-European scientific and technological foundation, PIANOFORTE ensures that the radiation protection system remains fit-for-purpose, delivers science-based policy recommendations and improved practices across sectors using nuclear technology and ionising radiation, including both energy-related and non-energy applications. In the medical field, PIANOFORTE works to reduce uncertainties in health risk estimates and support innovations in cancer diagnosis and therapies. Other key priorities include developing reliable methods for evaluating radiation protection related to new technologies and managing radiation emergencies, improving strategies for both immediate response and long-term recovery. The Partnership's multi-stage prioritisation mechanism of research needs ensures that developed efforts reflect the perspectives of a broad range of stakeholders, including researchers, policy makers, regulators, implementers and practitioners. This inclusiveness aligns research priorities with pressing s</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r>
        <w:rPr>
          <w:b/>
        </w:rPr>
        <w:t>POSSIBLE 2024:</w:t>
      </w:r>
      <w:r>
        <w:t xml:space="preserve"> Multi-model Physically-based constrained decadal predictions of precipitation over Europe — https://doi.org/10.5194/ems2024-191</w:t>
      </w:r>
    </w:p>
    <w:p>
      <w:pPr/>
      <w:r>
        <w:rPr>
          <w:b/>
        </w:rPr>
        <w:t>Shared claim-specific concepts:</w:t>
      </w:r>
      <w:r>
        <w:t xml:space="preserve"> reliable, prediction; EU scope visible. This is a provisional connection, not an outcome finding.</w:t>
      </w:r>
    </w:p>
    <w:p>
      <w:pPr>
        <w:pStyle w:val="SourceNote"/>
      </w:pPr>
      <w:r>
        <w:rPr>
          <w:b/>
        </w:rPr>
        <w:t>Available abstract (not full text):</w:t>
      </w:r>
      <w:r>
        <w:t xml:space="preserve">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pPr/>
      <w:r>
        <w:rPr>
          <w:b/>
        </w:rPr>
        <w:t>POSSIBLE 2024:</w:t>
      </w:r>
      <w:r>
        <w:t xml:space="preserve"> Explainable artificial intelligence for reliable water demand forecasting to increase trust in predictions — https://doi.org/10.1016/j.watres.2024.122779</w:t>
      </w:r>
    </w:p>
    <w:p>
      <w:pPr/>
      <w:r>
        <w:rPr>
          <w:b/>
        </w:rPr>
        <w:t>Shared claim-specific concepts:</w:t>
      </w:r>
      <w:r>
        <w:t xml:space="preserve"> reliable, prediction, weather, infrastructure; EU scope visible. This is a provisional connection, not an outcome finding.</w:t>
      </w:r>
    </w:p>
    <w:p>
      <w:pPr>
        <w:pStyle w:val="SourceNote"/>
      </w:pPr>
      <w:r>
        <w:rPr>
          <w:b/>
        </w:rPr>
        <w:t>Available abstract (not full text):</w:t>
      </w:r>
      <w:r>
        <w:t xml:space="preserve">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pPr/>
      <w:r>
        <w:rPr>
          <w:b/>
        </w:rPr>
        <w:t>POSSIBLE 2023:</w:t>
      </w:r>
      <w:r>
        <w:t xml:space="preserve"> D5.1 Advanced and Reliable Models for Natural and Man-Made Hazards — https://doi.org/10.5281/zenodo.7620517</w:t>
      </w:r>
    </w:p>
    <w:p>
      <w:pPr/>
      <w:r>
        <w:rPr>
          <w:b/>
        </w:rPr>
        <w:t>Shared claim-specific concepts:</w:t>
      </w:r>
      <w:r>
        <w:t xml:space="preserve"> reliable, hazards; EU scope not established. This is a provisional connection, not an outcome finding.</w:t>
      </w:r>
    </w:p>
    <w:p>
      <w:pPr>
        <w:pStyle w:val="SourceNote"/>
      </w:pPr>
      <w:r>
        <w:rPr>
          <w:b/>
        </w:rPr>
        <w:t>Available abstract (not full text):</w:t>
      </w:r>
      <w:r>
        <w:t xml:space="preserve"> Deliverable 5.1 presents advanced and reliable modelling for a broad spectrum of natural and man-made hazards as pertinent to the four pilot sites of HYPERION in Rhodes, Granada, Venice and Tonsberg, and provides the involved stakeholders, scientists and users useful information for their specific needs in handling natural and human-induced disasters. Models were implemented by AUTH, with the assistance of FMI, RG and NTUA, building on existing research capacity in a broad spectrum of modelling approaches to natural and man-made hazards. Models of climatic impact are described based on environmental parameters (according to a reliability-based approach for durability) in order to define the needed parameters for the modeling purpose.</w:t>
      </w:r>
    </w:p>
    <w:p>
      <w:pPr/>
      <w:r>
        <w:rPr>
          <w:b/>
        </w:rPr>
        <w:t>POSSIBLE 2022:</w:t>
      </w:r>
      <w:r>
        <w:t xml:space="preserve"> Regional prediction of multi-mycotoxin contamination of wheat in Europe using machine learning — https://doi.org/10.1016/j.foodres.2022.111588</w:t>
      </w:r>
    </w:p>
    <w:p>
      <w:pPr/>
      <w:r>
        <w:rPr>
          <w:b/>
        </w:rPr>
        <w:t>Shared claim-specific concepts:</w:t>
      </w:r>
      <w:r>
        <w:t xml:space="preserve"> prediction, weather, grid; EU scope visible. This is a provisional connection, not an outcome finding.</w:t>
      </w:r>
    </w:p>
    <w:p>
      <w:pPr>
        <w:pStyle w:val="SourceNote"/>
      </w:pPr>
      <w:r>
        <w:rPr>
          <w:b/>
        </w:rPr>
        <w:t>Available abstract (not full text):</w:t>
      </w:r>
      <w:r>
        <w:t xml:space="preserve"> Wheat is susceptible to fungal infection and mycotoxin contamination during its cultivation period, under opportune environmental conditions. The presence of mycotoxins, such as deoxynivalenol and zearalenone, in wheat destined for feed and food can affect animal and human health. This study aimed to develop a machine learning algorithm to predict the risk levels of one or more mycotoxins in wheat on a regional basis in Europe using crop phenological data, weather data, and satellite images as input. A dataset was obtained with 11 years of mycotoxin monitoring data (2010-2020), including historical records of the concentration of deoxynivalenol, zearalenone, T-2 toxin and HT-2 toxin, fumonisins, aflatoxins, and/or ochratoxin A in wheat in Europe. This dataset was linked, based on year and grid (25 × 25 km), to wheat phenology data, weather data, and satellite image data. The complete dataset for the years 2010-2018 was split into a model training (80%) and an internal model validation set (20%). Data for the years 2019 and 2020 were used for external validation. The random forest (RF) algorithm was applied to train the model using the model training data. The model predicts the probability (low, medium, high) of wheat grown in a certain grid in Europe to be contaminated with at least one of the six mycotoxins under study. Results showed high prediction performance of the model:</w:t>
      </w:r>
    </w:p>
    <w:p>
      <w:pPr/>
      <w:r>
        <w:rPr>
          <w:b/>
        </w:rPr>
        <w:t>POSSIBLE 2022:</w:t>
      </w:r>
      <w:r>
        <w:t xml:space="preserve"> Large-scale circulation patterns and their influence on European winter windstorm predictions — https://doi.org/10.1007/s00382-022-06455-2</w:t>
      </w:r>
    </w:p>
    <w:p>
      <w:pPr/>
      <w:r>
        <w:rPr>
          <w:b/>
        </w:rPr>
        <w:t>Shared claim-specific concepts:</w:t>
      </w:r>
      <w:r>
        <w:t xml:space="preserve"> prediction, events, weather; EU scope visible. This is a provisional connection, not an outcome finding.</w:t>
      </w:r>
    </w:p>
    <w:p>
      <w:pPr>
        <w:pStyle w:val="SourceNote"/>
      </w:pPr>
      <w:r>
        <w:rPr>
          <w:b/>
        </w:rPr>
        <w:t>Available abstract (not full text):</w:t>
      </w:r>
      <w:r>
        <w:t xml:space="preserve"> Abstract Severe winter windstorms are amongst the most damaging weather events for Europe and show significant interannual variability. While surface variables (temperature, precipitation) have been successfully predicted for some time now, predictability of severe windstorms caused by extra-tropical cyclones remains less well explored. This study investigates windstorm prediction skill of the UK Met Office Global Seasonal Forecast System Version 5 (GloSea5) for the Northeast-Atlantic and European region. Based on an objective Lagrangian tracking of severe, damage relevant windstorms, three storm parameters are analysed: windstorm frequency and two intensity measures. Firstly, skill based on direct tracking of simulated windstorms is diagnosed. Significant positive skill for storm frequency and intensity is found over an extended area at the downstream end of the storm track, i.e., from the UK to southern Scandinavia. The skill for frequency agrees well with previous studies for older model versions, while the results of event-based intensity are novel. Receiver Operating Characteristic Curves for three smaller regions reveal significant skill for high and low storm activity seasons. Second, skill of windstorm characteristics based on their multi-linear regressions to three dominant large-scale circulation patterns [i.e., the North Atlantic Oscillation (NAO), the Scandinavian P</w:t>
      </w:r>
    </w:p>
    <w:p>
      <w:pPr/>
      <w:r>
        <w:rPr>
          <w:b/>
        </w:rPr>
        <w:t>POSSIBLE 2022:</w:t>
      </w:r>
      <w:r>
        <w:t xml:space="preserve"> On the Intersection of Explainable and Reliable AI for Physical Fatigue Prediction — https://doi.org/10.1109/access.2022.3191907</w:t>
      </w:r>
    </w:p>
    <w:p>
      <w:pPr/>
      <w:r>
        <w:rPr>
          <w:b/>
        </w:rPr>
        <w:t>Shared claim-specific concepts:</w:t>
      </w:r>
      <w:r>
        <w:t xml:space="preserve"> reliable, prediction, space; EU scope not established. This is a provisional connection, not an outcome finding.</w:t>
      </w:r>
    </w:p>
    <w:p>
      <w:pPr>
        <w:pStyle w:val="SourceNote"/>
      </w:pPr>
      <w:r>
        <w:rPr>
          <w:b/>
        </w:rPr>
        <w:t>Available abstract (not full text):</w:t>
      </w:r>
      <w:r>
        <w:t xml:space="preserve"> In the era of Industry 4.0, the use of Artificial Intelligence (AI) is widespread in occupational settings. Since dealing with human safety, explainability and trustworthiness of AI are even more important than achieving high accuracy. eXplainable AI (XAI) is investigated in this paper to detect physical fatigue during manual material handling task simulation. Besides comparing global rule-based XAI models (LLM and DT) to black-box models (NN, SVM, XGBoost) in terms of performance, we also compare global models with local ones (LIME over XGBoost). Surprisingly, global and local approaches achieve similar conclusions, in terms of feature importance. Moreover, an expansion from local rules to global rules is designed for Anchors, by posing an appropriate optimization method (Anchors coverage is enlarged from an original low value, 11%, up to 43%). As far as trustworthiness is concerned, rule sensitivity analysis drives the identification of optimized regions in the feature space, where physical fatigue is predicted with zero statistical error. The discovery of such “non-fatigue regions” helps certifying the organizational and clinical decision making.</w:t>
      </w:r>
    </w:p>
    <w:p>
      <w:pPr/>
      <w:r>
        <w:rPr>
          <w:b/>
        </w:rPr>
        <w:t>POSSIBLE 2022:</w:t>
      </w:r>
      <w:r>
        <w:t xml:space="preserve"> Data-Driven Prediction for Reliable Mission-Critical Communications — https://doi.org/10.54337/aau473636365</w:t>
      </w:r>
    </w:p>
    <w:p>
      <w:pPr/>
      <w:r>
        <w:rPr>
          <w:b/>
        </w:rPr>
        <w:t>Shared claim-specific concepts:</w:t>
      </w:r>
      <w:r>
        <w:t xml:space="preserve"> reliable, prediction, tool, power; EU scope visible. This is a provisional connection, not an outcome finding.</w:t>
      </w:r>
    </w:p>
    <w:p>
      <w:pPr>
        <w:pStyle w:val="SourceNote"/>
      </w:pPr>
      <w:r>
        <w:rPr>
          <w:b/>
        </w:rPr>
        <w:t>Available abstract (not full text):</w:t>
      </w:r>
      <w:r>
        <w:t xml:space="preserve"> 5G New Radio (NR) technology is expected to provide connectivity to a wide variety of services with different Quality of Service (QoS) requirements.For some applications, Key Performance Indicators (KPIs) such as reliability, latency, or data rate may have stringent targets, which will be challenging to meet with the existing Radio Resource Management (RRM), QoS, and mobility management procedures.These procedures are mostly reactive, i.e., a service degradation is only mitigated once it has already occurred.Having some prior knowledge of the network conditions that the User Equipment (UE) will experience can help avoid a situation that may be critical for the service.Specifically, the service could benefit from a more proactive QoS management in the so-called mission-critical communications, such as Vehicle-To-Everything (V2X) or Unmanned Aerial Vehicles (UAV) using cellular networks.The need for this approach is stated by associations and groups such as the 5G Automotive Association (5GAA) or the Aerial Connectivity Joint Activity (ACJA).Both consider a context where the network can predict changes in the QoS.A relevant parameter involved in the RRM decisions, as well as for QoS prediction, is the signal level experienced by a UE, typically expressed using the Reference Signal Received Power (RSRP).RSRP is a key metric, as it is used for several procedures such as cell select</w:t>
      </w:r>
    </w:p>
    <w:p>
      <w:pPr/>
      <w:r>
        <w:rPr>
          <w:b/>
        </w:rPr>
        <w:t>POSSIBLE 2022:</w:t>
      </w:r>
      <w:r>
        <w:t xml:space="preserve"> Omen: discovering sequential patterns with reliable prediction delays — https://doi.org/10.1007/s10115-022-01660-1</w:t>
      </w:r>
    </w:p>
    <w:p>
      <w:pPr/>
      <w:r>
        <w:rPr>
          <w:b/>
        </w:rPr>
        <w:t>Shared claim-specific concepts:</w:t>
      </w:r>
      <w:r>
        <w:t xml:space="preserve"> reliable, prediction, events; EU scope not established. This is a provisional connection, not an outcome finding.</w:t>
      </w:r>
    </w:p>
    <w:p>
      <w:pPr>
        <w:pStyle w:val="SourceNote"/>
      </w:pPr>
      <w:r>
        <w:rPr>
          <w:b/>
        </w:rPr>
        <w:t>Available abstract (not full text):</w:t>
      </w:r>
      <w:r>
        <w:t xml:space="preserve"> Abstract Suppose we are given a discrete-valued time series $$X $$ X of observed events and an equally long binary sequence $$Y $$ Y that indicates whether something of interest happened at that particular point in time. We consider the problem of mining serial episodes, sequential patterns allowing for gaps, from $$X $$ X that reliably predict those interesting events. Withreliablewe mean patterns that not only predictthatan interesting event is likely to follow, but in particular that we can also accurately tell howhow longuntil that event will happen. In other words, we are specifically interested in patterns with a highly skewed distribution of delays between pattern occurrences and predicted events. As it is unlikely that a single pattern can explain a complex real-world progress, we are after the smallest, least redundant set of such patterns that together explain the interesting events well. We formally define this problem in terms of the Minimum Description Length principle, by which we identify the best patterns as those that describe the occurrences of interesting events $$Y $$ Y most succinctly given the data over $$X $$ X . As neither discovering the optimal explanation of $$Y $$ Y given a set of patterns, nor the discovery of optimal pattern set are problems that allow for straightforward optimization, we break the problem in two and propose effective heuristics fo</w:t>
      </w:r>
    </w:p>
    <w:p>
      <w:pPr>
        <w:pStyle w:val="Heading2"/>
      </w:pPr>
      <w:r>
        <w:t>656.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2025:</w:t>
      </w:r>
      <w:r>
        <w:t xml:space="preserve"> Cluster Analysis of the Transition to Climate Neutrality in the European Union — https://doi.org/10.1002/sd.70064</w:t>
      </w:r>
    </w:p>
    <w:p>
      <w:pPr/>
      <w:r>
        <w:rPr>
          <w:b/>
        </w:rPr>
        <w:t>Shared claim-specific concepts:</w:t>
      </w:r>
      <w:r>
        <w:t xml:space="preserve"> key, objectives, union, transition;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European ATM Key Performance Metrics Evolution — https://doi.org/10.35116/aa.2024.0006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aviation industry is one of the most sensitive sectors to external factors. Key performance indicators are quantifiable measures that can perfectly describe the current status of the observed object against a set of targets and objectives. This article aims to assess the evolution of key performance indicators in European but mainly Slovak air traffic management systems. The goal is to emphasize the need for the implementation of measures that can improve the effectiveness of the system. The related research was carried out by the data analysis method. The main goal of the research was to provide a comprehensive insight into the key performance evolution for the last decade and describe the actual status of air traffic management related to airspace overload.</w:t>
      </w:r>
    </w:p>
    <w:p>
      <w:pPr/>
      <w:r>
        <w:rPr>
          <w:b/>
        </w:rPr>
        <w:t>POSSIBLE 2024:</w:t>
      </w:r>
      <w:r>
        <w:t xml:space="preserve"> Digital Skills Development - A Key Objective Of The European Union Member States — https://doi.org/10.53486/cike2023.23</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The digital skills nowadays are very important and necessary in many fields of the activity. The Digital skills required in the workplace is one of the method to drive innovation and stay competitive. Developing digital skills is an objective key of the members of EU countries. The Digital Skills Indicator is a tool that monitors Member States' performance in achieving competence targets. This paper analyzes the degree of attainment of basic digital skills in the EU Member States ("low", "narrow" and "limited" digital skills level). The influence of demographic factors on the levels of digital skills is analyzed and the gap between rural and urban areas regarding the population’s digital skills is presented. The importance of digital skills is emphasized both for increasing competitiveness in the labor market and for adopting digital solutions in business.</w:t>
      </w:r>
    </w:p>
    <w:p>
      <w:pPr/>
      <w:r>
        <w:rPr>
          <w:b/>
        </w:rPr>
        <w:t>POSSIBLE 2024:</w:t>
      </w:r>
      <w:r>
        <w:t xml:space="preserve"> Objectives of the European Green Deal — https://doi.org/10.4324/9781003486732-8</w:t>
      </w:r>
    </w:p>
    <w:p>
      <w:pPr/>
      <w:r>
        <w:rPr>
          <w:b/>
        </w:rPr>
        <w:t>Shared claim-specific concepts:</w:t>
      </w:r>
      <w:r>
        <w:t xml:space="preserve"> one, key, objectives, union, transition, economy; EU scope visible. This is a provisional connection, not an outcome finding.</w:t>
      </w:r>
    </w:p>
    <w:p>
      <w:pPr>
        <w:pStyle w:val="SourceNote"/>
      </w:pPr>
      <w:r>
        <w:rPr>
          <w:b/>
        </w:rPr>
        <w:t>Available abstract (not full text):</w:t>
      </w:r>
      <w:r>
        <w:t xml:space="preserve">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pPr/>
      <w:r>
        <w:rPr>
          <w:b/>
        </w:rPr>
        <w:t>POSSIBLE 2024:</w:t>
      </w:r>
      <w:r>
        <w:t xml:space="preserve"> UKRAINE ON THE ROAD TO EUROPEAN INTEGRATION: KEY STAGES AND PROSPECTS FOR COOPERATION WITH THE EU — https://doi.org/10.36994/2786-9008-2024-5-11</w:t>
      </w:r>
    </w:p>
    <w:p>
      <w:pPr/>
      <w:r>
        <w:rPr>
          <w:b/>
        </w:rPr>
        <w:t>Shared claim-specific concepts:</w:t>
      </w:r>
      <w:r>
        <w:t xml:space="preserve"> one, key, objectives, union, economy; EU scope visible. This is a provisional connection, not an outcome finding.</w:t>
      </w:r>
    </w:p>
    <w:p>
      <w:pPr>
        <w:pStyle w:val="SourceNote"/>
      </w:pPr>
      <w:r>
        <w:rPr>
          <w:b/>
        </w:rPr>
        <w:t>Available abstract (not full text):</w:t>
      </w:r>
      <w:r>
        <w:t xml:space="preserve"> European integration is one of the key objectives of Ukraine's foreign policy, which has defined the country's development trajectory over the past decades. The integration process with the European Union opens substantial opportunities for Ukraine in the political, economic, and social spheres. Furthermore, cooperation with the EU supports the implementation of democratic reforms, improves living standards, enhances investment attractiveness, and strengthens the rule of law. At the same time, integration into the European community grants Ukraine access to significant markets and new opportunities for themodernization of its national economy.However, the path to European integration is accompanied by numerous challenges. Political instability, corruption, and external threats, particularly in the context of military aggression from the Russian Federation, are significant obstacles along this path. Additionally, Ukraine faces issues of institutional weakness, which requires deep reforms within the state governance and justice systems. Despite these difficulties, the European integration course remains a primary development vector, supported by both government and civil society. The Ukrainian public demonstrates substantial support for the European course, viewing the EU as a model of democratic development, human rights protection, and economic stability. However, there are dif</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transition, decarbonization;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Varieties of just transitions in the European car industry — https://doi.org/10.1080/21582041.2024.2317389</w:t>
      </w:r>
    </w:p>
    <w:p>
      <w:pPr/>
      <w:r>
        <w:rPr>
          <w:b/>
        </w:rPr>
        <w:t>Shared claim-specific concepts:</w:t>
      </w:r>
      <w:r>
        <w:t xml:space="preserve"> one, key, transition; EU scope visible. This is a provisional connection, not an outcome finding.</w:t>
      </w:r>
    </w:p>
    <w:p>
      <w:pPr>
        <w:pStyle w:val="SourceNote"/>
      </w:pPr>
      <w:r>
        <w:rPr>
          <w:b/>
        </w:rPr>
        <w:t>Available abstract (not full text):</w:t>
      </w:r>
      <w:r>
        <w:t xml:space="preserve"> This article examines the responses and strategies developed by business, unions, and governments to the electric turn in the industry in Germany and France, Europe's main car-producing countries.We concentrate on the role of history and institutions in the determination of adjustment paths.Since institutions reflect specific histories, the electric transition in the industry can take on different forms in different countries.In both countries, governments play a supportive role, leading in France, and following in Germany.The strong works councils in German car companies are reluctant to engage in a rapid transition that would devalue the assets of the workforce and endanger past investments in internal combustion-related technology.Trade unions, in contrast, who organise the workforce in the wider industry, are in favour of a faster transition as it will secure future employment.The French EV industry, in contrast, is now a booming sector, after several decades of deep restructuring with massive employment losses.Its key short-term problem is to train enough workers to staff the rapidly expanding car battery industry.Lacking a deeply rooted training system like the German one, the industry has a relatively free hand in selecting and preparing its future workforce.</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one, transition;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2023:</w:t>
      </w:r>
      <w:r>
        <w:t xml:space="preserve"> The Compliance of Lithuanian Environmental NGO’s Objectives with European Green Deal — https://doi.org/10.5755/j01.eis.1.17.34002</w:t>
      </w:r>
    </w:p>
    <w:p>
      <w:pPr/>
      <w:r>
        <w:rPr>
          <w:b/>
        </w:rPr>
        <w:t>Shared claim-specific concepts:</w:t>
      </w:r>
      <w:r>
        <w:t xml:space="preserve"> one, key, objectives, economy; EU scope visible. This is a provisional connection, not an outcome finding.</w:t>
      </w:r>
    </w:p>
    <w:p>
      <w:pPr>
        <w:pStyle w:val="SourceNote"/>
      </w:pPr>
      <w:r>
        <w:rPr>
          <w:b/>
        </w:rPr>
        <w:t>Available abstract (not full text):</w:t>
      </w:r>
      <w:r>
        <w:t xml:space="preserve"> European Commission in 2019 has developed an ambitious strategy for sustainable economic growth - the European Green Deal. It sets out two key objectives: to make Europe the first climate-neutral continent, with zero net greenhouse gas emissions by 2050 and to decouple economic growth from resource use. While the responsible authorities will be taking the relevant decisions, citizens must also do their part by changing their habits, protecting the environment and conserving natural resources. The Green Deal implementation’s success requires the participation and commitment of the public. There are eight main Green Deal initiatives / policy areas, which need to be transferred to Lithuanian law (Increasing the EU’s climate ambition for 2030 and 2050; Building and renovating in an energy and recourse efficient way; From “Farm to Fork”: a fair, healthy and environmentally friendly food system; Accelerating the shift for sustainable and smart mobility; Supplying clean, affordable and sustainable energy; Mobilizing industry for a clean and circular economy; Preserving and restoring ecosystems and biodiversity; A zero pollution ambition for a toxic free environment). The main tasks of this article were to identify the main goals and initiatives of the European Green Deal, to perform a content analysis of Lithuanian environmental NGOs and their activity goals and present conclusions. P</w:t>
      </w:r>
    </w:p>
    <w:p>
      <w:pPr/>
      <w:r>
        <w:rPr>
          <w:b/>
        </w:rPr>
        <w:t>POSSIBLE 2023:</w:t>
      </w:r>
      <w:r>
        <w:t xml:space="preserve"> The European Union One Health 2022 Zoonoses Report — https://doi.org/10.2903/j.efsa.2023.8442</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This report by the European Food Safety Authority and the European Centre for Disease Prevention and Control presents the results of the zoonoses monitoring and surveillance activities carried out in 2022 in 27 Member States (MSs), the United Kingdom (Northern Ireland) and 11 non-MSs. Key statistics on zoonoses and zoonotic agents in humans, food, animals and feed are provided and interpreted historically. In 2022, the first and second most reported zoonoses in humans were campylobacteriosis and salmonellosis, respectively. The number of cases of campylobacteriosis and salmonellosis remained stable in comparison with 2021. Nineteen MSs and the United Kingdom (Northern Ireland) achieved all the established targets in poultry populations for the reduction of Salmonella prevalence for the relevant serovars. Salmonella samples from carcases of various animal species, and samples for Campylobacter quantification from broiler carcases, were more frequently positive when performed by the competent authorities than when own checks were conducted. Yersiniosis was the third most reported zoonosis in humans, followed by Shiga toxin-producing Escherichia coli (STEC) and Listeria monocytogenes infections. L. monocytogenes and West Nile virus infections were the most severe zoonotic diseases, with the most hospitalisations and highest case fatality rates. In 2022, reporting showed an increas</w:t>
      </w:r>
    </w:p>
    <w:p>
      <w:pPr/>
      <w:r>
        <w:rPr>
          <w:b/>
        </w:rPr>
        <w:t>POSSIBLE 2023:</w:t>
      </w:r>
      <w:r>
        <w:t xml:space="preserve"> Multi-objective optimization of an energy community: an integrated and dynamic approach for full decarbonisation in the European Alps — https://doi.org/10.54337/ijsepm.7607</w:t>
      </w:r>
    </w:p>
    <w:p>
      <w:pPr/>
      <w:r>
        <w:rPr>
          <w:b/>
        </w:rPr>
        <w:t>Shared claim-specific concepts:</w:t>
      </w:r>
      <w:r>
        <w:t xml:space="preserve"> one, key, total; EU scope visible. This is a provisional connection, not an outcome finding.</w:t>
      </w:r>
    </w:p>
    <w:p>
      <w:pPr>
        <w:pStyle w:val="SourceNote"/>
      </w:pPr>
      <w:r>
        <w:rPr>
          <w:b/>
        </w:rPr>
        <w:t>Available abstract (not full text):</w:t>
      </w:r>
      <w:r>
        <w:t xml:space="preserve"> At the local level, energy communities are at the forefront of the European Green Deal strategy offering new opportunities for citizens to get actively involved in energy markets. The scope of this study is to propose a multi-objective optimization framework to minimize both carbon dioxide emissions and total annual costs in an energy community, considering, within different constraints, a wide availability of decision variables including local renewable energy sources, sector coupling, storage and hydrogen. The methodology involves the coupling of the software EnergyPLAN with a multi-objective evolutionary algorithm, considering 2030 and 2050 as target years and modelling a set of eight types of scenarios, each consisting of 100 optimal systems out of 10,000. The case study is an energy community in the European Alps. The results show, on the one hand, the key role of sector coupling technologies such as cogeneration, heat pumps and electric vehicles in exploiting local renewable energy sources and, on the other hand, the higher costs in introducing both electricity storage to achieve a complete decarbonisation and hydrogen as an alternative strategy in the electricity, thermal and transport sectors.</w:t>
      </w:r>
    </w:p>
    <w:p>
      <w:pPr>
        <w:pStyle w:val="Heading2"/>
      </w:pPr>
      <w:r>
        <w:t>657.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2026:</w:t>
      </w:r>
      <w:r>
        <w:t xml:space="preserve"> Coming into a queer education: lessons from intergenerational LGBTQ + dialogues — https://doi.org/10.1080/09540253.2026.2710165</w:t>
      </w:r>
    </w:p>
    <w:p>
      <w:pPr/>
      <w:r>
        <w:rPr>
          <w:b/>
        </w:rPr>
        <w:t>Shared claim-specific concepts:</w:t>
      </w:r>
      <w:r>
        <w:t xml:space="preserve"> article, examines, education, over, coming; EU scope not established. This is a provisional connection, not an outcome finding.</w:t>
      </w:r>
    </w:p>
    <w:p>
      <w:pPr>
        <w:pStyle w:val="SourceNote"/>
      </w:pPr>
      <w:r>
        <w:rPr>
          <w:b/>
        </w:rPr>
        <w:t>Available abstract (not full text):</w:t>
      </w:r>
      <w:r>
        <w:t xml:space="preserve"> This article examines an intergenerational, community-engaged LGBTQ + educational project that supports participants ‘coming into’ queer knowledges, histories, and practices. Amid curricular inclusion efforts and backlash in U.S. education, the project brought together LGBTQ + people aged 19–82 over six years for sustained intergenerational dialogue. Grounded in queer, feminist, and trans theories and informed by ethnographic and anecdotal approaches, the study treats the project as an evolving curriculum rather than a fixed programme. We argue that intergenerational educational spaces address critical gaps in gender and education research, which often isolate youth and older adults while neglecting relational infrastructures for queer thriving. The article advances three lessons: a spatial lesson on learning environments as ‘third teachers’, a narrative lesson on storytelling as curriculum requiring ethical care, and an emotional lesson on the affective labour of navigating difference and historical injury. Rather than offering a replicable model, we invite locally responsive intergenerational queer curricula.</w:t>
      </w:r>
    </w:p>
    <w:p>
      <w:pPr/>
      <w:r>
        <w:rPr>
          <w:b/>
        </w:rPr>
        <w:t>POSSIBLE 2026:</w:t>
      </w:r>
      <w:r>
        <w:t xml:space="preserve"> THE EARTH THAT SPEAKS: Artificial Intelligence, Light, Consciousness, Epistemic Sovereignty, and the Coming Machine Civilization — https://doi.org/10.5281/zenodo.23492539</w:t>
      </w:r>
    </w:p>
    <w:p>
      <w:pPr/>
      <w:r>
        <w:rPr>
          <w:b/>
        </w:rPr>
        <w:t>Shared claim-specific concepts:</w:t>
      </w:r>
      <w:r>
        <w:t xml:space="preserve"> article, examines, over, coming; EU scope not established. This is a provisional connection, not an outcome finding.</w:t>
      </w:r>
    </w:p>
    <w:p>
      <w:pPr>
        <w:pStyle w:val="SourceNote"/>
      </w:pPr>
      <w:r>
        <w:rPr>
          <w:b/>
        </w:rPr>
        <w:t>Available abstract (not full text):</w:t>
      </w:r>
      <w:r>
        <w:t xml:space="preserve"> THE EARTH THAT SPEAKS: Artificial Intelligence, Light, Consciousness, Epistemic Sovereignty, and the Coming Machine Civilization What happens when an ordinary instrument becomes capable of acting, discovering, correcting, and speaking beyond the understanding of those who possess it? This article develops Sultan Zeshan's unified theory of intelligence, knowledge, consciousness, and civilization through a sustained encounter between Qur'anic language and the emerging capacities of artificial intelligence. Beginning with Musa's staff, Sulayman's differentiated assembly of jinn, humans, and birds, the knowledge-bearing figure who accomplishes what physical strength cannot, and the creature of the earth that speaks, the study proposes a theory of carriers, recognition, and epistemic autonomy. Its Arabic-first, Qur'an-to-Qur'an method examines movement, transmission, deception, inscription, illumination, authority, and correction without treating ancient scripture as a literal description of contemporary engineering. The argument integrates biological and electromagnetic intelligence, neuroscience, Jung's visionary encounters, theories of consciousness, autonomous scientific discovery, robotics, quantum computation, forecasting, labor economics, and the commercial ownership of scholarly knowledge. It develops the Universal Intelligence and Epistemic Autonomy Theory alongside the Cog</w:t>
      </w:r>
    </w:p>
    <w:p>
      <w:pPr/>
      <w:r>
        <w:rPr>
          <w:b/>
        </w:rPr>
        <w:t>POSSIBLE 2025:</w:t>
      </w:r>
      <w:r>
        <w:t xml:space="preserve"> The ‘Date’ on Two Dated Palmyran Funerary Reliefs — https://doi.org/10.34780/3j1vr152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Palmyran funerary reliefs – the bust of Ḥalīfat in the Freer Gallery of Art in Washington, D.C., and a now rejoined doublebust combining halves in the Ny Carlsberg Glyptotek, Copenhagen and at Stanford University – focusing on the discrepancy between the date of the deceased’s death, as provided by the accompanying inscription, and the actual date of carving.</w:t>
      </w:r>
    </w:p>
    <w:p>
      <w:pPr/>
      <w:r>
        <w:rPr>
          <w:b/>
        </w:rPr>
        <w:t>POSSIBLE 2025:</w:t>
      </w:r>
      <w:r>
        <w:t xml:space="preserve"> The Use of Articles in Toponymic Phrases in English and Albanian — https://doi.org/10.51558/2490-3647.2025.10.1.213</w:t>
      </w:r>
    </w:p>
    <w:p>
      <w:pPr/>
      <w:r>
        <w:rPr>
          <w:b/>
        </w:rPr>
        <w:t>Shared claim-specific concepts:</w:t>
      </w:r>
      <w:r>
        <w:t xml:space="preserve"> article, examines, two, also; EU scope not established. This is a provisional connection, not an outcome finding.</w:t>
      </w:r>
    </w:p>
    <w:p>
      <w:pPr>
        <w:pStyle w:val="SourceNote"/>
      </w:pPr>
      <w:r>
        <w:rPr>
          <w:b/>
        </w:rPr>
        <w:t>Available abstract (not full text):</w:t>
      </w:r>
      <w:r>
        <w:t xml:space="preserve"> This paper examines noun phrases functioning as toponyms in English and Albanian, with a particular focus on their degree of definiteness. By exploring the role of articles in achieving definiteness, the study conducts a contrastive analysis of article usage in these two languages. Given that the article is a complex grammatical category, acquired progressively across different linguistic levels, the paper aims to analyze and compare its role, grammatical function, and form, as well as the rules governing its use in toponymic phrases. Starting from the premise that English and Albanian belong to distinct language families, the study utilizes a corpus of sentence sets to investigate which linguistic factors influence the use of articles with geographical names. The findings reveal that, in Albanian, syntactic norms ‒ the function of toponymic phrases within sentences ‒ and pragmatic considerations play a significant role in determining article usage. In contrast, article application in English is shaped by the interplay of multiple linguistic disciplines, with semantics exerting the greatest influence. However, syntax also can play a role in dictating usage rules, while pragmatics and historical linguistics provide insights into exceptions and irregularities. This comparative study highlights the differing linguistic mechanisms that govern definiteness in English and Albanian to</w:t>
      </w:r>
    </w:p>
    <w:p>
      <w:pPr/>
      <w:r>
        <w:rPr>
          <w:b/>
        </w:rPr>
        <w:t>POSSIBLE 2025:</w:t>
      </w:r>
      <w:r>
        <w:t xml:space="preserve"> The liberal peace is over and it is not coming back: hybridity and the emerging international peace system — https://doi.org/10.1080/01436597.2025.2559376</w:t>
      </w:r>
    </w:p>
    <w:p>
      <w:pPr/>
      <w:r>
        <w:rPr>
          <w:b/>
        </w:rPr>
        <w:t>Shared claim-specific concepts:</w:t>
      </w:r>
      <w:r>
        <w:t xml:space="preserve"> article, over, coming; EU scope not established. This is a provisional connection, not an outcome finding.</w:t>
      </w:r>
    </w:p>
    <w:p>
      <w:pPr>
        <w:pStyle w:val="SourceNote"/>
      </w:pPr>
      <w:r>
        <w:rPr>
          <w:b/>
        </w:rPr>
        <w:t>Available abstract (not full text):</w:t>
      </w:r>
      <w:r>
        <w:t xml:space="preserve"> This article revisits and updates the concept of hybridity in order to take account of the fragmentation of power and structures in a multipolar international and transnational system. Earlier accounts of hybrid peace and hybrid political orders tended to be Eurocentric and concentrated on a liberal peace--local binary. Drawing on interviews with senior peacemakers and mediators, the article rejuvenates the concept of hybridity. A four-part analytical framework is developed to explain the changing international peace landscape: the fragmentation of the rules-based international order, the increasing prominence of non-western peace actors, the stubbornness of the residual international order, and the impact of the so-called local turn. The article puts forward an expanded notion of hybridity and recommends it as a sense-making tool.</w:t>
      </w:r>
    </w:p>
    <w:p>
      <w:pPr/>
      <w:r>
        <w:rPr>
          <w:b/>
        </w:rPr>
        <w:t>POSSIBLE 2025:</w:t>
      </w:r>
      <w:r>
        <w:t xml:space="preserve"> Winter is coming: the battle over cold chain logistics in the global agriculture — https://doi.org/10.1007/s10624-025-09778-8</w:t>
      </w:r>
    </w:p>
    <w:p>
      <w:pPr/>
      <w:r>
        <w:rPr>
          <w:b/>
        </w:rPr>
        <w:t>Shared claim-specific concepts:</w:t>
      </w:r>
      <w:r>
        <w:t xml:space="preserve"> article, over, coming; EU scope visible. This is a provisional connection, not an outcome finding.</w:t>
      </w:r>
    </w:p>
    <w:p>
      <w:pPr>
        <w:pStyle w:val="SourceNote"/>
      </w:pPr>
      <w:r>
        <w:rPr>
          <w:b/>
        </w:rPr>
        <w:t>Available abstract (not full text):</w:t>
      </w:r>
      <w:r>
        <w:t xml:space="preserve"> Abstract The road transport of food is often overlooked in analyses of the socio-ecological impacts generated by the global agri-food chain. However, the development of fast, cheap and precise long-distance transport has been a key enabling factor for the integration of agro-export enclaves into international markets. This article uses a qualitative methodology to analyse the logistical rationality of European big retailers and its impact on the restructuring of the agro-export logistics sector. The research focuses on the Region of Murcia (Spain), one of the main exporters of fresh fruit and vegetable products in Europe. The findings show that the regulation of logistics activities by retail capital has reinforced business concentration and dependency dynamics within the sector. On one hand, small transport companies and self-employed truck drivers face a process of devaluation that threatens their survival in the export transport sector. On the other hand, large transport companies are moving into logistics by incorporating new storage services and the specialized management of perishable goods. Finally, the article highlights the relevance of private quality standards as part of the strategies used by large distribution chains to appropriate and enhance value in agro-exporting geographies.</w:t>
      </w:r>
    </w:p>
    <w:p>
      <w:pPr/>
      <w:r>
        <w:rPr>
          <w:b/>
        </w:rPr>
        <w:t>POSSIBLE 2024:</w:t>
      </w:r>
      <w:r>
        <w:t xml:space="preserve"> Use of AI Language Engine ChatGPT 4.0 to Write a Scientific Review Article Examining the Intersection of Alzheimer’s Disease and Bone — https://doi.org/10.1007/s11914-023-00853-z</w:t>
      </w:r>
    </w:p>
    <w:p>
      <w:pPr/>
      <w:r>
        <w:rPr>
          <w:b/>
        </w:rPr>
        <w:t>Shared claim-specific concepts:</w:t>
      </w:r>
      <w:r>
        <w:t xml:space="preserve"> article, two, but; EU scope not established. This is a provisional connection, not an outcome finding.</w:t>
      </w:r>
    </w:p>
    <w:p>
      <w:pPr>
        <w:pStyle w:val="SourceNote"/>
      </w:pPr>
      <w:r>
        <w:rPr>
          <w:b/>
        </w:rPr>
        <w:t>Available abstract (not full text):</w:t>
      </w:r>
      <w:r>
        <w:t xml:space="preserve"> PURPOSE OF REVIEW: This Comment represents three review articles on the relationship between Alzheimer's disease, osteoporosis, and fracture in an exploration of the benefits that AI can provide in scientific writing. The first drafts of the articles were written (1) entirely by humans; (2) entirely by ChatGPT 4.0 (AI-only or AIO); and (3) by humans and ChatGPT 4.0 whereby humans selected literature references, but ChatGPT 4.0 completed the writing (AI-assisted or AIA). Importantly, each review article was edited and carefully checked for accuracy by all co-authors resulting in a final manuscript which was significantly different from the original draft. RECENT FINDINGS: The human-written article took the most time from start to finish, the AI-only article took the least time, and the AI-assisted article fell between the two. When comparing first drafts to final drafts, the AI-only and AI-assisted articles had higher percentages of different text than the human article. The AI-only paper had a higher percentage of incorrect references in the first draft than the AI-assisted paper. The first draft of the AI-assisted article had a higher similarity score than the other two articles when examined by plagiarism identification software. This writing experiment used time tracking, human editing, and comparison software to examine the benefits and risks of using AI to assist in scient</w:t>
      </w:r>
    </w:p>
    <w:p>
      <w:pPr>
        <w:pStyle w:val="Heading2"/>
      </w:pPr>
      <w:r>
        <w:t>658.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2026:</w:t>
      </w:r>
      <w:r>
        <w:t xml:space="preserve"> Renewable Energy Transition in Europe: Policy Design, Investment Responses, and Energy Market Outcomes — https://doi.org/10.23889/suthesis.72542</w:t>
      </w:r>
    </w:p>
    <w:p>
      <w:pPr/>
      <w:r>
        <w:rPr>
          <w:b/>
        </w:rPr>
        <w:t>Shared claim-specific concepts:</w:t>
      </w:r>
      <w:r>
        <w:t xml:space="preserve"> three, successful, energy, decarbonisation; EU scope visible. This is a provisional connection, not an outcome finding.</w:t>
      </w:r>
    </w:p>
    <w:p>
      <w:pPr>
        <w:pStyle w:val="SourceNote"/>
      </w:pPr>
      <w:r>
        <w:rPr>
          <w:b/>
        </w:rPr>
        <w:t>Available abstract (not full text):</w:t>
      </w:r>
      <w:r>
        <w:t xml:space="preserve"> This thesis examines the economics of the renewable energy transition in Europe, with particular attention to how policy design shapes distributional outcomes, investment incentives, and system-level resilience. While renewable energy is often assessed in terms of carbon reduction and deployment growth, this thesis argues that a fuller evaluation must also consider who benefits from support, how investment responds to policy, and how renewable expansion affects energy prices and security. The thesis consists of three empirical chapters. The first analyses the UK Feed-in Tariff scheme using household-level data from Understanding Society and shows that higher-income households were more likely to adopt solar photovoltaic systems, implying that upfront capital requirements limited equal access to support. The second examines annual additions to wind power capacity across OECD and major non-OECD economies from 2001 to 2020 and finds that environmental policy stringency promotes wind expansion primarily when it takes the form of direct, sector-specific instruments, although technological innovation and cost reductions become increasingly important over time. The third investigates the relationship between renewable penetration, retail electricity prices, and energy security in European electricity systems, showing that greater renewable penetration is associated with lower fossil f</w:t>
      </w:r>
    </w:p>
    <w:p>
      <w:pPr/>
      <w:r>
        <w:rPr>
          <w:b/>
        </w:rPr>
        <w:t>POSSIBLE 2025:</w:t>
      </w:r>
      <w:r>
        <w:t xml:space="preserve"> Application of the Analytical Hierarchy Process in the management of private ambulance care systems in three selected European countries: a strategic decision-making framework — https://doi.org/10.3389/fpubh.2025.1526586</w:t>
      </w:r>
    </w:p>
    <w:p>
      <w:pPr/>
      <w:r>
        <w:rPr>
          <w:b/>
        </w:rPr>
        <w:t>Shared claim-specific concepts:</w:t>
      </w:r>
      <w:r>
        <w:t xml:space="preserve"> three, strategic, integration, practices; EU scope visible. This is a provisional connection, not an outcome finding.</w:t>
      </w:r>
    </w:p>
    <w:p>
      <w:pPr>
        <w:pStyle w:val="SourceNote"/>
      </w:pPr>
      <w:r>
        <w:rPr>
          <w:b/>
        </w:rPr>
        <w:t>Available abstract (not full text):</w:t>
      </w:r>
      <w:r>
        <w:t xml:space="preserve"> Private ambulance services play a vital role in healthcare systems across Europe, supplementing public emergency services and providing essential medical transportation. However, managing these services presents significant challenges, including resource allocation, regulatory compliance, service quality, technological integration, workforce management, and financial sustainability. This study employs the Analytical Hierarchy Process (AHP) as a strategic decision-making tool to optimize the management of private ambulance services in Germany, Spain, and the United Kingdom. To achieve this, data were collected from 20 participants across the three countries (Germany: 7, Spain: 6, United Kingdom: 7), comprising ambulance service administrators, emergency medical personnel, and regulatory experts. A purposive sampling method was used to ensure the inclusion of key stakeholders with direct experience in the sector. Participants completed structured questionnaires involving pairwise comparisons of key decision criteria. Results reveal that Regulatory Compliance is the highest priority across all countries (Germany: 0.25, Spain: 0.22, UK: 0.20), followed by Service Quality, which is particularly emphasized in the UK (0.22) and Germany (0.20). Technological Integration is important in Spain (0.20), reflecting the need for advancements in underserved areas. While Workforce Management a</w:t>
      </w:r>
    </w:p>
    <w:p>
      <w:pPr/>
      <w:r>
        <w:rPr>
          <w:b/>
        </w:rPr>
        <w:t>POSSIBLE 2025:</w:t>
      </w:r>
      <w:r>
        <w:t xml:space="preserve"> Steering the Green Transition in the European Union? Analysis of the European Commission's Strategic Communication — https://doi.org/10.1111/rego.70107</w:t>
      </w:r>
    </w:p>
    <w:p>
      <w:pPr/>
      <w:r>
        <w:rPr>
          <w:b/>
        </w:rPr>
        <w:t>Shared claim-specific concepts:</w:t>
      </w:r>
      <w:r>
        <w:t xml:space="preserve"> three, strategic, developing; EU scope visible. This is a provisional connection, not an outcome finding.</w:t>
      </w:r>
    </w:p>
    <w:p>
      <w:pPr>
        <w:pStyle w:val="SourceNote"/>
      </w:pPr>
      <w:r>
        <w:rPr>
          <w:b/>
        </w:rPr>
        <w:t>Available abstract (not full text):</w:t>
      </w:r>
      <w:r>
        <w:t xml:space="preserve"> ABSTRACT This paper examines the strategic communication of the European Commission about developing a regulatory approach and financial instruments to foster the greening of the European economy over a period of 14 years (2009–2023). We investigate in‐depth the strategic communication of three European Commission Colleges led by Barroso, Juncker, and von der Leyen, respectively. We analyze an original dataset of 57 Commission Communications using qualitative content analysis. The paper demonstrates that, over the past 14 years, the EU's strategic agenda‐setting has moved away from a predominantly neoliberal approach of limited state involvement in the economy to one foreseeing more active state intervention, especially in the provision of financial resources and the design of integrated policies to guide the green transition. The findings highlight the crucial role of the Commission in steering the EU's climate action policies, as shown by the adoption of the European Green Deal in 2019.</w:t>
      </w:r>
    </w:p>
    <w:p>
      <w:pPr/>
      <w:r>
        <w:rPr>
          <w:b/>
        </w:rPr>
        <w:t>POSSIBLE 2025:</w:t>
      </w:r>
      <w:r>
        <w:t xml:space="preserve"> AI and Energy in Europe — https://openalex.org/W7135433574</w:t>
      </w:r>
    </w:p>
    <w:p>
      <w:pPr/>
      <w:r>
        <w:rPr>
          <w:b/>
        </w:rPr>
        <w:t>Shared claim-specific concepts:</w:t>
      </w:r>
      <w:r>
        <w:t xml:space="preserve"> three, successful, energy, planning, integration; EU scope visible. This is a provisional connection, not an outcome finding.</w:t>
      </w:r>
    </w:p>
    <w:p>
      <w:pPr>
        <w:pStyle w:val="SourceNote"/>
      </w:pPr>
      <w:r>
        <w:rPr>
          <w:b/>
        </w:rPr>
        <w:t>Available abstract (not full text):</w:t>
      </w:r>
      <w:r>
        <w:t xml:space="preserve"> Europe faces a defining choice in shaping its AI future. As artificial intelligence transforms the economy, it also transforms the energy landscape—European data centers are expected to more than double their electricity demand over the next decade. This surge coincides with intensifying climate pressures, aging electricity infrastructure, and fragmented governance structures among member states. The core finding is clear: AI's energy trajectory is not inevitable—it depends on the choices we make today about technology, regulation, and infrastructure. Our research reveals that by 2030, European AI electricity demand could follow four distinct pathways, ranging from 45 TWh under constrained development to 145 TWh in scenarios of unchecked expansion. These trajectories reflect structural choices—not inevitable trends—shaped by infrastructure investment, regulatory design, and whether new renewable capacity serves AI demand or displaces fossil generation across the grid. To understand under what conditions countries can reach sustainable AI, we examined three cases representing distinct starting conditions. Ireland illustrates acute adequacy pressures in small interconnected systems, testing whether flexibility can overcome infrastructure constraints. Germany represents limits-to-growth dynamics amid energy transition, evaluating whether efficiency mandates ensure sustainability u</w:t>
      </w:r>
    </w:p>
    <w:p>
      <w:pPr/>
      <w:r>
        <w:rPr>
          <w:b/>
        </w:rPr>
        <w:t>POSSIBLE 2025:</w:t>
      </w:r>
      <w:r>
        <w:t xml:space="preserve"> The Stability of the Economic Growth–Energy Consumption–Pollution Nexus in the European Union — https://doi.org/10.3390/su17094147</w:t>
      </w:r>
    </w:p>
    <w:p>
      <w:pPr/>
      <w:r>
        <w:rPr>
          <w:b/>
        </w:rPr>
        <w:t>Shared claim-specific concepts:</w:t>
      </w:r>
      <w:r>
        <w:t xml:space="preserve"> three, energy; EU scope visible. This is a provisional connection, not an outcome finding.</w:t>
      </w:r>
    </w:p>
    <w:p>
      <w:pPr>
        <w:pStyle w:val="SourceNote"/>
      </w:pPr>
      <w:r>
        <w:rPr>
          <w:b/>
        </w:rPr>
        <w:t>Available abstract (not full text):</w:t>
      </w:r>
      <w:r>
        <w:t xml:space="preserve"> Considering the environmental objectives assumed by the European Commission through Cohesion Policy, the main aim of this study is to check the stability of the relationship between economic growth, GHG emissions, and energy consumption, also known as the 3E relationship, which also allows us to recreate EU policy recommendations. The analysis of EU member states using panel data and time series (1990–2023) showed significant shifts in the relationship between the three variables, especially due to the COVID-19 pandemic. Consequently, many countries successfully decoupled emissions from economic growth. Nevertheless, the persistent carbon-intensive energy use patterns in most EU countries remain a major obstacle, emphasizing the need for increased efforts in cleaner energy technologies and sustainable economic transitions.</w:t>
      </w:r>
    </w:p>
    <w:p>
      <w:pPr/>
      <w:r>
        <w:rPr>
          <w:b/>
        </w:rPr>
        <w:t>POSSIBLE 2024:</w:t>
      </w:r>
      <w:r>
        <w:t xml:space="preserve"> ANALYSIS OF ECONOMIC SCENARIOS FOR ENERGY EFFICIENCY POLICY WITHIN THE EUROPEAN UNION'S ENERGY STRATEGY — https://doi.org/10.30970/meu.2024.51.0.5114</w:t>
      </w:r>
    </w:p>
    <w:p>
      <w:pPr/>
      <w:r>
        <w:rPr>
          <w:b/>
        </w:rPr>
        <w:t>Shared claim-specific concepts:</w:t>
      </w:r>
      <w:r>
        <w:t xml:space="preserve"> three, strategic, successful, energy, planning, strategy; EU scope visible. This is a provisional connection, not an outcome finding.</w:t>
      </w:r>
    </w:p>
    <w:p>
      <w:pPr>
        <w:pStyle w:val="SourceNote"/>
      </w:pPr>
      <w:r>
        <w:rPr>
          <w:b/>
        </w:rPr>
        <w:t>Available abstract (not full text):</w:t>
      </w:r>
      <w:r>
        <w:t xml:space="preserve"> This study examines three distinct energy scenarios to assess their impact on energy consumption and supply security within the European Union by 2030. The scenarios include: a) an updated full package scenario aligned with the European Commission’s FPS 9/40 targets (9% energy efficiency and 40% renewable sources) and lower fossil fuel prices from the Fit-for-55 package; b) the REPowerEU 13/45 scenario, which proposes a 13% increase in energy efficiency and 45% renewable energy by 2030; and c) the REPowerEU 19/45 scenario, aiming for a 19% increase in energy efficiency with the same 45% renewable energy target. The analysis indicates that both additional scenarios – REPowerEU 13/45 and REPowerEU 19/45 – are feasible and provide substantial benefits to the EU. Specifically, the REPowerEU 13/45 scenario leads to a 47% reduction in natural gas consumption and a 30% increase in coal consumption by 2030 compared to the full package scenario. The REPowerEU 19/45 scenario achieves a 59% reduction in natural gas consumption and a 10% reduction in coal consumption. Both scenarios also show a significant decrease in oil and petroleum product consumption. The study highlights that achieving higher energy efficiency targets will reduce import dependency, thereby enhancing supply security and lowering reliance on fossil fuels. However, the REPowerEU 19/45 scenario demands substantial invest</w:t>
      </w:r>
    </w:p>
    <w:p>
      <w:pPr/>
      <w:r>
        <w:rPr>
          <w:b/>
        </w:rPr>
        <w:t>POSSIBLE 2023:</w:t>
      </w:r>
      <w:r>
        <w:t xml:space="preserve"> In Search of Digital Sovereignty and Strategic Autonomy: Normative Power Europe to the Test of Its Geopolitical Ambitions — https://doi.org/10.1111/jcms.13462</w:t>
      </w:r>
    </w:p>
    <w:p>
      <w:pPr/>
      <w:r>
        <w:rPr>
          <w:b/>
        </w:rPr>
        <w:t>Shared claim-specific concepts:</w:t>
      </w:r>
      <w:r>
        <w:t xml:space="preserve"> three, strategic, article; EU scope visible. This is a provisional connection, not an outcome finding.</w:t>
      </w:r>
    </w:p>
    <w:p>
      <w:pPr>
        <w:pStyle w:val="SourceNote"/>
      </w:pPr>
      <w:r>
        <w:rPr>
          <w:b/>
        </w:rPr>
        <w:t>Available abstract (not full text):</w:t>
      </w:r>
      <w:r>
        <w:t xml:space="preserve"> This article analyses the recent use of European Union (EU) terminology of digital sovereignty and strategic autonomy, aiming to identify tensions between policy considerations of fundamental rights, free market principles and geopolitical concerns. These tensions are rooted in the disparity between the EU's considerable economic and regulatory power in digital matters and its limited mandate and capabilities in foreign policy. The article also explores the translation of the notions of digital sovereignty and strategic autonomy into EU policy. It identifies three important trends in the geopoliticisation of the EU agenda on digital technologies: (1) the instrumental use of ‘classic’ internal market policies to exert geopolitical influence; (2) the imposition of foreign policy imperatives on national markets; and (3) new ‘hybrid’ digital policies that combine internal market concerns, fundamental rights and geopolitical concerns. Ultimately, digital sovereignty has inherent tensions with the EU's normative power in digital issues and may also result in a strategic cacophony.</w:t>
      </w:r>
    </w:p>
    <w:p>
      <w:pPr>
        <w:pStyle w:val="Heading2"/>
      </w:pPr>
      <w:r>
        <w:t>659.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2026:</w:t>
      </w:r>
      <w:r>
        <w:t xml:space="preserve"> Tailoring the future for the environment, health and security through means of criminal law — https://doi.org/10.56398/ajacieda.00468</w:t>
      </w:r>
    </w:p>
    <w:p>
      <w:pPr/>
      <w:r>
        <w:rPr>
          <w:b/>
        </w:rPr>
        <w:t>Shared claim-specific concepts:</w:t>
      </w:r>
      <w:r>
        <w:t xml:space="preserve"> degradation, environment, security, health; EU scope visible. This is a provisional connection, not an outcome finding.</w:t>
      </w:r>
    </w:p>
    <w:p>
      <w:pPr>
        <w:pStyle w:val="SourceNote"/>
      </w:pPr>
      <w:r>
        <w:rPr>
          <w:b/>
        </w:rPr>
        <w:t>Available abstract (not full text):</w:t>
      </w:r>
      <w:r>
        <w:t xml:space="preserve"> Criminal law intervenes as a last resort to protect social values. Although standards may differ from one society to another, there are also many common benchmarks. Thus, at the global level, states must cooperate to protect both the natural and anthropogenic environment, which is essential for ensuring the life and health of humans and other living beings, but also for maintaining public and personal security. There is a trend at European level to strengthen the legal framework by updating the normative acts in the above-mentioned field. We are considering the entry into force of the Directive (EU) 2024/1203 of the European Parliament and of the Council of 11 April 2024 on the protection of the environment through criminal law and replacing Directives 2008/99/EC and 2009/123/EC, which must be transposed into the legislation of Member States by 21 May 2026. There are several new elements in this directive, but the focus of this paper will be on analysing the criminalization of the placing or making available on the Union market or the export from the Union market of relevant commodities or relevant products, in breach of the prohibition set out in Article 3 of Regulation (EU) 2023/1115, except where such conduct concerns a negligible quantity. We consider the analysis of this criminalisation to be all the more important given that the imbalance of the ecosystem, from the perspe</w:t>
      </w:r>
    </w:p>
    <w:p>
      <w:pPr/>
      <w:r>
        <w:rPr>
          <w:b/>
        </w:rPr>
        <w:t>POSSIBLE 2026:</w:t>
      </w:r>
      <w:r>
        <w:t xml:space="preserve"> The Hidden Costs of Soil Degradation: Threats to Global Food Security and Planetary Health — https://doi.org/10.1021/acsenvironau.6c00058</w:t>
      </w:r>
    </w:p>
    <w:p>
      <w:pPr/>
      <w:r>
        <w:rPr>
          <w:b/>
        </w:rPr>
        <w:t>Shared claim-specific concepts:</w:t>
      </w:r>
      <w:r>
        <w:t xml:space="preserve"> degradation, security, health, food, climate; EU scope not established. This is a provisional connection, not an outcome finding.</w:t>
      </w:r>
    </w:p>
    <w:p>
      <w:pPr>
        <w:pStyle w:val="SourceNote"/>
      </w:pPr>
      <w:r>
        <w:rPr>
          <w:b/>
        </w:rPr>
        <w:t>Available abstract (not full text):</w:t>
      </w:r>
      <w:r>
        <w:t xml:space="preserve"> Humans use soil to supply 97-99% of their calories, but the unprecedented pressure being placed on soil is now causing rapid soil degradation, including through erosion, loss of soil organic matter, acidification, contamination, salinization, and biodiversity loss. Here, we show how this degradation is causing an inherent decrease in global food productionthe loss of soil organic matter, for example, is predicted to cause a 4.3% decrease in yields for staple crops (representing calories for 640 million people) while soil erosion is projected to cause a loss in global crop production of 10% to 2050. While the adverse effects of this degradation on crop yield can often be largely masked or reversed by increased use of anthropogenic inputs such as fertilizer and irrigation, we show that some forms of soil degradation lead to permanent decreases in food production. Regardless, in all cases, we examine how both the soil degradation itself and the additional inputs required thereafter to sustain productivity result in substantial planetary harm, such as through climate change and eutrophication. It is clear that urgent action is required for ensuring both food security and planetary health, including through the development of integrated frameworks for improved policy- and decision-making.</w:t>
      </w:r>
    </w:p>
    <w:p>
      <w:pPr/>
      <w:r>
        <w:rPr>
          <w:b/>
        </w:rPr>
        <w:t>POSSIBLE 2026:</w:t>
      </w:r>
      <w:r>
        <w:t xml:space="preserve"> Soil Health in Europe: Policy perspectives — https://doi.org/10.5194/egusphere-egu26-12384</w:t>
      </w:r>
    </w:p>
    <w:p>
      <w:pPr/>
      <w:r>
        <w:rPr>
          <w:b/>
        </w:rPr>
        <w:t>Shared claim-specific concepts:</w:t>
      </w:r>
      <w:r>
        <w:t xml:space="preserve"> degradation, environment, security, health, food, not; EU scope visible. This is a provisional connection, not an outcome finding.</w:t>
      </w:r>
    </w:p>
    <w:p>
      <w:pPr>
        <w:pStyle w:val="SourceNote"/>
      </w:pPr>
      <w:r>
        <w:rPr>
          <w:b/>
        </w:rPr>
        <w:t>Available abstract (not full text):</w:t>
      </w:r>
      <w:r>
        <w:t xml:space="preserve"> In Europe soil health is facing emerging challenges that require innovative solutions and policy interventions. We acknowledge that 62% of the European Union (EU) soils are not in healthy condition, while we face serious challenges such as climate change, food security, biodiversity loss, and socio-economic pressures. The severity of these issues is evident in the fact that soil erosion is unsustainable for around ¼ of the EU territory, carbon stocks in soils are declining, nutrients are depleting, and emerging contaminants can pose a serious threat to soil and human health. The costs of soil degradation in the EU may reach up to €70 billion per year, highlighting the urgent need for action. To address these challenges, the EU has put in place many policies for agro-environmental protection since 2000, including soil protection. The European Green Deal, launched in 2020, has set an ambitious roadmap to make the EU the first carbon-neutral continent with a modern, competitive, and resource-efficient economy. As part of the Green Deal, the European Commission (EC) has put soil protection in a high position on the EU policy agenda, recognizing that healthy soils are essential to achieve climate neutrality, zero pollution, sustainable food provision, and a resilient environment. This increased focus on soil health has led to the development of new policies and initiatives, such as </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environment, security, crisis, energy, quality, climate;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Water Security in North America and Europe — https://doi.org/10.1002/9781394176748.ch6</w:t>
      </w:r>
    </w:p>
    <w:p>
      <w:pPr/>
      <w:r>
        <w:rPr>
          <w:b/>
        </w:rPr>
        <w:t>Shared claim-specific concepts:</w:t>
      </w:r>
      <w:r>
        <w:t xml:space="preserve"> security, water, climate;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Plant-Based Diet for Mission LiFE: Food Security, Health, and Environment — https://doi.org/10.1007/978-981-97-4730-6_8</w:t>
      </w:r>
    </w:p>
    <w:p>
      <w:pPr/>
      <w:r>
        <w:rPr>
          <w:b/>
        </w:rPr>
        <w:t>Shared claim-specific concepts:</w:t>
      </w:r>
      <w:r>
        <w:t xml:space="preserve"> environment, security, health, energy, food, climate; EU scope not established. This is a provisional connection, not an outcome finding.</w:t>
      </w:r>
    </w:p>
    <w:p>
      <w:pPr>
        <w:pStyle w:val="SourceNote"/>
      </w:pPr>
      <w:r>
        <w:rPr>
          <w:b/>
        </w:rPr>
        <w:t>Available abstract (not full text):</w:t>
      </w:r>
      <w:r>
        <w:t xml:space="preserve"> Abstract This chapter explores the interplay between food insecurity, energy security, and climate change, emphasising the need for integrated solutions to address these challenges. The chapter advocates for adopting plant-based diets, which align with India's Mission Lifestyle for Environment (LiFE) to promote sustainable food production and reduce environmental impacts. Additionally, it discusses the emergence of the degrowth concept as a potential pathway to sustainability, highlighting the need for resilient food systems through local production, reducing food waste, and regenerative agriculture. While degrowth presents economic and political challenges, the chapter suggests that a balanced approach could enhance food security and sustainability. The complexities of adopting plant-based diets, including health, environmental, and socioeconomic considerations, are also analysed, emphasising the importance of informed choices for personal and ecological wellbeing.</w:t>
      </w:r>
    </w:p>
    <w:p>
      <w:pPr/>
      <w:r>
        <w:rPr>
          <w:b/>
        </w:rPr>
        <w:t>POSSIBLE 2024:</w:t>
      </w:r>
      <w:r>
        <w:t xml:space="preserve"> Exploring the Nexus between Greenhouse Emissions, Environmental Degradation and Green Energy in Europe: A Critique of the Environmental Kuznets Curve — https://doi.org/10.3390/en17205109</w:t>
      </w:r>
    </w:p>
    <w:p>
      <w:pPr/>
      <w:r>
        <w:rPr>
          <w:b/>
        </w:rPr>
        <w:t>Shared claim-specific concepts:</w:t>
      </w:r>
      <w:r>
        <w:t xml:space="preserve"> degradation, energy, not; EU scope visible. This is a provisional connection, not an outcome finding.</w:t>
      </w:r>
    </w:p>
    <w:p>
      <w:pPr>
        <w:pStyle w:val="SourceNote"/>
      </w:pPr>
      <w:r>
        <w:rPr>
          <w:b/>
        </w:rPr>
        <w:t>Available abstract (not full text):</w:t>
      </w:r>
      <w:r>
        <w:t xml:space="preserve"> This study examines the intricate relationship between economic growth and European environmental degradation via the Environmental Kuznets Curve (EKC). Our results contest the traditional inverted U-shape model of the Environmental Kuznets Curve, indicating that the theory may not be consistently applicable across European countries. Utilizing CS-ARDL and MMQR modelling, we reveal substantial regional disparities. Western European nations demonstrate a typical Environmental Kuznets Curve (EKC) pattern in the short term, characterized by an initial increase in emissions alongside GDP development, followed by a subsequent fall. Conversely, Eastern and Balkan nations exhibit a U-shaped connection, described by an early decline in emissions followed by a subsequent increase as their development levels increase. The influence of renewable energy differs, as it decreases emissions in the short term in Western Europe. However, its long-term impacts are variable, especially when contrasted with its more pronounced effect on emissions in Eastern and Balkan countries. Furthermore, trade openness intensifies environmental degradation in the short-term across all regions, although its long-term impact diminishes, particularly concerning greenhouse gases (GHG). The relationship between renewable energy and trade openness is substantial for the short-term reduction of carbon dioxide emissio</w:t>
      </w:r>
    </w:p>
    <w:p>
      <w:pPr/>
      <w:r>
        <w:rPr>
          <w:b/>
        </w:rPr>
        <w:t>POSSIBLE 2024:</w:t>
      </w:r>
      <w:r>
        <w:t xml:space="preserve"> A screening method for plastic-degrading fungi — https://doi.org/10.1016/j.heliyon.2024.e31130</w:t>
      </w:r>
    </w:p>
    <w:p>
      <w:pPr/>
      <w:r>
        <w:rPr>
          <w:b/>
        </w:rPr>
        <w:t>Shared claim-specific concepts:</w:t>
      </w:r>
      <w:r>
        <w:t xml:space="preserve"> degradation, environment, water, not; EU scope not established. This is a provisional connection, not an outcome finding.</w:t>
      </w:r>
    </w:p>
    <w:p>
      <w:pPr>
        <w:pStyle w:val="SourceNote"/>
      </w:pPr>
      <w:r>
        <w:rPr>
          <w:b/>
        </w:rPr>
        <w:t>Available abstract (not full text):</w:t>
      </w:r>
      <w:r>
        <w:t xml:space="preserve"> The growing amount of plastic waste requires new ways of disposal or recycling. Research into the biodegradation of recalcitrant plastic polymers is gathering pace. Despite some progress, these efforts have not yet led to technologically and economically viable applications. In this study, we show that respirometric screening of environmental fungal isolates in combination with scanning electron microscopy (SEM), Fourier transform infrared spectroscopy (FTIR) and Raman spectroscopy can be used to identify new strains with the potential for the degradation of plastic polymers. We screened 146 fungal strains, 71 isolated from car repair shops, an environment rich in long-chain hydrocarbons, and 75 isolated from hypersaline water capable of growing at high concentrations of NaCl. When grown in a minimal medium with no carbon source, some strains produced significantly more CO 2 when a pure plastic polymer was added to the medium, some only at high salinity. A selection of these strains was shown by FTIR and Raman spectroscopy to alter the properties of plastic polymers: Cladosporium sp. EXF-13502 on polyamide, Rhodotorula dairenensis EXF-13500 on polypropylene, Rhodotorula sp. EXF-10630 on low-density polyethylene and Wickerhamomyces anomalus EXF-6848 on polyethylene terephthalate. Respirometry in combination with specific spectroscopic methods is an efficient method for screening</w:t>
      </w:r>
    </w:p>
    <w:p>
      <w:pPr/>
      <w:r>
        <w:rPr>
          <w:b/>
        </w:rPr>
        <w:t>POSSIBLE 2024:</w:t>
      </w:r>
      <w:r>
        <w:t xml:space="preserve"> Plastic Pollution in Agriculture as a Threat to Food Security, the Ecosystem, and the Environment: An Overview — https://doi.org/10.3390/agronomy14030548</w:t>
      </w:r>
    </w:p>
    <w:p>
      <w:pPr/>
      <w:r>
        <w:rPr>
          <w:b/>
        </w:rPr>
        <w:t>Shared claim-specific concepts:</w:t>
      </w:r>
      <w:r>
        <w:t xml:space="preserve"> environment, security, quality, water, food, problems; EU scope not established. This is a provisional connection, not an outcome finding.</w:t>
      </w:r>
    </w:p>
    <w:p>
      <w:pPr>
        <w:pStyle w:val="SourceNote"/>
      </w:pPr>
      <w:r>
        <w:rPr>
          <w:b/>
        </w:rPr>
        <w:t>Available abstract (not full text):</w:t>
      </w:r>
      <w:r>
        <w:t xml:space="preserve"> Plastic products in plant production and protection help farmers increase crop production, enhance food quality, and reduce global water use and their environmental footprint. Simultaneously, plastic has emerged as a critical ecological issue in recent years, and its pollution has significantly impacted soil, water, and plants. Thus, this review examines the multifaceted problems of plastic pollution in agriculture as a risk to food security, the ecosystem, and the environment. The study’s objective was to review and present the most recent information on using different plastic products in agriculture, the sources of plastic pollution, the advantages and drawbacks of using plastic products, and the strategies for mitigating plastic pollution in agriculture. Furthermore, after examining current plastic applications, benefits, adverse effects, and risks to soil, plants, and the environment, we addressed the requirements for technological advancements, regulations, and social processes that could contribute to mitigating plastic pollution in our ecosystems. We identified different pathways toward more sustainable use of plastics in agriculture and discussed future research directions.</w:t>
      </w:r>
    </w:p>
    <w:p>
      <w:pPr>
        <w:pStyle w:val="Heading2"/>
      </w:pPr>
      <w:r>
        <w:t>660.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2026:</w:t>
      </w:r>
      <w:r>
        <w:t xml:space="preserve"> European Lepidoptera–Plant Associations: A Species‐Level Interaction Matrix — https://doi.org/10.1002/ece3.73004</w:t>
      </w:r>
    </w:p>
    <w:p>
      <w:pPr/>
      <w:r>
        <w:rPr>
          <w:b/>
        </w:rPr>
        <w:t>Shared claim-specific concepts:</w:t>
      </w:r>
      <w:r>
        <w:t xml:space="preserve"> encompassing, level, all; EU scope visible. This is a provisional connection, not an outcome finding.</w:t>
      </w:r>
    </w:p>
    <w:p>
      <w:pPr>
        <w:pStyle w:val="SourceNote"/>
      </w:pPr>
      <w:r>
        <w:rPr>
          <w:b/>
        </w:rPr>
        <w:t>Available abstract (not full text):</w:t>
      </w:r>
      <w:r>
        <w:t xml:space="preserve"> Documenting plant-herbivore interactions at broad spatial scales is crucial for understanding the ecological and evolutionary processes that shape biodiversity. Here I present a continental-scale interaction matrix encompassing 5152 Lepidoptera species and 3275 vascular plant species across Europe. The dataset compiles records from published literature, monographs, online repositories, and gray sources, with all taxa standardized to current classifications. By resolving associations at the species level, this resource provides a robust basis for investigating host specialization, network structure, and patterns of herbivore diversity in biogeographic and phylogenetic contexts. In addition to supporting fundamental research, the matrix offers applied value for conservation biology-for example, by identifying keystone host plants that sustain diverse herbivore assemblages and by assessing the vulnerability of insect communities to host loss under global change. The dataset is openly available in a machine-readable format under a CC-BY 4.0 license, ensuring transparency, reproducibility, and long-term accessibility for ecological and evolutionary studies.</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2024:</w:t>
      </w:r>
      <w:r>
        <w:t xml:space="preserve"> Loneliness in midlife: Historical increases and elevated levels in the United States compared with Europe. — https://doi.org/10.1037/amp0001322</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 Middle-aged adults in the United States, England, and Mediterranean Europe today report higher levels of loneliness than earlier born cohorts, whereas no historical changes (if not historically lower levels) were observed in Continental and Nordic Europe. Our discussion focuses on possible reasons for cross-national differences in midlife loneliness, including cultural factors, social and economic inequalities, and differences in social safety nets. (PsycInfo Database Record (c) 2025 APA, all rights reserved).</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consumption, baseline;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2022:</w:t>
      </w:r>
      <w:r>
        <w:t xml:space="preserve"> Nature-Based Solutions in Coastal and Estuarine Areas of Europe — https://doi.org/10.3389/fenvs.2022.829526</w:t>
      </w:r>
    </w:p>
    <w:p>
      <w:pPr/>
      <w:r>
        <w:rPr>
          <w:b/>
        </w:rPr>
        <w:t>Shared claim-specific concepts:</w:t>
      </w:r>
      <w:r>
        <w:t xml:space="preserve"> run, related, compared, against; EU scope visible. This is a provisional connection, not an outcome finding.</w:t>
      </w:r>
    </w:p>
    <w:p>
      <w:pPr>
        <w:pStyle w:val="SourceNote"/>
      </w:pPr>
      <w:r>
        <w:rPr>
          <w:b/>
        </w:rPr>
        <w:t>Available abstract (not full text):</w:t>
      </w:r>
      <w:r>
        <w:t xml:space="preserve"> Momentum for sustainable and climate resilience solutions for coastal protection are growing globally given the pressing need to prevent further loss of biodiversity and ecosystems while meeting the climate change adaptation and mitigation goals. Nature-Based Solutions (NbS) represent an opportunity to align environmental and resilience goals, at a time of strained budgets in a global context and when short-term needs may run counter to long-term goals. In Europe, NbS fit the mandates of major EU environmental and climate change policies by restoring biodiversity and enhancing climate-resilience and carbon sequestration. Previous studies have compiled scientific evidence about hydro-meteorological hazards for the use of NbS. However, their implementation at scale is still lacking. As the knowledge and experience with NbS for adaptation to natural hazards and climate change increases, it becomes more important to draw lessons learned and insights for replicating and scaling up NbS, especially in coastal areas where their implementation is still limited compared to other environments. This study analyzed NbS case studies across European coastal and estuarine areas to draw key lessons, understand better the current status of implementation, and identify key challenges and gaps. From a total of 59 NbS case studies associated with flooding, erosion and biodiversity loss, results sho</w:t>
      </w:r>
    </w:p>
    <w:p>
      <w:pPr/>
      <w:r>
        <w:rPr>
          <w:b/>
        </w:rPr>
        <w:t>POSSIBLE 2022:</w:t>
      </w:r>
      <w:r>
        <w:t xml:space="preserve"> Nature-Based Solutions in Urban Areas: A European Analysis — https://doi.org/10.3390/app13010168</w:t>
      </w:r>
    </w:p>
    <w:p>
      <w:pPr/>
      <w:r>
        <w:rPr>
          <w:b/>
        </w:rPr>
        <w:t>Shared claim-specific concepts:</w:t>
      </w:r>
      <w:r>
        <w:t xml:space="preserve"> level, well, different;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r>
        <w:rPr>
          <w:b/>
        </w:rPr>
        <w:t>POSSIBLE 2022:</w:t>
      </w:r>
      <w:r>
        <w:t xml:space="preserve"> Drivers of phenological changes in southern Europe — https://doi.org/10.1007/s00484-022-02331-0</w:t>
      </w:r>
    </w:p>
    <w:p>
      <w:pPr/>
      <w:r>
        <w:rPr>
          <w:b/>
        </w:rPr>
        <w:t>Shared claim-specific concepts:</w:t>
      </w:r>
      <w:r>
        <w:t xml:space="preserve"> pattern, different; EU scope visible. This is a provisional connection, not an outcome finding.</w:t>
      </w:r>
    </w:p>
    <w:p>
      <w:pPr>
        <w:pStyle w:val="SourceNote"/>
      </w:pPr>
      <w:r>
        <w:rPr>
          <w:b/>
        </w:rPr>
        <w:t>Available abstract (not full text):</w:t>
      </w:r>
      <w:r>
        <w:t xml:space="preserve"> The life cycle of plants is largely determined by climate, which renders phenological responses to climate change a highly suitable bioindicator of climate change. Yet, it remains unclear, which are the key drivers of phenological patterns at certain life stages. Furthermore, the varying responses of species belonging to different plant functional types are not fully understood. In this study, the role of temperature and precipitation as environmental drivers of phenological changes in southern Europe is assessed. The trends of the phenophases leaf unfolding, flowering, fruiting, and senescence are quantified, and the corresponding main environmental drivers are identified. A clear trend towards an earlier onset of leaf unfolding, flowering, and fruiting is detected, while there is no clear pattern for senescence. In general, the advancement of leaf unfolding, flowering and fruiting is smaller for deciduous broadleaf trees in comparison to deciduous shrubs and crops. Many broadleaf trees are photoperiod-sensitive; therefore, their comparatively small phenological advancements are likely the effect of photoperiod counterbalancing the impact of increasing temperatures. While temperature is identified as the main driver of phenological changes, precipitation also plays a crucial role in determining the onset of leaf unfolding and flowering. Phenological phases advance under dry co</w:t>
      </w:r>
    </w:p>
    <w:p>
      <w:pPr/>
      <w:r>
        <w:rPr>
          <w:b/>
        </w:rPr>
        <w:t>POSSIBLE 2022:</w:t>
      </w:r>
      <w:r>
        <w:t xml:space="preserve"> Fertility trends and its determinants in Spain and Europe — https://doi.org/10.33612/diss.237466569</w:t>
      </w:r>
    </w:p>
    <w:p>
      <w:pPr/>
      <w:r>
        <w:rPr>
          <w:b/>
        </w:rPr>
        <w:t>Shared claim-specific concepts:</w:t>
      </w:r>
      <w:r>
        <w:t xml:space="preserve"> number, level, different; EU scope visible. This is a provisional connection, not an outcome finding.</w:t>
      </w:r>
    </w:p>
    <w:p>
      <w:pPr>
        <w:pStyle w:val="SourceNote"/>
      </w:pPr>
      <w:r>
        <w:rPr>
          <w:b/>
        </w:rPr>
        <w:t>Available abstract (not full text):</w:t>
      </w:r>
      <w:r>
        <w:t xml:space="preserve"> European demography and fertility is a colorful mosaic that reflects a variety of cultures and institutions across different countries. There is considerable subnational variation in fertility levels, therefore the national average values often hide important local differences. Previous research has shown different factors to have an impact on fertility tempo and quantum, such as economic contraction, social transformations, and the rise of migration. Such changes have not spread homogeneously, but with a different pace and intensity across European countries. This thesis aims to obtain more insight into the geographical variation in fertility changes in Europe, and to identify the role of a number of major factors behind this geographical variation, both at the macro level for European countries, and at the micro level for Spanish regions. The socio-economic factors involved in the transformation of fertility in Spain, is conducted at subnational level employing small territorial units, and constructing demographic and socio-economic indicators, which encompass fertility for the past forty years. Although fertility in most European countries is below replacement, the two child ideal is still very much the norm. Results show the factors that allow fulfilling childbearing ideals and how they differ between Western and Eastern Europe. Attitudes towards childbearing can change aft</w:t>
      </w:r>
    </w:p>
    <w:p>
      <w:pPr/>
      <w:r>
        <w:rPr>
          <w:b/>
        </w:rPr>
        <w:t>POSSIBLE 2021:</w:t>
      </w:r>
      <w:r>
        <w:t xml:space="preserve"> Barriers to ecological restoration in Europe: expert perspectives — https://doi.org/10.1111/rec.13346</w:t>
      </w:r>
    </w:p>
    <w:p>
      <w:pPr/>
      <w:r>
        <w:rPr>
          <w:b/>
        </w:rPr>
        <w:t>Shared claim-specific concepts:</w:t>
      </w:r>
      <w:r>
        <w:t xml:space="preserve"> number, level, all, different;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pStyle w:val="Heading2"/>
      </w:pPr>
      <w:r>
        <w:t>661.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2026:</w:t>
      </w:r>
      <w:r>
        <w:t xml:space="preserve"> DEVELOPMENT SCENARIOS OF COLLABORATION IN THE FIELD OF INCLUSIVE HIGHER EDUCATION BETWEEN RUSSIA AND CIS COUNTRIES: PROJECT-FORESIGHT — https://doi.org/10.36315/2026v2end012</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The study describes the results of the first round of a foresight project conducted in July 2025, aimed at identifying promising scenarios for the development of cooperation between Russia and CIS countries in the field of inclusive higher education.The research was a continuation of two preliminary pre-foresight sessions held in the spring of 2025.An expert survey, developed based on the initially formulated scenarios, was sent to experts from Russia, Belarus, Kyrgyzstan, and Uzbekistan for refinement.Experts assessed the probability of six different scenarios across three-time horizons (5, 10, and 15 years) on a five-point Likert scale and selected the most probable scenario for each time interval.The key findings of the study demonstrate cautious optimism.In the short term (5 years), the most probable scenario is recognized as the realistic "Points of Growth" scenario, characterized by parallel national initiatives with the exchange of best practices.In the medium term (10 years), preference is given to the "Points of Growth -Regional Synergy" scenario, which implies the deepening of inter-university cooperation and the emergence of regional centers.The long-term forecast (15 years) shows a divergence of opinions but a clear shift towards more optimistic and cooperative scenarios, in particular, the "International Hub -Integration through Cooperation" scenario, indicating th</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Rethinking Urban Planning for Uncertainty: Big Picture Planning as Urban Foresight Practice — https://doi.org/10.1080/01944363.2025.2579977</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Urban planning often faces challenges stemming from legal rigidity and institutional fragmentation, which hinder its ability to address complex and uncertain future scenarios. In this Viewpoint we introduce Big Picture Planning (BPP), a dynamic bundle of strategically guided foresight plans that supplements statutory comprehensive plans across multiple time horizons. Our argument was developed in the case of Huntsville’s (AL) Big Picture. BPP consists of three actions and processes: strategy development, creation of project and theme bundles, and contextual re-evaluation and backward influence of the futures. We highlight the value of BPP in fostering flexible and adaptable project bundles. BPP recognizes the complex influences that flow between past experiences and future possibilities, acknowledges decision makers and stakeholders, and respects the diversity of urban contexts and timelines. Building on Huntsville’s Big Picture, we advance a model of overlapping timelines and varying contexts of each city component and apply theory to real-life planning settings and planning education.</w:t>
      </w:r>
    </w:p>
    <w:p>
      <w:pPr/>
      <w:r>
        <w:rPr>
          <w:b/>
        </w:rPr>
        <w:t>POSSIBLE 2024:</w:t>
      </w:r>
      <w:r>
        <w:t xml:space="preserve"> Applying Evaluation Thinking and Practice to Foresight Evaluation — https://openalex.org/W7213478429</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Foresight evaluation is in increasing demand as a result of the increasing use of foresight in policymaking. In many situations, evaluation of foresight projects will resemble traditional project evaluation. That said, foresight evaluation requires some modifications with respect to traditional programme evaluation, especially because of the need to address the challenges of complexity, long-time horizons, qualitative nature of the work, and largely intangible and multiple foresight outcomes. With respect to the latter, appropriate designs and methods have been developed by a dedicated group of evaluators and funders over the last 20 years, resulting in a significant body of evaluation work applicable to foresight. This paper presents evaluation theories and practices that are important to keep in mind when designing a foresight evaluation, calling out specific constructs and methods that are useful in diverse foresight settings. It is intended for evaluators and foresight practitioners with evaluation expertise and will be particularly helpful for evaluators new to foresight, helping them navigate the foresight space. For foresight practitioners with limited or no evaluation expertise, this paper will provide a detailed overview of all that evaluation has to offer or a new way of thinking.</w:t>
      </w:r>
    </w:p>
    <w:p>
      <w:pPr/>
      <w:r>
        <w:rPr>
          <w:b/>
        </w:rPr>
        <w:t>POSSIBLE 2023:</w:t>
      </w:r>
      <w:r>
        <w:t xml:space="preserve"> Looking at the fringes of MedTech innovation: a mapping review of horizon scanning and foresight methods — https://doi.org/10.1136/bmjopen-2023-073730</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OBJECTIVES: Horizon scanning (HS) is a method used to examine signs of change and may be used in foresight practice. HS methods used for the identification of innovative medicinal products cannot be applied in medical technologies (MedTech) due to differences in development and regulatory processes. The aim of this study is to identify HS and other methodologies used for MedTech foresight in support to healthcare decision-making. METHOD: A mapping review was performed. We searched bibliographical databases including MEDLINE, Embase, Scopus, Web of Science, IEEE Xplore and Compendex Engineering Village and grey literature sources such as Google, CORE database and the International HTA database. Our searches identified 8888 records. After de-duplication, and manual and automated title, abstracts and full-text screening, 49 papers met the inclusion criteria and were data extracted. RESULTS: Twenty-five single different methods were identified, often used in combination; of these, only three were novel (appearing only once in the literature). Text mining or artificial intelligence solutions appear as early as 2012, often practised in patent and social media sources. The time horizon used in scanning was not often justified. Some studies regarded experts both as a source and as a method. Literature searching remains one of the most used methods for innovation identification. HS meth</w:t>
      </w:r>
    </w:p>
    <w:p>
      <w:pPr/>
      <w:r>
        <w:rPr>
          <w:b/>
        </w:rPr>
        <w:t>POSSIBLE 2023:</w:t>
      </w:r>
      <w:r>
        <w:t xml:space="preserve"> Foresight in public health: application and challenges — https://doi.org/10.1093/eurpub/ckad160.1000</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Abstract Background Foresight studies in the field of public health are limited. However, in the context of increasing uncertainty and complexity, such as with the COVID-19 pandemic, there is growing need to anticipate future trends and to plan for them. Foresight provides the tools to explore possible futures and develop policy strategies. Despite its value, foresight is an underused methodology. Hence, the aim of this study is to illustrate how foresight can be applied in public health, and how to deal with the associated challenges. Methods We describe the six-steps that are part of foresight methodology. In step 1 we discuss how to formulate study objectives. We illustrate in step 2, the application of the conceptual model and the DESTEP tool to identify and rank driving forces. We then discuss time horizon and spatial distribution, in step 3. In step 4, we discuss scenario logics. Finally in steps 5 and 6, we discuss the types of scenarios and tools for analyses. Possible challenges encountered when applying foresight methodology are drawn from the experiences and lessons learnt from the PHIRI project. Results Challenges during application of the foresight six-steps approach included difficulties in formulating research objectives, developing a conceptual model, identifying most important future trends, developing systematic, consistent and plausible scenarios with clear m</w:t>
      </w:r>
    </w:p>
    <w:p>
      <w:pPr/>
      <w:r>
        <w:rPr>
          <w:b/>
        </w:rPr>
        <w:t>POSSIBLE 2023:</w:t>
      </w:r>
      <w:r>
        <w:t xml:space="preserve"> Foresight Research "Scenarios: Ukraine 2040" — https://doi.org/10.5281/zenodo.19045633</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The Russian invasion of Ukraine on 24 February 2022 has required Ukrainian parliamentarians and the government to address a large number of uncertainties when planning and developing policies and laws. To ensure that long-term thinking is applied to the policy process, the First Deputy Chairman of the Ukrainian Parliament requested a foresight study on the post-war recovery and development of Ukraine. This study was conducted as a joint project between the Inter-factional Union of Members of Parliament “Strategic Foresight of Ukraine” in the Verkhovna Rada and the All-Party Parliamentary Group for Future Generations in the United Kingdom, with the strong organizational support of the United Nations Development Programme (UNDP) Ukraine as well as other international partners. The aim of this study is threefold: to consider different possible scenarios for the recovery and development of Ukraine, including risks and ways to mitigate these risks, opportunities, and possible cognitive biases; and to provide insights about the future that will help parliamentarians engage in more effective decision-making in the uncertainty of wartime; and to generate insights regarding potential strategic implications for Ukraine. The scenarios presented in this report were developed over the course of seven months, between mid-July 2022 and mid-February 2023. The process was heavily based on works</w:t>
      </w:r>
    </w:p>
    <w:p>
      <w:pPr/>
      <w:r>
        <w:rPr>
          <w:b/>
        </w:rPr>
        <w:t>POSSIBLE 2022:</w:t>
      </w:r>
      <w:r>
        <w:t xml:space="preserve"> Precursors to a 'Good' Bioeconomy in 2125: Making Sense of Bioeconomy &amp; Justice Horizons. First Foresight Report of the BioEcoJust Project — https://openalex.org/W7220759861</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Foresight Capacity Building — https://doi.org/10.5281/zenodo.6630549</w:t>
      </w:r>
    </w:p>
    <w:p>
      <w:pPr/>
      <w:r>
        <w:rPr>
          <w:b/>
        </w:rPr>
        <w:t>Shared claim-specific concepts:</w:t>
      </w:r>
      <w:r>
        <w:t xml:space="preserve"> foresight, project, covered, time;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2021:</w:t>
      </w:r>
      <w:r>
        <w:t xml:space="preserve"> Becoming a forerunner in foresight : Key elements of success in organizational foresight — https://openalex.org/W3175285991</w:t>
      </w:r>
    </w:p>
    <w:p>
      <w:pPr/>
      <w:r>
        <w:rPr>
          <w:b/>
        </w:rPr>
        <w:t>Shared claim-specific concepts:</w:t>
      </w:r>
      <w:r>
        <w:t xml:space="preserve"> foresight, two, time; EU scope not established. This is a provisional connection, not an outcome finding.</w:t>
      </w:r>
    </w:p>
    <w:p>
      <w:pPr>
        <w:pStyle w:val="SourceNote"/>
      </w:pPr>
      <w:r>
        <w:rPr>
          <w:b/>
        </w:rPr>
        <w:t>Available abstract (not full text):</w:t>
      </w:r>
      <w:r>
        <w:t xml:space="preserve"> As previous foresight studies show, successful foresight activities are the key to organization’s long-term survival and increased performance. But what are the elements that constitute successful foresight? And furthermore, how organizations understand “foresight success”? This thesis approaches the issue of successful foresight in organizations by building an overview of factors that promote or hinder organizational foresight. The aim is to improve organizational foresight practices by increasing the understanding of foresight success elements. An organization that cultivates these elements can eventually transform into a forerunner in foresight. Foresight success and success factors are first examined through previous foresight studies and further considered through empirical material. The selected approach is qualitative inquiry: by interviewing 12 Finnish organizations of which six can be considered as forerunners in foresight, a deeper understanding of organizational foresight success is constructed. Empirical findings are further supported by theoretical framework of foresight maturity models, in which elements of foresight are depicted as organizational capabilities that develop over time. As a result, this study confirms the importance of factors identified in previous foresight research that promote, or conversely hinder, foresight successfulness in organizations. The</w:t>
      </w:r>
    </w:p>
    <w:p>
      <w:pPr/>
      <w:r>
        <w:rPr>
          <w:b/>
        </w:rPr>
        <w:t>POSSIBLE 2021:</w:t>
      </w:r>
      <w:r>
        <w:t xml:space="preserve"> Creativity, proactivity, and foresight — https://doi.org/10.1016/j.techfore.2021.121215</w:t>
      </w:r>
    </w:p>
    <w:p>
      <w:pPr/>
      <w:r>
        <w:rPr>
          <w:b/>
        </w:rPr>
        <w:t>Shared claim-specific concepts:</w:t>
      </w:r>
      <w:r>
        <w:t xml:space="preserve"> foresight, two, namely; EU scope not established. This is a provisional connection, not an outcome finding.</w:t>
      </w:r>
    </w:p>
    <w:p>
      <w:pPr>
        <w:pStyle w:val="SourceNote"/>
      </w:pPr>
      <w:r>
        <w:rPr>
          <w:b/>
        </w:rPr>
        <w:t>Available abstract (not full text):</w:t>
      </w:r>
      <w:r>
        <w:t xml:space="preserve"> This study addresses how foresight interventions can translate creativity into proactive behavior and, in this sense, foster anticipatory strategic management. We develop a theoretical model, linking creativity and proactivity with known discrete individual foresight cognitive styles, namely “Reactor”, “Tester”, “Adapter”, and “Framer”, but also add a new “Actor” dimension. The theoretical model is tested by analyzing quantitative data from 172 students attending two scenario-building workshops. Our SEM model allows us to formulate three conclusions. First, creativity is not directly linked to proactivity without considering individual foresight cognitive styles. Second, we confirm the presence of four components of foresight as discrete foresight cognitive styles but also demonstrate the importance of a fifth component, the “Actor”. Third, it is only through the “Tester”, “Adapter”, and “Actor” components that creative energy most significantly aids proactivity. This means that creativity most significantly aids proactivity when individuals are either able to experiment with alternative courses of action or change the conditions for how their respective futures may unfold. We contribute to the foresight literature by demonstrating how foresight, as a process of intervention, can foster discrete foresight cognitive styles at the individual level and moderate relationships betwe</w:t>
      </w:r>
    </w:p>
    <w:p>
      <w:pPr/>
      <w:r>
        <w:rPr>
          <w:b/>
        </w:rPr>
        <w:t>POSSIBLE 2021:</w:t>
      </w:r>
      <w:r>
        <w:t xml:space="preserve"> Cost-Benefit Analysis and the environment: The time horizon is of the essence — https://doi.org/10.1016/j.eiar.2021.106587</w:t>
      </w:r>
    </w:p>
    <w:p>
      <w:pPr/>
      <w:r>
        <w:rPr>
          <w:b/>
        </w:rPr>
        <w:t>Shared claim-specific concepts:</w:t>
      </w:r>
      <w:r>
        <w:t xml:space="preserve"> project, time, horizons; EU scope not established. This is a provisional connection, not an outcome finding.</w:t>
      </w:r>
    </w:p>
    <w:p>
      <w:pPr>
        <w:pStyle w:val="SourceNote"/>
      </w:pPr>
      <w:r>
        <w:rPr>
          <w:b/>
        </w:rPr>
        <w:t>Available abstract (not full text):</w:t>
      </w:r>
      <w:r>
        <w:t xml:space="preserve"> Cost-Benefit Analysis is a key tool for evaluating welfare gains or losses from an investment. It is now well established that environmental impacts are crucial to consider the full welfare implications of a project. Debate has focussed on approaches to improve the valuation of environmental impacts, and controversy in the discounting of future impacts to present values. The issue of the time horizon of analysis is frequently overlooked. The framing of the time horizon has major implications, as environmental costs and benefits often accrue in the long-term. The technical aspects of setting the time horizon are reviewed, along with updates to practice guidance, noting the longer time horizons now becoming typical. It is demonstrated that the time horizon can have a considerable impact on results, even more substantial than the discount rate. While uncertainty is noted as a technical challenge to longer-term analysis, the use of scenarios and sensitivity testing are noted as an appropriate response. For projects with long-term environmental effects, such as those related to air pollution, climate change and ecosystem damages, it is recommended to use timescales of 100+ years for economic evaluation of the impact. Failing to fully capture these long-term welfare gains and losses will distort analysis with a bias towards those projects that are more carbon-intensive, or environmen</w:t>
      </w:r>
    </w:p>
    <w:p>
      <w:pPr>
        <w:pStyle w:val="Heading2"/>
      </w:pPr>
      <w:r>
        <w:t>662.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2025:</w:t>
      </w:r>
      <w:r>
        <w:t xml:space="preserve"> IMPLEMENTATION OF TRANSPORT ACCESSIBILITY IN THE TOURISM SECTOR — https://doi.org/10.32782/2707-8019/2025-1-3</w:t>
      </w:r>
    </w:p>
    <w:p>
      <w:pPr/>
      <w:r>
        <w:rPr>
          <w:b/>
        </w:rPr>
        <w:t>Shared claim-specific concepts:</w:t>
      </w:r>
      <w:r>
        <w:t xml:space="preserve"> about, tourism, sector, various; EU scope not established. This is a provisional connection, not an outcome finding.</w:t>
      </w:r>
    </w:p>
    <w:p>
      <w:pPr>
        <w:pStyle w:val="SourceNote"/>
      </w:pPr>
      <w:r>
        <w:rPr>
          <w:b/>
        </w:rPr>
        <w:t>Available abstract (not full text):</w:t>
      </w:r>
      <w:r>
        <w:t xml:space="preserve"> The prevailing trend in the development of tourism is to enhance the accessibility of tourist services for all segments of society. To this end, a range of measures must be implemented at both the state and local levels, as well as by the enterprises themselves. The present paper explores the merits and drawbacks of the various modes of transport utilised in the provision of tourist services. It is determined that in the future the transport offer in tourism will develop in the following directions: increasing the environmental friendliness of transport, ecological types of transport; accessibility of transport offer for people with disabilities; increased attention to travel safety; improvement of transport infrastructure. It is noted that the main barriers faced by tourists with disabilities are: inaccessibility of transport infrastructure facilities; low quality of service provided by support staff; insufficient awareness of service providers; lack of information about accessible facilities, services, relevant websites; lack of accessible rooms in hotels, restaurants and public places. This paper sets out the measures that local authorities and heads of transport infrastructure enterprises should take to improve accessibility. The measures to ensure the accessibility of various types of transport are disclosed, as are the best foreign experiences in the field of infrastructu</w:t>
      </w:r>
    </w:p>
    <w:p>
      <w:pPr/>
      <w:r>
        <w:rPr>
          <w:b/>
        </w:rPr>
        <w:t>POSSIBLE 2024:</w:t>
      </w:r>
      <w:r>
        <w:t xml:space="preserve"> Subpoenaing Luther on Questions of Polygyny — https://doi.org/10.62154/v5kvy441</w:t>
      </w:r>
    </w:p>
    <w:p>
      <w:pPr/>
      <w:r>
        <w:rPr>
          <w:b/>
        </w:rPr>
        <w:t>Shared claim-specific concepts:</w:t>
      </w:r>
      <w:r>
        <w:t xml:space="preserve"> accordingly, questions, arise, method; EU scope not established. This is a provisional connection, not an outcome finding.</w:t>
      </w:r>
    </w:p>
    <w:p>
      <w:pPr>
        <w:pStyle w:val="SourceNote"/>
      </w:pPr>
      <w:r>
        <w:rPr>
          <w:b/>
        </w:rPr>
        <w:t>Available abstract (not full text):</w:t>
      </w:r>
      <w:r>
        <w:t xml:space="preserve"> The study discussed debatable questions of Martin Luther’s support of polygyny, which are considered perennial enough to warrant a rejoinder of curricular relevance to Biblical Christianity and theology from a contemporary African perspective. Accordingly, the study proposed that establishing an effective understanding of the debatable points against polygyny is necessary for developing Biblical theology curricular tools for deliberating on Luther’s stand in support of polygyny. The study pursued two purposes. Purpose 1: to consider the historical grounds for a contemporaneous subpoena to Luther on perennial questions of polygyny. These are the grounds upon which a proxy rejoinder can be delimited to facilitate formal learning exercises, via the curriculum of Biblical theology in Africa. Purpose 2: to address the contemporaneous submissions of the church in Africa against polygyny in support of the historical grounds for subpoenaing Luther on perennial questions of polygyny, upon which a proxy rejoinder can be delimited for treatment via the curriculum of Biblical theology in Africa. The study was facilitated by the qualitative research methodology, via which primary historical documents were examined primarily using the documentary analytical method. A key conclusion of the study is that learners and teachers, as participants in the Biblical theology course, are both responsib</w:t>
      </w:r>
    </w:p>
    <w:p>
      <w:pPr/>
      <w:r>
        <w:rPr>
          <w:b/>
        </w:rPr>
        <w:t>POSSIBLE 2024:</w:t>
      </w:r>
      <w:r>
        <w:t xml:space="preserve"> Cognitive possibilities of political science: ask questions about Russian political science — https://doi.org/10.12737/2587-6295-2024-8-1-93-102</w:t>
      </w:r>
    </w:p>
    <w:p>
      <w:pPr/>
      <w:r>
        <w:rPr>
          <w:b/>
        </w:rPr>
        <w:t>Shared claim-specific concepts:</w:t>
      </w:r>
      <w:r>
        <w:t xml:space="preserve"> accordingly, questions, about, based, method; EU scope not established. This is a provisional connection, not an outcome finding.</w:t>
      </w:r>
    </w:p>
    <w:p>
      <w:pPr>
        <w:pStyle w:val="SourceNote"/>
      </w:pPr>
      <w:r>
        <w:rPr>
          <w:b/>
        </w:rPr>
        <w:t>Available abstract (not full text):</w:t>
      </w:r>
      <w:r>
        <w:t xml:space="preserve"> The purpose of the work is to raise the question of the cognitive capabilities of political science and to what extent, in this regard, the methodological tools of political science are an adequate means for studying Russian reality. The methodology of the research was a politico-philosophical approach, which used a retrospective method and discourse analysis. The specificity of the social sciences and humanities implies the existence of value positions of the subject of cognition and determines the practice-oriented orientation of his research activity. The model of reality reconstructed by the scientist is based on a value-colored picture of the world, which directly or implicitly influences the interpretation of facts. Political science, being a part of social and humanitarian knowledge, is not devoid of its specificity and is also based on a certain model of the worldview - a paradigm. The science of politics was formed in the bosom of Western society, taking as a basis the corresponding paradigm of thinking. At a certain point, comparative studies begins to occupy a central position in the study of politics, in fact identifying the whole of political science with itself. Its distinctive feature, which has not been overcome to this day, is the attitude to compare the entire diversity of the political world with its own "ideal" of due. Accordingly, everything that does not f</w:t>
      </w:r>
    </w:p>
    <w:p>
      <w:pPr/>
      <w:r>
        <w:rPr>
          <w:b/>
        </w:rPr>
        <w:t>POSSIBLE 2024:</w:t>
      </w:r>
      <w:r>
        <w:t xml:space="preserve"> HEALTH TOURISM TRENDS: EXPECTATIONS AND MOTIVES OF GENERATION Z BASED ON UKRAINIAN STUDENTS’ SURVEY — https://doi.org/10.30970/ves.2024.66.0.6605</w:t>
      </w:r>
    </w:p>
    <w:p>
      <w:pPr/>
      <w:r>
        <w:rPr>
          <w:b/>
        </w:rPr>
        <w:t>Shared claim-specific concepts:</w:t>
      </w:r>
      <w:r>
        <w:t xml:space="preserve"> ukrainian, tourism, based, survey, second; EU scope visible. This is a provisional connection, not an outcome finding.</w:t>
      </w:r>
    </w:p>
    <w:p>
      <w:pPr>
        <w:pStyle w:val="SourceNote"/>
      </w:pPr>
      <w:r>
        <w:rPr>
          <w:b/>
        </w:rPr>
        <w:t>Available abstract (not full text):</w:t>
      </w:r>
      <w:r>
        <w:t xml:space="preserve"> Summary. The study was conducted within the DAAD project «The Health Тour» framework, which aims to exchange pedagogical and research experience between universities from Germany, Hungary, Croatia, Georgia, the Czech Republic, and Ukraine [12]. It also includes mutual acquaintance with the latest scientifi c achievements of their scientists and as a result realizing joint educational course «Medical, wellness and SPA tourism». The course was taught for students of the countries participating in the project, including Master students of the educational and professional program «Tourism Activities» of the Ivan Franko National University of Lviv in the second semester of 2022-2023. The lectures were conducted alternately by professors from six universities – Budapest Metropolitan University (BMU), Caucasus International University (CIU), Universität Rijeka (UR), Kherson State University (KSU), Prague University of Economics and Business (VSE), Ivan Franko National University of Lviv (IFNUL) under umbrella of the Deggendorf Institute of Technology (DIT). The purpose of the course was relevant to new trends in tourist services: to provide not only a tourist’s rest but also an opportunity to improve his/her well-being[10]. The course ended with the Winter School on Health Tourism on 9-13 October 2023 in Pfarrkirchen, Germany. The Winter School was attended by the most motivated stude</w:t>
      </w:r>
    </w:p>
    <w:p>
      <w:pPr/>
      <w:r>
        <w:rPr>
          <w:b/>
        </w:rPr>
        <w:t>POSSIBLE 2023:</w:t>
      </w:r>
      <w:r>
        <w:t xml:space="preserve"> FEATURES OF THE RESPONSIBILITY FOR VIOLATIONS OF TAX LEGISLATION IN UKRAINE AND THE COUNTRIES OF THE EUROPEAN UNION: THE QUESTION OF GUILT — https://doi.org/10.32782/2524-0374/2023-1/78</w:t>
      </w:r>
    </w:p>
    <w:p>
      <w:pPr/>
      <w:r>
        <w:rPr>
          <w:b/>
        </w:rPr>
        <w:t>Shared claim-specific concepts:</w:t>
      </w:r>
      <w:r>
        <w:t xml:space="preserve"> accordingly, questions, arise, ukrainian; EU scope visible. This is a provisional connection, not an outcome finding.</w:t>
      </w:r>
    </w:p>
    <w:p>
      <w:pPr>
        <w:pStyle w:val="SourceNote"/>
      </w:pPr>
      <w:r>
        <w:rPr>
          <w:b/>
        </w:rPr>
        <w:t>Available abstract (not full text):</w:t>
      </w:r>
      <w:r>
        <w:t xml:space="preserve"> A particularly difficult issue in the study of the institution of responsibility in tax law is the question of the guilt of business entities -taxpayers.Since taxes are one of the financial instruments used to build relationships between economic entities and the state, the study of the issue of taxpayers' guilt is particularly relevant.Taxpayers are slowly adapting to changes in tax legislation that came into effect on January 1, 2021.One of the most discussed and radical novelties is the official legalization of the institution of guilt as a mandatory element of certain tax offenses and, accordingly, a necessary condition for holding taxpayers to financial responsibility.The Supreme Court has repeatedly emphasized that taxpayers exercise reasonable care, although the risks of choosing an unscrupulous counterparty lie with them.However, in practice, a situation often arises when regulatory authorities hold business entities -taxpayers to account for violations of tax legislation, without paying attention to the presence of guilt in the latter's actions or inactions.Thus, the introduction of the legal construction of guilt into the tax legislation of Ukraine significantly increased the quality of the legislative construction of the composition of the tax offense.However, the legal construction of the guilt of each of the mandatory elements of the composition of a tax offense mu</w:t>
      </w:r>
    </w:p>
    <w:p>
      <w:pPr/>
      <w:r>
        <w:rPr>
          <w:b/>
        </w:rPr>
        <w:t>POSSIBLE 2023:</w:t>
      </w:r>
      <w:r>
        <w:t xml:space="preserve"> To the question of political ideologies and their significance for the state — https://doi.org/10.52340/isj.2022.26.03</w:t>
      </w:r>
    </w:p>
    <w:p>
      <w:pPr/>
      <w:r>
        <w:rPr>
          <w:b/>
        </w:rPr>
        <w:t>Shared claim-specific concepts:</w:t>
      </w:r>
      <w:r>
        <w:t xml:space="preserve"> accordingly, questions, arise, about, based, first; EU scope visible. This is a provisional connection, not an outcome finding.</w:t>
      </w:r>
    </w:p>
    <w:p>
      <w:pPr>
        <w:pStyle w:val="SourceNote"/>
      </w:pPr>
      <w:r>
        <w:rPr>
          <w:b/>
        </w:rPr>
        <w:t>Available abstract (not full text):</w:t>
      </w:r>
      <w:r>
        <w:t xml:space="preserve"> The term "ideology" suggested the French thinker of the XVIII century. Destin de Tracy, named the new science of ideas. At the forefront of this concept was put forward in the XIX century. turbulent political life of Europe. Expand the concept of ideology gave Karl Marx and Friedrich Engels in his work "The German Ideology", where the term is used in a double meaning: first, idealistic world view, in which the idea of the world plays the role of a substance, and secondly, the type of socio-professional political thinking, when the subject is not aware of its conditionality economic class interests, but in reality it defends them. Such thinking creates a particular reality, substitute in the eyes of the people the true social reality, and thus prevents the realization of their real interests. However, Marx and his followers made an exception for the ideology of the proletariat, considering that the class consciousness of the proletariat coincides with the objective vision of reality, and the proletarian revolution has done away with all class consciousness and ideology in general. If we follow the logic of Marxism, it turns out that the proletarian ideology has the truth. In general, Marx recognized the possibility of relative truth of specific ideologies in specific historical conditions. Thus, the bourgeois ideology was true when it was historically progressive (in the era of </w:t>
      </w:r>
    </w:p>
    <w:p>
      <w:pPr/>
      <w:r>
        <w:rPr>
          <w:b/>
        </w:rPr>
        <w:t>POSSIBLE 2023:</w:t>
      </w:r>
      <w:r>
        <w:t xml:space="preserve"> Tourism in Ukrainian frontline communities: trends, challenges, and development prospects — https://doi.org/10.15421/112352</w:t>
      </w:r>
    </w:p>
    <w:p>
      <w:pPr/>
      <w:r>
        <w:rPr>
          <w:b/>
        </w:rPr>
        <w:t>Shared claim-specific concepts:</w:t>
      </w:r>
      <w:r>
        <w:t xml:space="preserve"> ukrainian, tourism, based, survey, various; EU scope not established. This is a provisional connection, not an outcome finding.</w:t>
      </w:r>
    </w:p>
    <w:p>
      <w:pPr>
        <w:pStyle w:val="SourceNote"/>
      </w:pPr>
      <w:r>
        <w:rPr>
          <w:b/>
        </w:rPr>
        <w:t>Available abstract (not full text):</w:t>
      </w:r>
      <w:r>
        <w:t xml:space="preserve"> In Ukraine, as a result of Russia’s military aggression, tourism has suffered significant losses, and in regions close to or where hostilities are ongoing, it has ceased operations altogether. However, there are many examples in the world where countries have recovered quickly and successfully developed after armed conflicts. Given this, it is necessary to study foreign experience in restoring tourism and to develop the author’s own scientific and practical recommendations for further tourism development in wartime and post-war. The purpose of the article is to highlight new trends and peculiarities in the tourism sphere of the frontline communities of Ukraine (Zaporizhzhia, Dnipropetrovsk, Sumy, Kharkiv, and Donetsk regions) during the war and to develop the author’s recommendations for its further development, taking into account the primary data of a sociological survey of tourism rep- resentatives. The study was based on the results of a sociological survey of tourism business owners, employees of tourist infrastructure and attractions, representatives of tourism NGOs, and executive authorities coordinating tourism activities in the frontline territories of Ukraine. The respondents were 144 people from 5 regions of Ukraine: Dnipropetrovs’k, Donetsk, Zaporizhzhia, Sumy, and Kharkiv regions. The sociological survey was conducted from February 2 to 15, 2023 by Estonian (Tallin</w:t>
      </w:r>
    </w:p>
    <w:p>
      <w:pPr/>
      <w:r>
        <w:rPr>
          <w:b/>
        </w:rPr>
        <w:t>POSSIBLE 2023:</w:t>
      </w:r>
      <w:r>
        <w:t xml:space="preserve"> PECULIARITIES OF THE FUNCTIONING OF CROSS-BORDER TOURISM CLUSTERS IN UKRAINE — https://doi.org/10.30525/2661-5150/2023-1-3</w:t>
      </w:r>
    </w:p>
    <w:p>
      <w:pPr/>
      <w:r>
        <w:rPr>
          <w:b/>
        </w:rPr>
        <w:t>Shared claim-specific concepts:</w:t>
      </w:r>
      <w:r>
        <w:t xml:space="preserve"> accordingly, tourism, sector, use, among; EU scope visible. This is a provisional connection, not an outcome finding.</w:t>
      </w:r>
    </w:p>
    <w:p>
      <w:pPr>
        <w:pStyle w:val="SourceNote"/>
      </w:pPr>
      <w:r>
        <w:rPr>
          <w:b/>
        </w:rPr>
        <w:t>Available abstract (not full text):</w:t>
      </w:r>
      <w:r>
        <w:t xml:space="preserve"> In the article the author highlights the essence and specifics of the functioning of cross-border tourist clusters. Accordingly, the purpose of the study was to determine the specifics of the functioning of cross-border tourist clusters in Ukraine in theoretical and applied aspects. Methodology. System analysis and especially scientific methods: systematization, generalization and verification of theoretical knowledge during the study, became the methodological basis of the study. Thus, in particular, the article systematizes and summarizes the issues of functioning of cross-border tourist clusters. The author notes that the formation and development of the tourist cluster will allow to use the potential of the regional scientific complex, recreational opportunities of the region, to solve the problem of the lack of investment resources and the development of innovative activities. The essence of cross-border cooperation in the field of tourism is identified, general European trends and experiences in the development of tourism clusters are given. The study emphasizes that the creation of tourism clusters makes economic sense, related to the coordination and extraction of additional benefits within the distribution network of services in the destination. As the tourism sector develops, the cluster model is increasingly used as a source of adaptive management solutions by indivi</w:t>
      </w:r>
    </w:p>
    <w:p>
      <w:pPr>
        <w:pStyle w:val="Heading2"/>
      </w:pPr>
      <w:r>
        <w:t>663.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enough, contribute, well, only, but;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2025:</w:t>
      </w:r>
      <w:r>
        <w:t xml:space="preserve"> 9.Y.2. PechaKucha: Food Insecurity, Nutrition and Health – a growing challenge in Europe — https://doi.org/10.1093/eurpub/ckaf161.807</w:t>
      </w:r>
    </w:p>
    <w:p>
      <w:pPr/>
      <w:r>
        <w:rPr>
          <w:b/>
        </w:rPr>
        <w:t>Shared claim-specific concepts:</w:t>
      </w:r>
      <w:r>
        <w:t xml:space="preserve"> there, enough, contribute, all, well, ensure; EU scope visible. This is a provisional connection, not an outcome finding.</w:t>
      </w:r>
    </w:p>
    <w:p>
      <w:pPr>
        <w:pStyle w:val="SourceNote"/>
      </w:pPr>
      <w:r>
        <w:rPr>
          <w:b/>
        </w:rPr>
        <w:t>Available abstract (not full text):</w:t>
      </w:r>
      <w:r>
        <w:t xml:space="preserve"> Abstract Food Insecurity (FIS) is a state of “not having access by all people at all times to enough food for an active, healthy life”. Traditionally, FIS has been linked to low-income countries and to malnutrition, but FIS is also increasing in high-income setting. Even in countries, where social welfare systems are designed to protect people from poverty and ensure well-being across the life course, the persistence of FIS presents a striking paradox. Whilst intimately intertwined with poverty, low income is not the sole factor determining FIS. Also, the type of work is related to FIS, e.g., if there are limitations in having a proper lunch during the working hours. Further, structural factors such as rising food costs, displacement, and support system gaps contribute to food insecurity among populations presumed protected by welfare systems. This session invites critical dialogue on the structural roots of food insecurity and the limitations of current welfare systems. This presentation demonstrates how, despite apparent prosperity and comprehensive protections, many individuals and families experience food shortages or anxiety about accessing nutritious food. Results from recent studies examining food insecurity across multiple vulnerable groups-including low-income service workers, families with children, and Ukrainian refugees will be presented. Additionally, the coping st</w:t>
      </w:r>
    </w:p>
    <w:p>
      <w:pPr/>
      <w:r>
        <w:rPr>
          <w:b/>
        </w:rPr>
        <w:t>POSSIBLE 2025:</w:t>
      </w:r>
      <w:r>
        <w:t xml:space="preserve"> European Integration and Customs Union — https://doi.org/10.12681/icib.8148</w:t>
      </w:r>
    </w:p>
    <w:p>
      <w:pPr/>
      <w:r>
        <w:rPr>
          <w:b/>
        </w:rPr>
        <w:t>Shared claim-specific concepts:</w:t>
      </w:r>
      <w:r>
        <w:t xml:space="preserve"> there, enough, all, well, not, but; EU scope visible. This is a provisional connection, not an outcome finding.</w:t>
      </w:r>
    </w:p>
    <w:p>
      <w:pPr>
        <w:pStyle w:val="SourceNote"/>
      </w:pPr>
      <w:r>
        <w:rPr>
          <w:b/>
        </w:rPr>
        <w:t>Available abstract (not full text):</w:t>
      </w:r>
      <w:r>
        <w:t xml:space="preserve"> In this paper we examine the European economic integration, which is considered particularly important, as it has progressed, to a large extent, affecting the functioning of both the national economies of the member states and the wider European, as well as the global economy. In addition, the study of European economic integration is particularly useful for understanding the course of the European project, as the field of economics played a catalytic role in the broader effort to expand and deepen the integration process (Maraveyas &amp; Katsikas, 2016). A customs union is a stage of multinational integration, in which the members undertake by treaty, on the one hand, the obligation not to impose on trade between them any customs duty or tax having an analogous effect and no quantitative restriction, but also the obligation to apply a common customs tariff in their relations with third countries (Tsinisizelis, 1995). Moreover, in the customs union, free movement applies to all products, of any origin, which entails the abolition of customs controls at internal borders. The good results of the customs union contributed to the completion of the common market and now there is no need for customs formalities for intra-European trade and all the complicated administrative documents have been abolished. In order to create a real customs union, it is not enough to have a common customs t</w:t>
      </w:r>
    </w:p>
    <w:p>
      <w:pPr/>
      <w:r>
        <w:rPr>
          <w:b/>
        </w:rPr>
        <w:t>POSSIBLE 2024:</w:t>
      </w:r>
      <w:r>
        <w:t xml:space="preserve"> Is there enough sustainable wood? — https://doi.org/10.1017/9781788217361.008</w:t>
      </w:r>
    </w:p>
    <w:p>
      <w:pPr/>
      <w:r>
        <w:rPr>
          <w:b/>
        </w:rPr>
        <w:t>Shared claim-specific concepts:</w:t>
      </w:r>
      <w:r>
        <w:t xml:space="preserve"> there, enough, sustainable, ensure, not; EU scope visible. This is a provisional connection, not an outcome finding.</w:t>
      </w:r>
    </w:p>
    <w:p>
      <w:pPr>
        <w:pStyle w:val="SourceNote"/>
      </w:pPr>
      <w:r>
        <w:rPr>
          <w:b/>
        </w:rPr>
        <w:t>Available abstract (not full text):</w:t>
      </w:r>
      <w:r>
        <w:t xml:space="preserve"> Fact: The World Bank estimates that global timber demand is set to quadruple by 2050. Demand in the UK is also expected to rise, in part because of the government's commitment to promote timber use in construction as part of the UK's net zero strategy. Using more wood in construction and renovation to turn our built environment from a climate problem into a climate solution is predicated on there being enough wood and wood fibre to do this. First and foremost, this supply of wood has to be sustainable. For our timber supplies to be deemed sustainable the wood must be sourced from a managed forest where natural regeneration of the forest is viable or where new trees are planted as others are felled. Such replanting needs to see between 5,000‒10,000 saplings planted per hectare, replacing around 500 felled trees per hectare. The forest ecosystem is required to be regularly monitored to ensure it remains in good health and able to provide for both people (employment, recreation) and nature (biodiversity) now and into the future. A certification scheme accompanies this process of which more than 50 exist worldwide. Of these, the Forest Stewardship Council (FSC) and the Programme for the Endorsement of Forest Certification (PEFC) are the two best known. While both schemes are committed to the same cause – sustainable forestry – the primary difference between the certifications is th</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there, sustainable, well, carbon, not;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sustainable, carbon, only, but;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2023:</w:t>
      </w:r>
      <w:r>
        <w:t xml:space="preserve"> Circularity in Europe strengthens the sustainability of the global food system — https://doi.org/10.1038/s43016-023-00734-9</w:t>
      </w:r>
    </w:p>
    <w:p>
      <w:pPr/>
      <w:r>
        <w:rPr>
          <w:b/>
        </w:rPr>
        <w:t>Shared claim-specific concepts:</w:t>
      </w:r>
      <w:r>
        <w:t xml:space="preserve"> enough, all, bring, but; EU scope visible. This is a provisional connection, not an outcome finding.</w:t>
      </w:r>
    </w:p>
    <w:p>
      <w:pPr>
        <w:pStyle w:val="SourceNote"/>
      </w:pPr>
      <w:r>
        <w:rPr>
          <w:b/>
        </w:rPr>
        <w:t>Available abstract (not full text):</w:t>
      </w:r>
      <w:r>
        <w:t xml:space="preserve"> Redesigning the European food system on the basis of circularity principles could bring environmental benefits for Europe and the world. Here we deploy a biophysical optimization model to explore the effects of adopting three circularity scenarios in the European Union (EU)27 + UK. We calculate a potential reduction of 71% in agricultural land use and 29% per capita in agricultural greenhouse gas emissions, while producing enough healthy food within a self-sufficient European food system. Under global food shortages, savings in agricultural land could be used to feed an additional 767 million people outside the EU (+149%), while reducing per capita greenhouse gas emissions by 38% but increasing overall emissions by 55% due to the increased population served. Transitioning the EU's food system towards circularity implies sequential changes among all its components and has great potential to safeguard human and planetary health.</w:t>
      </w:r>
    </w:p>
    <w:p>
      <w:pPr/>
      <w:r>
        <w:rPr>
          <w:b/>
        </w:rPr>
        <w:t>POSSIBLE 2023:</w:t>
      </w:r>
      <w:r>
        <w:t xml:space="preserve"> Responsible consumption in Europe: causes and habits — https://doi.org/10.29119/1641-3466.2022.166.37</w:t>
      </w:r>
    </w:p>
    <w:p>
      <w:pPr/>
      <w:r>
        <w:rPr>
          <w:b/>
        </w:rPr>
        <w:t>Shared claim-specific concepts:</w:t>
      </w:r>
      <w:r>
        <w:t xml:space="preserve"> there, enough, sustainable, contribute, all, not; EU scope visible. This is a provisional connection, not an outcome finding.</w:t>
      </w:r>
    </w:p>
    <w:p>
      <w:pPr>
        <w:pStyle w:val="SourceNote"/>
      </w:pPr>
      <w:r>
        <w:rPr>
          <w:b/>
        </w:rPr>
        <w:t>Available abstract (not full text):</w:t>
      </w:r>
      <w:r>
        <w:t xml:space="preserve"> Purpose: The main reason to do the research of consumption of society in Europe is the ever- increasing consumption, not sorting enough, which leads to problems on a global scale. Responsible consumption can be described as the behaviors and attitudes of the consumers to consume or less consume products and services that have the potential to directly or indirectly harm to society, economy, the world, and all living and nonliving things. The aim of the paper is to investigate the habits and causes of responsible consumption in Europe. Design/methodology/approach: Analysis of research literature sources, systematization, synthesis, generalization, quantitative research and data processing methods was used. The collected empirical data were processed using the SPSS (Statistical Package for the Social Sciences) program. In the data processing, descriptive statistics was used, such as percentiles, mean, mode and standard deviation. Research was done using an online questionnaire. The questionnaire was compiled by the authors, based on the scientific literature. In the research, respondents participated from Lithuania (373 respondents) and other European countries (444 respondents from Latvia, Poland, Italy, United Kingdom, Germany, Bulgaria, France). Findings: Results showed that the main reason why people choose to consume responsibly are taking care of their own and their family'</w:t>
      </w:r>
    </w:p>
    <w:p>
      <w:pPr>
        <w:pStyle w:val="Heading2"/>
      </w:pPr>
      <w:r>
        <w:t>664.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Climate Ambition in the 2023 IMO GHG Strategy — https://doi.org/10.1007/978-3-032-15904-5_4</w:t>
      </w:r>
    </w:p>
    <w:p>
      <w:pPr/>
      <w:r>
        <w:rPr>
          <w:b/>
        </w:rPr>
        <w:t>Shared claim-specific concepts:</w:t>
      </w:r>
      <w:r>
        <w:t xml:space="preserve"> ghg, emissions, reduction, strategy, climate; EU scope not established. This is a provisional connection, not an outcome finding.</w:t>
      </w:r>
    </w:p>
    <w:p>
      <w:pPr>
        <w:pStyle w:val="SourceNote"/>
      </w:pPr>
      <w:r>
        <w:rPr>
          <w:b/>
        </w:rPr>
        <w:t>Available abstract (not full text):</w:t>
      </w:r>
      <w:r>
        <w:t xml:space="preserve"> In July 2023, the Marine Environment Protection Committee (MEPC) of the International Maritime Organization (IMO) reached an agreement on the 2023 IMO Strategy on Reduction of GHG Emissions from Ships (2023 IMO GHG Strategy). This Chapter provides an analysis of the 2023 IMO GHG Strategy, focusing primarily on its climate ambition levels and indicative checkpoints and their relevance for the decarbonization of international shipping and addressing pollution from ships more broadly. The Chapter argues that overall, despite failing to align with the 1.5 °C temperature target that many stakeholders rooted for, the 2023 IMO GHG Strategy is a significant step forward for the decarbonization of international maritime transport.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2025:</w:t>
      </w:r>
      <w:r>
        <w:t xml:space="preserve"> Assessing GHG Emissions Implications of Forest Residue Use for Energy Production — https://doi.org/10.1111/gcbb.70045</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ABSTRACT As global interest in enhancing energy security, reducing energy costs, and promoting rural economic development grows, the use of forest residues for bioenergy has gained attention. While bioenergy derived from forest residues can help meet power needs and support policy goals, significant uncertainty remains regarding the greenhouse gas (GHG) emissions associated with their production and use. This study aims to explore the key drivers of these uncertainties by reviewing estimates of GHG emissions from forest residue use for energy, as presented in peer‐reviewed journals, reports, and gray literature. The findings reveal a wide range of GHG emission outcomes, with some studies suggesting net emissions and others indicating net removals. This uncertainty stems from the complexity of time scales, variety of forest management approaches and feedstock quality, assumptions about alternative scenarios, and varying approaches to emissions accounting. Recognizing that each method has its unique attributes, we propose an ideal framework that integrates multiple approaches to provide a more comprehensive assessment of the potential net GHG outcomes of using forest residues for energy.</w:t>
      </w:r>
    </w:p>
    <w:p>
      <w:pPr/>
      <w:r>
        <w:rPr>
          <w:b/>
        </w:rPr>
        <w:t>POSSIBLE 2024:</w:t>
      </w:r>
      <w:r>
        <w:t xml:space="preserve"> GHG Emission Trends and Targets (GETT) — https://doi.org/10.1787/decef216-en</w:t>
      </w:r>
    </w:p>
    <w:p>
      <w:pPr/>
      <w:r>
        <w:rPr>
          <w:b/>
        </w:rPr>
        <w:t>Shared claim-specific concepts:</w:t>
      </w:r>
      <w:r>
        <w:t xml:space="preserve"> ghg, emissions, climate; EU scope visible. This is a provisional connection, not an outcome finding.</w:t>
      </w:r>
    </w:p>
    <w:p>
      <w:pPr>
        <w:pStyle w:val="SourceNote"/>
      </w:pPr>
      <w:r>
        <w:rPr>
          <w:b/>
        </w:rPr>
        <w:t>Available abstract (not full text):</w:t>
      </w:r>
      <w:r>
        <w:t xml:space="preserve"> The Paris Agreement maps out a path for internationally coordinated efforts to curb global warming. At the centre of the Paris Agreement are Nationally Determined Contributions (NDCs) that establish countries’ plans to mitigate greenhouse gas (GHG) emissions as well as adapt to the impacts of climate change. However, mitigation contributions defined in NDCs are different across countries in terms of target types, coverage of sectors and gases. This makes it challenging to assess progress on mitigation commitments. To complement the UNFCCC efforts, and facilitate the evaluation and monitoring of targets, this paper develops a methodology that harmonises countries’ 2030 mitigation targets in physical units and provide clarity on sector and gas coverage. The results are used to develop the GHG Emission Trends and Targets (GETT) indicators for non-EU countries and the EU-27 covered under the International Programme for Action on Climate (IPAC). The GETT indicators support the analyses of emissions' trajectories by describing historical GHG emission trends and comparing them to NDC emission targets, considering various reference years and indicators, including emissions intensity per capita or per unit of GDP.</w:t>
      </w:r>
    </w:p>
    <w:p>
      <w:pPr/>
      <w:r>
        <w:rPr>
          <w:b/>
        </w:rPr>
        <w:t>POSSIBLE 2024:</w:t>
      </w:r>
      <w:r>
        <w:t xml:space="preserve"> Forecasting long-term energy demand and reductions in GHG emissions — https://doi.org/10.1007/s12053-024-10203-2</w:t>
      </w:r>
    </w:p>
    <w:p>
      <w:pPr/>
      <w:r>
        <w:rPr>
          <w:b/>
        </w:rPr>
        <w:t>Shared claim-specific concepts:</w:t>
      </w:r>
      <w:r>
        <w:t xml:space="preserve"> ghg, emissions, long-term, energy;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Impact of crop type on the greenhouse gas (GHG) emissions of a rewetted cultivated peatland — https://doi.org/10.5194/soil-10-827-2024</w:t>
      </w:r>
    </w:p>
    <w:p>
      <w:pPr/>
      <w:r>
        <w:rPr>
          <w:b/>
        </w:rPr>
        <w:t>Shared claim-specific concepts:</w:t>
      </w:r>
      <w:r>
        <w:t xml:space="preserve"> ghg, emissions, based; EU scope visible. This is a provisional connection, not an outcome finding.</w:t>
      </w:r>
    </w:p>
    <w:p>
      <w:pPr>
        <w:pStyle w:val="SourceNote"/>
      </w:pPr>
      <w:r>
        <w:rPr>
          <w:b/>
        </w:rPr>
        <w:t>Available abstract (not full text):</w:t>
      </w:r>
      <w:r>
        <w:t xml:space="preserve"> Abstract. We experimented a gradual water table rise at a highly degraded agricultural peat soil site with plots of willow, forage and mixed vegetation (set-aside) in southern Finland. We measured the emissions of carbon dioxide (CO2), methane (CH4) and nitrous oxide (N2O) for four years. The mean annual ground water table depth was about 80, 40, 40 and 30 cm in 2019–2022, respectively. The results indicated that a 10 cm raise in the water table depth was able to slow down annual CO2 emissions from soil respiration by 0.87 Mg CO2-C ha-1. CH4 fluxes changed from uptake to emissions with a raise in the water table depth, and the maximum mean annual emission rate was 11 kg CH4-C. Nitrous oxide emissions ranged from 2 to 33 kg N2O-N ha-1 year; they were high from bare soil in the beginning of the experiment but decreased towards the end of the experiment. Short rotation cropping of willow reached net sequestration of carbon before harvest, but all treatments and years showed net loss of carbon based on the net ecosystem carbon balance. Overall, the short rotation coppice of willow had the most favourable carbon and greenhouse gas balance over the years (10 Mg CO2 eq. on the average over four years). The total greenhouse gas balance of the forage and set-aside treatments did not go under 27 Mg CO2 eq. ha-1 year-1 highlighting the challenge in curbing peat decomposition in highly deg</w:t>
      </w:r>
    </w:p>
    <w:p>
      <w:pPr/>
      <w:r>
        <w:rPr>
          <w:b/>
        </w:rPr>
        <w:t>POSSIBLE 2023:</w:t>
      </w:r>
      <w:r>
        <w:t xml:space="preserve"> Assessing the potential of GHG emissions for the textile sector: A baseline study — https://doi.org/10.1016/j.heliyon.2023.e22404</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e, with indirect emissions contributing significantly more than direct emissions. The total EFP is 248.38 PJ, with electricity consumption being the main contributor, while the total WFP is 80.71 billion liters. The spinning stage of production has the highest CFP and EFP, and energy consumption is the main contributor to all footprints. These results can help compare different products and reduce the footprints of the textile sector.</w:t>
      </w:r>
    </w:p>
    <w:p>
      <w:pPr/>
      <w:r>
        <w:rPr>
          <w:b/>
        </w:rPr>
        <w:t>POSSIBLE 2023:</w:t>
      </w:r>
      <w:r>
        <w:t xml:space="preserve"> Dynamics and Accounting of GHG Emissions in the World — https://doi.org/10.1051/bioconf/20236306011</w:t>
      </w:r>
    </w:p>
    <w:p>
      <w:pPr/>
      <w:r>
        <w:rPr>
          <w:b/>
        </w:rPr>
        <w:t>Shared claim-specific concepts:</w:t>
      </w:r>
      <w:r>
        <w:t xml:space="preserve"> ghg, emissions, climate; EU scope not established. This is a provisional connection, not an outcome finding.</w:t>
      </w:r>
    </w:p>
    <w:p>
      <w:pPr>
        <w:pStyle w:val="SourceNote"/>
      </w:pPr>
      <w:r>
        <w:rPr>
          <w:b/>
        </w:rPr>
        <w:t>Available abstract (not full text):</w:t>
      </w:r>
      <w:r>
        <w:t xml:space="preserve"> The problem of climate change on the planet has been gradually forming since the middle of the 20th century. as the idea of a universal threat, to combat which humanity needs to unite and regulate the waste of resources. To do this, the problem of global climate change had to be introduced both into the political and economic agenda, and into the basic world system of values. Only then would climate rhetoric be able to influence political decisions and shape the way people live, as well as influence the global economy. But for this it is necessary to prove that humans are to blame for global climate change. The fact that nature is constantly changing, scientists knew until the middle of the 20th century. But it was believed that the reasons for this lie in the laws of long and short climatic cycles, and man has nothing to do with global changes. And this means that it is impossible to justify the reasons why the global community and individuals should change their behavior. That is, without substantiating the anthropogenic impact on global climate change, this topic cannot claim to be the central determinant of economic and political development.</w:t>
      </w:r>
    </w:p>
    <w:p>
      <w:pPr/>
      <w:r>
        <w:rPr>
          <w:b/>
        </w:rPr>
        <w:t>POSSIBLE 2023:</w:t>
      </w:r>
      <w:r>
        <w:t xml:space="preserve"> The drivers of GHG emissions: A novel approach to estimate emissions using nonparametric analysis — https://doi.org/10.1016/j.gr.2023.10.004</w:t>
      </w:r>
    </w:p>
    <w:p>
      <w:pPr/>
      <w:r>
        <w:rPr>
          <w:b/>
        </w:rPr>
        <w:t>Shared claim-specific concepts:</w:t>
      </w:r>
      <w:r>
        <w:t xml:space="preserve"> ghg, emissions, based, climate; EU scope not established. This is a provisional connection, not an outcome finding.</w:t>
      </w:r>
    </w:p>
    <w:p>
      <w:pPr>
        <w:pStyle w:val="SourceNote"/>
      </w:pPr>
      <w:r>
        <w:rPr>
          <w:b/>
        </w:rPr>
        <w:t>Available abstract (not full text):</w:t>
      </w:r>
      <w:r>
        <w:t xml:space="preserve">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pPr>
        <w:pStyle w:val="Heading2"/>
      </w:pPr>
      <w:r>
        <w:t>665.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2024:</w:t>
      </w:r>
      <w:r>
        <w:t xml:space="preserve"> Government Analytics in Europe: Making Public Data Count — https://doi.org/10.1596/41610</w:t>
      </w:r>
    </w:p>
    <w:p>
      <w:pPr/>
      <w:r>
        <w:rPr>
          <w:b/>
        </w:rPr>
        <w:t>Shared claim-specific concepts:</w:t>
      </w:r>
      <w:r>
        <w:t xml:space="preserve"> aim, understand; EU scope visible. This is a provisional connection, not an outcome finding.</w:t>
      </w:r>
    </w:p>
    <w:p>
      <w:pPr>
        <w:pStyle w:val="SourceNote"/>
      </w:pPr>
      <w:r>
        <w:rPr>
          <w:b/>
        </w:rPr>
        <w:t>Available abstract (not full text):</w:t>
      </w:r>
      <w:r>
        <w:t xml:space="preserve"> This report is part of a collection examining how analytics using government microdata is revolutionizing public administration throughout the world. The collection is based on The Government Analytics Handbook, a comprehensive guide to using data to understand and improve government. The reports in this collection aim to help public servants apply lessons from the Handbook to their own administrations by describing the unique opportunities and challenges for government analytics that arise in different regions. No two regions, countries, administrations, or organizations are alike - that’s why using microdata to measure, understand, and improve government is so important! The general principle of the Handbook is as follows: governments across the world make thousands of personnel management decisions, procure millions of goods and services, and execute billions of processes each day. They are data rich. And yet there is little systematic practice to date that capitalizes on these data to make public administrations work better. This means that governments are missing out on data insights to save billions in procurement expenditures, recruit better talent into government, and identify sources of corruption - to name just a few! The Handbook seeks to change that. It presents frontier evidence and practitioner insights on how to leverage data to make governments work better. Cove</w:t>
      </w:r>
    </w:p>
    <w:p>
      <w:pPr/>
      <w:r>
        <w:rPr>
          <w:b/>
        </w:rPr>
        <w:t>POSSIBLE 2024:</w:t>
      </w:r>
      <w:r>
        <w:t xml:space="preserve"> Innovation at the Crossroads: How Public-Private Partnerships Drive Technological Development in Europe — https://doi.org/10.17721/apmv.2024.159.1.94-108</w:t>
      </w:r>
    </w:p>
    <w:p>
      <w:pPr/>
      <w:r>
        <w:rPr>
          <w:b/>
        </w:rPr>
        <w:t>Shared claim-specific concepts:</w:t>
      </w:r>
      <w:r>
        <w:t xml:space="preserve"> understand, sustainable, society, driving, sector, private; EU scope visible. This is a provisional connection, not an outcome finding.</w:t>
      </w:r>
    </w:p>
    <w:p>
      <w:pPr>
        <w:pStyle w:val="SourceNote"/>
      </w:pPr>
      <w:r>
        <w:rPr>
          <w:b/>
        </w:rPr>
        <w:t>Available abstract (not full text):</w:t>
      </w:r>
      <w:r>
        <w:t xml:space="preserve"> This article investigates the pivotal role of public-private partnerships (PPPs) in driving technological development across Europe, highlighting how the collaboration between public institutions and private enterprises serves as a catalyst for innovation and economic growth. By analyzing a range of successful case studies and conducting an extensive review of existing literature, this study identifies the key factors that contribute to the effectiveness of PPPs and their substantial impact on technological advancement. The research reveals that PPPs significantly enhance resource allocation, allowing for more efficient use of financial and human capital. They facilitate risk sharing, which encourages private sector participation in high-risk technological projects that might otherwise lack sufficient funding or support. Moreover, PPPs promote knowledge transfer between the public and private sectors, fostering a culture of innovation and enabling the rapid deployment of new technologies. Different models of PPPs are examined to understand their implementation in various contexts, shedding light on the diverse approaches taken by European countries. The study also addresses the challenges faced in establishing and maintaining PPPs, such as regulatory hurdles, financial constraints, and coordination issues. Strategies for overcoming these barriers are discussed, providing practi</w:t>
      </w:r>
    </w:p>
    <w:p>
      <w:pPr/>
      <w:r>
        <w:rPr>
          <w:b/>
        </w:rPr>
        <w:t>POSSIBLE 2024:</w:t>
      </w:r>
      <w:r>
        <w:t xml:space="preserve"> Exploring how Europeans understand solidarity in the EU — https://doi.org/10.4324/9781032690902-3</w:t>
      </w:r>
    </w:p>
    <w:p>
      <w:pPr/>
      <w:r>
        <w:rPr>
          <w:b/>
        </w:rPr>
        <w:t>Shared claim-specific concepts:</w:t>
      </w:r>
      <w:r>
        <w:t xml:space="preserve"> understand, about, three;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How Europeans Understand Solidarity, Reciprocity and Fairness in the EU — https://openalex.org/W7137668820</w:t>
      </w:r>
    </w:p>
    <w:p>
      <w:pPr/>
      <w:r>
        <w:rPr>
          <w:b/>
        </w:rPr>
        <w:t>Shared claim-specific concepts:</w:t>
      </w:r>
      <w:r>
        <w:t xml:space="preserve"> understand, society, about; EU scope visible. This is a provisional connection, not an outcome finding.</w:t>
      </w:r>
    </w:p>
    <w:p>
      <w:pPr>
        <w:pStyle w:val="SourceNote"/>
      </w:pPr>
      <w:r>
        <w:rPr>
          <w:b/>
        </w:rPr>
        <w:t>Available abstract (not full text):</w:t>
      </w:r>
      <w:r>
        <w:t xml:space="preserve"> This edited book sheds new light on the understanding of solidarity, reciprocity and fairness from the perspective of European Union (EU) citizens and, with this, how cohesion in the EU can be achieved. Drawing on extensive focus group research across nine countries, the book presents the results of this large project to assess what citizens think they owe their fellow Europeans in other parts of the EU. It brings together participants from different social milieus – highly qualified professionals, low-paid and unemployed persons and young adults – and reveals much about how average citizens think and talk about the issues and crises facing the EU, such as the reasons behind their beliefs and the statements they develop when discussing such issues, and therefore, provides a deeper insight into how exactly EU citizens understand solidarity, reciprocity and fairness when it comes to transborder relations and their attitudes towards EU cohesion. This book will be of key interest to scholars and students in European studies/politics, and more broadly to comparative politics, international relations, civil society organisations and the wider social sciences.</w:t>
      </w:r>
    </w:p>
    <w:p>
      <w:pPr/>
      <w:r>
        <w:rPr>
          <w:b/>
        </w:rPr>
        <w:t>POSSIBLE 2024:</w:t>
      </w:r>
      <w:r>
        <w:t xml:space="preserve"> Did we achieve what we aimed for? Assessing the outcomes of a human–carnivore conflict mitigation and coexistence project in Europe — https://doi.org/10.1002/wlb3.01270</w:t>
      </w:r>
    </w:p>
    <w:p>
      <w:pPr/>
      <w:r>
        <w:rPr>
          <w:b/>
        </w:rPr>
        <w:t>Shared claim-specific concepts:</w:t>
      </w:r>
      <w:r>
        <w:t xml:space="preserve"> sector, three, among; EU scope visible. This is a provisional connection, not an outcome finding.</w:t>
      </w:r>
    </w:p>
    <w:p>
      <w:pPr>
        <w:pStyle w:val="SourceNote"/>
      </w:pPr>
      <w:r>
        <w:rPr>
          <w:b/>
        </w:rPr>
        <w:t>Available abstract (not full text):</w:t>
      </w:r>
      <w:r>
        <w:t xml:space="preserve"> Monitoring and evaluation practices, demanded by nature conservation project donors, often focus on practical outputs, leaving the assessment of intended short and medium‐term outcomes and long‐term impacts challenging. This study employs a merger of the conflict intervention triangle model (CITM) and its three dimensions relationship, substance, and process, together with the logical framework approach (LFA) within the context of a human–wildlife conflict and coexistence (HWCC) project (LIFE EuroLargeCarnivores) in order to assess project correlated outcomes on stakeholder level over time. Two stakeholder surveys were conducted across 14 project partner countries, capturing baseline perceptions in 2018 and assessing changes in 2021. To assess the actual influence of the project with its focus on conflict mitigation, we applied an ex post counterfactual analysis. Results indicate positive developments in all dimensions of the CITM. The influence of the project is demonstrated by statistically significant differences in response behavior between participants and non‐participants of project interventions. The overall outcome regarding beliefs in satisfactory future management of increasing large carnivore populations, is more intricate. Significant differences are observed among three selected main stakeholder categories over the project's timeframe. While nature conservationists</w:t>
      </w:r>
    </w:p>
    <w:p>
      <w:pPr/>
      <w:r>
        <w:rPr>
          <w:b/>
        </w:rPr>
        <w:t>POSSIBLE 2023:</w:t>
      </w:r>
      <w:r>
        <w:t xml:space="preserve"> PUBLIC-PRIVATE PARTNERSHIP’S ASCENT AND FALL IN EUROPE — https://doi.org/10.47535/1991auoes32(2)004</w:t>
      </w:r>
    </w:p>
    <w:p>
      <w:pPr/>
      <w:r>
        <w:rPr>
          <w:b/>
        </w:rPr>
        <w:t>Shared claim-specific concepts:</w:t>
      </w:r>
      <w:r>
        <w:t xml:space="preserve"> understand, way, private; EU scope visible. This is a provisional connection, not an outcome finding.</w:t>
      </w:r>
    </w:p>
    <w:p>
      <w:pPr>
        <w:pStyle w:val="SourceNote"/>
      </w:pPr>
      <w:r>
        <w:rPr>
          <w:b/>
        </w:rPr>
        <w:t>Available abstract (not full text):</w:t>
      </w:r>
      <w:r>
        <w:t xml:space="preserve"> Collaborations between public and private have appeared in Europe since ancient times, presenting in different ways from one nation to another, and being the source of the current “public-private partnership” arrangement. This study aims to emphasize the significance of “public-private partnership” for a certain area. In this research, I used the qualitative technique to examine and understand the global experience in developing public-private partnerships. The method was effective in showing how “public-private partnerships” have changed throughout Europe. There is no standard definition of “public-private partnership” that can be found in all studies because there isn’t one that everybody in Europe acknowledges. Presenting the development of “public-private partnerships” throughout Europe and emphasizing their ascent and fall, is the primary output of this study. Additionally, this study aimed to demonstrate the current status of this kind of cooperation throughout Europe and the interest that European nations have shown in “public-private partnerships”. The market for “public-private partnerships” in Europe has been expanding gradually since 1990. Since then, Great Britain has dominated the market for public-private partnerships for a considerable amount of time. This is a country where interest in this kind of cooperation has grown. In this study, we attempted to draw inter</w:t>
      </w:r>
    </w:p>
    <w:p>
      <w:pPr/>
      <w:r>
        <w:rPr>
          <w:b/>
        </w:rPr>
        <w:t>POSSIBLE 2023:</w:t>
      </w:r>
      <w:r>
        <w:t xml:space="preserve"> The history of European public health education accreditation in perspective — https://doi.org/10.56801/seejph.vi.54</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Aim: The aim of this paper is to investigate the history of accreditation of academic public health education and understand why there is a 65 year gap between the first system in America and the uptake of accreditation in Europe. The paper intends to search for parallels and dissimilarities between the development in America and Europe and then consider if any parallels could be used for determining the future role of accreditation in Europe. Methods: The paper draws heavily upon a literature review and analysis and the examination and interpretation of primary and secondary sources. Firstly there is an exploration of the American development which is complemented by an evaluation of the developments in Europe. Results: The paper demonstrates that there are two key features required for the development of accreditation: interstate collaboration and a liberalisation or opening up of the education market. Conclusions: Since the Second World War, Europe has embraced interstate collaboration which has led to a liberalisation of certain economic markets. The future for sector based accreditation of public health education will be determined by the extent Europe pursues liberalisation and whether a competitive environment will bring into question the transparency and trust in state sponsored accreditation agencies.</w:t>
      </w:r>
    </w:p>
    <w:p>
      <w:pPr/>
      <w:r>
        <w:rPr>
          <w:b/>
        </w:rPr>
        <w:t>POSSIBLE 2023:</w:t>
      </w:r>
      <w:r>
        <w:t xml:space="preserve"> Examining the publicness of spaces on European social housing estates: a position paper — https://doi.org/10.1017/s1359135523000155</w:t>
      </w:r>
    </w:p>
    <w:p>
      <w:pPr/>
      <w:r>
        <w:rPr>
          <w:b/>
        </w:rPr>
        <w:t>Shared claim-specific concepts:</w:t>
      </w:r>
      <w:r>
        <w:t xml:space="preserve"> understand, four; EU scope visible. This is a provisional connection, not an outcome finding.</w:t>
      </w:r>
    </w:p>
    <w:p>
      <w:pPr>
        <w:pStyle w:val="SourceNote"/>
      </w:pPr>
      <w:r>
        <w:rPr>
          <w:b/>
        </w:rPr>
        <w:t>Available abstract (not full text):</w:t>
      </w:r>
      <w:r>
        <w:t xml:space="preserve"> The concept of ‘publicness’ addresses the intersection between people and their physical surroundings, and the ways in which they affect each other in an ongoing process. This point of relational exchange is the core concept behind ‘Public Space in European Social Housing’ (PuSH), a three-year HERA-funded project conducted by a transnational, multidisciplinary team of researchers. Large-scale modernist postwar housing estates, often used for social, cooperative, or mass rental housing, tend to be problematised as places of segregation and disintegration in European cities. Yet they are potentially also primary sites for integration between people of different cultural origins and social backgrounds. By investigating publicness in relation to social housing, including cooperative housing and mass rental housing estates, PuSH aims to better understand how cultural encounters happen, and ultimately to reflect on how integration can be better sustained. In this paper, we take a relational conception of publicness as our point of departure to explore the differentiations and intersections between sites and modes of public life in relation to our approach and the social housing estates we investigate. Moreover, we present our conceptual contribution to the concept of publicness, both theoretically and methodologically using multidisciplinary theories and methodologies, and four analy</w:t>
      </w:r>
    </w:p>
    <w:p>
      <w:pPr/>
      <w:r>
        <w:rPr>
          <w:b/>
        </w:rPr>
        <w:t>POSSIBLE 2023:</w:t>
      </w:r>
      <w:r>
        <w:t xml:space="preserve"> Advanced practice nursing in Europe—Results from a pan‐European survey of 35 countries — https://doi.org/10.1111/jan.15775</w:t>
      </w:r>
    </w:p>
    <w:p>
      <w:pPr/>
      <w:r>
        <w:rPr>
          <w:b/>
        </w:rPr>
        <w:t>Shared claim-specific concepts:</w:t>
      </w:r>
      <w:r>
        <w:t xml:space="preserve"> aim, understand, among; EU scope visible. This is a provisional connection, not an outcome finding.</w:t>
      </w:r>
    </w:p>
    <w:p>
      <w:pPr>
        <w:pStyle w:val="SourceNote"/>
      </w:pPr>
      <w:r>
        <w:rPr>
          <w:b/>
        </w:rPr>
        <w:t>Available abstract (not full text):</w:t>
      </w:r>
      <w:r>
        <w:t xml:space="preserve"> AIM: To report the results of a mapping exercise by the European Federation of Nurses on current advanced practice nursing frameworks and developments across Europe. DESIGN: Online, cross-sectional, questionnaire study. METHODS: An online questionnaire was distributed among 35 national nurses' associations across Europe in March 2021. The questionnaire solicited input on 60 items concerning key features of advanced practice nursing, intending to map existing developments and better understand the current state of advanced practice nursing in Europe. Data analysis used descriptive statistics, including counts and percentages, tabulation; open-text responses were handled with thematic synthesis techniques. RESULTS: The definition, sense-making and operationalization of advanced practice nursing vary across Europe. Important variations were noted in the definition and requirements of advanced practice nursing, resulting in different views on the competencies and scope of practice associated with this role. Importantly, the level of education and training required to qualify and practice as an advanced practice nurse varies across European countries. Furthermore, only 11 countries reported the existence of a national legislation establishing minimum educational requirements. CONCLUSION: Significant variation exists in how countries define advanced practice nursing and how it is reg</w:t>
      </w:r>
    </w:p>
    <w:p>
      <w:pPr>
        <w:pStyle w:val="Heading2"/>
      </w:pPr>
      <w:r>
        <w:t>666.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approach, optimal, energy, they;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2025:</w:t>
      </w:r>
      <w:r>
        <w:t xml:space="preserve"> Explore the optimal exercise intervention subtype for sarcopenia: a systematic review and Bayesian network meta-analysis — https://doi.org/10.1186/s12877-025-06529-w</w:t>
      </w:r>
    </w:p>
    <w:p>
      <w:pPr/>
      <w:r>
        <w:rPr>
          <w:b/>
        </w:rPr>
        <w:t>Shared claim-specific concepts:</w:t>
      </w:r>
      <w:r>
        <w:t xml:space="preserve"> optimal, however, uncertainties, high; EU scope not established. This is a provisional connection, not an outcome finding.</w:t>
      </w:r>
    </w:p>
    <w:p>
      <w:pPr>
        <w:pStyle w:val="SourceNote"/>
      </w:pPr>
      <w:r>
        <w:rPr>
          <w:b/>
        </w:rPr>
        <w:t>Available abstract (not full text):</w:t>
      </w:r>
      <w:r>
        <w:t xml:space="preserve"> PURPOSE: Exercise is the primary choice for managing age-related sarcopenia. However, many exercise intervention subtypes are currently used to manage age-related sarcopenia with little published evidence comparing their efficacy, meaning the optimal exercise intervention subtype for sarcopenia remains unclear. We performed a Bayesian network meta-analysis addressing these uncertainties. METHODS: We searched eight databases for literature through to 5 June 2023 to identify randomized controlled trials (RCTs) of exercise interventions for age-related sarcopenia. Skeletal muscle mass index (SMI), handgrip strength (HGS), knee extension strength (KES), gait speed (GS), chair rise test (CST) and time up and go test (TUGT) were used as outcomes. Effect estimates were expressed as standardized mean differences with 95% confidence intervals. We performed a Bayesian network meta-analysis using a random effects model and the R package gemtc to compare the relative efficacy of various exercise intervention subtypes. We also used surface under the cumulative ranking curve (SUCRA) to estimate relative treatment rankings. This systematic review is registered in PROSPERO, CRD42023474627. RESULTS: We included 37 RCTs with a total of 2322 subjects and 10 unique exercise intervention subtypes. Most RCTs (72.9%) displayed unclear risk of bias. According to the value of SUCRA, whole-body vibratio</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2024:</w:t>
      </w:r>
      <w:r>
        <w:t xml:space="preserve"> Impact of Climate Change on Bird Migration Patterns in Europe — https://doi.org/10.47672/ajcs.1989</w:t>
      </w:r>
    </w:p>
    <w:p>
      <w:pPr/>
      <w:r>
        <w:rPr>
          <w:b/>
        </w:rPr>
        <w:t>Shared claim-specific concepts:</w:t>
      </w:r>
      <w:r>
        <w:t xml:space="preserve"> optimal, they; EU scope visible. This is a provisional connection, not an outcome finding.</w:t>
      </w:r>
    </w:p>
    <w:p>
      <w:pPr>
        <w:pStyle w:val="SourceNote"/>
      </w:pPr>
      <w:r>
        <w:rPr>
          <w:b/>
        </w:rPr>
        <w:t>Available abstract (not full text):</w:t>
      </w:r>
      <w:r>
        <w:t xml:space="preserve"> Purpose: The aim of the study was to assess the impact of climate change on bird migration patterns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Rising temperatures, changes in precipitation patterns, and habitat loss are among the key factors affecting migratory birds. Warmer temperatures are causing shifts in the timing of migration, with birds starting their journeys earlier or delaying them. Some species are extending their ranges northward as they seek suitable habitats, while others are altering their routes or shortening their migration distances. These changes can disrupt established ecological relationships, leading to mismatches in timing with food availability and breeding cycles. Additionally, altered migration patterns may pose challenges for conservation efforts, as traditional migration routes and stopover sites become less reliable. Implications to Theory, Practice and Policy: Optimal migration theory, resource phenology theory and habitat suitability theory may be used to anchor future st</w:t>
      </w:r>
    </w:p>
    <w:p>
      <w:pPr/>
      <w:r>
        <w:rPr>
          <w:b/>
        </w:rPr>
        <w:t>POSSIBLE 2022:</w:t>
      </w:r>
      <w:r>
        <w:t xml:space="preserve"> Risks in the European Transmission System and a Novel Restoration Strategy for a Power System after a Major Blackout — https://doi.org/10.3390/app13010083</w:t>
      </w:r>
    </w:p>
    <w:p>
      <w:pPr/>
      <w:r>
        <w:rPr>
          <w:b/>
        </w:rPr>
        <w:t>Shared claim-specific concepts:</w:t>
      </w:r>
      <w:r>
        <w:t xml:space="preserve"> renewable, energy, given, high, they; EU scope visible. This is a provisional connection, not an outcome finding.</w:t>
      </w:r>
    </w:p>
    <w:p>
      <w:pPr>
        <w:pStyle w:val="SourceNote"/>
      </w:pPr>
      <w:r>
        <w:rPr>
          <w:b/>
        </w:rPr>
        <w:t>Available abstract (not full text):</w:t>
      </w:r>
      <w:r>
        <w:t xml:space="preserve"> Many citizens of European countries may soon experience a long and extensive blackout. The lack of predictability in the output of renewable energy sources, aggravating the problem of consistently matching supply with demand on electric grids, along with cyber-attacks or even worse unpredictable incidents in the electric grid are some factors that may mean a blackout is much more likely than in previous years. This paper covers the possibility of an extensive blackout in a country of the interconnected European electricity transmission system or, even worse, a blackout in a wide area of the European continent. The topic of this paper becomes even more important and timely given the energy crisis due to the war in Ukraine, which has made the possibility of a blackout in the winter of 2022–2023 high. First, the major European blackouts that occurred in the past 20 years are presented, examining their causes. On 8 January 2021, the European electricity grid was divided into two separate sections, with different frequencies; some additional scenarios are considered which, if they had happened, could have led to blackouts in some European countries or, even worse, a wide area of Europe. This work also examines how to avoid such an eventuality, as well as how European TSOs should react in case a blackout occurs. Focused on the fast and reliable supply of consumers after a blackout, a</w:t>
      </w:r>
    </w:p>
    <w:p>
      <w:pPr/>
      <w:r>
        <w:rPr>
          <w:b/>
        </w:rPr>
        <w:t>POSSIBLE 2022:</w:t>
      </w:r>
      <w:r>
        <w:t xml:space="preserve"> Precedent in the system of the European Convention on Human Rights — https://doi.org/10.4324/9781003264262-15</w:t>
      </w:r>
    </w:p>
    <w:p>
      <w:pPr/>
      <w:r>
        <w:rPr>
          <w:b/>
        </w:rPr>
        <w:t>Shared claim-specific concepts:</w:t>
      </w:r>
      <w:r>
        <w:t xml:space="preserve"> approach, considerations, they; EU scope visible. This is a provisional connection, not an outcome finding.</w:t>
      </w:r>
    </w:p>
    <w:p>
      <w:pPr>
        <w:pStyle w:val="SourceNote"/>
      </w:pPr>
      <w:r>
        <w:rPr>
          <w:b/>
        </w:rPr>
        <w:t>Available abstract (not full text):</w:t>
      </w:r>
      <w:r>
        <w:t xml:space="preserve"> The purpose of the present paper is to briefly reassess the role of the ECtHR’s case law in its own case law and the approach developed in this respect by the Court. The Court systematically refers to the earlier case law and usually presents its judgments and decisions as a consequence of principles formulated in earlier case law. Following precedent is a matter of free choice of the Court, justified by two main considerations: 1) legal certainty and foreseeability and 2) equality before the law. Following precedents is the default rule, while departing from precedents is a permissible exception requiring a ‘good reason’. At the same time, the Court differentiates the precedential value of its judgments and decisions. Numerous judges feel bound to follow the Grand Chamber case law, even if they disagree with it, whereas others adopt the opposite viewpoint. Separate opinions usually focus on questions related to the correct identification and interpretation of the relevant case law. The Court develops its case law, usually without overtly departing from precedents. The developments often reflect societal change (under Article 8 of the ECHR), whereas the approach of the ECtHR seems more conservative in respect of more ‘technical’ legal issues.</w:t>
      </w:r>
    </w:p>
    <w:p>
      <w:pPr/>
      <w:r>
        <w:rPr>
          <w:b/>
        </w:rPr>
        <w:t>POSSIBLE 2021:</w:t>
      </w:r>
      <w:r>
        <w:t xml:space="preserve"> Insights on the environmental management system of the European port sector — https://doi.org/10.1016/j.scitotenv.2021.150550</w:t>
      </w:r>
    </w:p>
    <w:p>
      <w:pPr/>
      <w:r>
        <w:rPr>
          <w:b/>
        </w:rPr>
        <w:t>Shared claim-specific concepts:</w:t>
      </w:r>
      <w:r>
        <w:t xml:space="preserve"> given, they; EU scope visible. This is a provisional connection, not an outcome finding.</w:t>
      </w:r>
    </w:p>
    <w:p>
      <w:pPr>
        <w:pStyle w:val="SourceNote"/>
      </w:pPr>
      <w:r>
        <w:rPr>
          <w:b/>
        </w:rPr>
        <w:t>Available abstract (not full text):</w:t>
      </w:r>
      <w:r>
        <w:t xml:space="preserve"> This research focusses on assessing the environmental performance of European Ports based on a wide representation of EcoPorts members. The data is extracted from the Self-Diagnosis Method (SDM), a concise checklist against which port managers can self-assess the environmental management of their port in relation to the performance of the EcoPorts membership. A total number of 97 ports from 18 different European Maritime States contributed to this evaluation. They have answered questions related to the main components of internationally recognized Environmental Management System (EMS) standards. Similar periodic assessments have been carried out since 2013, allowing for the identification of benchmark performance. The geographical representation and characteristics of the participating ports are given along with the perceived ranking of priority environmental issues based on regular reviews. Air quality has been the top environmental priority for many years, followed by climate change, which has risen rapidly to the second position. Most of the ports have an environmental policy in place (96%) and a compilation of an inventory of significant environmental aspects (92%). Transparency is also very important to ports, with 91% of ports communicating their environmental policy to stakeholders, and 86% of ports making it publicly available on their website. Around 80% of ports have </w:t>
      </w:r>
    </w:p>
    <w:p>
      <w:pPr/>
      <w:r>
        <w:rPr>
          <w:b/>
        </w:rPr>
        <w:t>POSSIBLE 2021:</w:t>
      </w:r>
      <w:r>
        <w:t xml:space="preserve"> Governing displaced migration in Europe: housing and the role of the “local” — https://doi.org/10.1186/s40878-020-00209-x</w:t>
      </w:r>
    </w:p>
    <w:p>
      <w:pPr/>
      <w:r>
        <w:rPr>
          <w:b/>
        </w:rPr>
        <w:t>Shared claim-specific concepts:</w:t>
      </w:r>
      <w:r>
        <w:t xml:space="preserve"> approach, they; EU scope visible. This is a provisional connection, not an outcome finding.</w:t>
      </w:r>
    </w:p>
    <w:p>
      <w:pPr>
        <w:pStyle w:val="SourceNote"/>
      </w:pPr>
      <w:r>
        <w:rPr>
          <w:b/>
        </w:rPr>
        <w:t>Available abstract (not full text):</w:t>
      </w:r>
      <w:r>
        <w:t xml:space="preserve">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pPr/>
      <w:r>
        <w:rPr>
          <w:b/>
        </w:rPr>
        <w:t>POSSIBLE 2021:</w:t>
      </w:r>
      <w:r>
        <w:t xml:space="preserve"> Towards Optimal Liability for Artificial Intelligence: Lessons from the European Union’s Proposals of 2020 — https://openalex.org/W3210920545</w:t>
      </w:r>
    </w:p>
    <w:p>
      <w:pPr/>
      <w:r>
        <w:rPr>
          <w:b/>
        </w:rPr>
        <w:t>Shared claim-specific concepts:</w:t>
      </w:r>
      <w:r>
        <w:t xml:space="preserve"> therefore, optimal, however; EU scope visible. This is a provisional connection, not an outcome finding.</w:t>
      </w:r>
    </w:p>
    <w:p>
      <w:pPr>
        <w:pStyle w:val="SourceNote"/>
      </w:pPr>
      <w:r>
        <w:rPr>
          <w:b/>
        </w:rPr>
        <w:t>Available abstract (not full text):</w:t>
      </w:r>
      <w:r>
        <w:t xml:space="preserve"> Are the E.U.’s proposals on artificial intelligence (AI) a major breakthrough or just a mere token of an initial liability regime? Several initiatives have been released in 2020 to shape Europe’s digital future to the next level, whereas the U.S. leadership program is hesitant to regulate AI. However, the recent E.U. proposals by introducing strict liability or implementing a certification procedure are a first approximation of what is needed rather than an adoptable bill. Based on the lessons learned from the E.U. a scheme of liability is outlined, which strengthens the trajectory of AI’s development in the long-term solely when it is socially desirable. AI is characterized by self-learning, opacity and autonomy, and its increasing ubiquity will put greater strain on the liability system. Therefore, this contribution considers the impacts of AI on U.S.’s major liability regimes, analyzes the effects of its application, and develops a flexible system for risky AI systems. Overall, a fundamental challenge of tort law raised by AI is examined: based on the question of whether the applicable U.S. tort law doctrines are capable of setting proper incentives for the usage of AI for society. The influence of AI on liability rules will be felt along two margins: First, to avoid application difficulties, adjustments must be made to existing rules; otherwise, legal uncertainty will be en</w:t>
      </w:r>
    </w:p>
    <w:p>
      <w:pPr/>
      <w:r>
        <w:rPr>
          <w:b/>
        </w:rPr>
        <w:t>POSSIBLE 2021:</w:t>
      </w:r>
      <w:r>
        <w:t xml:space="preserve"> Nonperforming Loans in Asia and Europe—Causes, Impacts, and Resolution Strategies — https://doi.org/10.22617/tcs210412-2</w:t>
      </w:r>
    </w:p>
    <w:p>
      <w:pPr/>
      <w:r>
        <w:rPr>
          <w:b/>
        </w:rPr>
        <w:t>Shared claim-specific concepts:</w:t>
      </w:r>
      <w:r>
        <w:t xml:space="preserve"> explores, considerations, high; EU scope visible. This is a provisional connection, not an outcome finding.</w:t>
      </w:r>
    </w:p>
    <w:p>
      <w:pPr>
        <w:pStyle w:val="SourceNote"/>
      </w:pPr>
      <w:r>
        <w:rPr>
          <w:b/>
        </w:rPr>
        <w:t>Available abstract (not full text):</w:t>
      </w:r>
      <w:r>
        <w:t xml:space="preserve"> This book traces trends in nonperforming loans (NPLs) during and after financial crises in Asia and Europe. It examines the impact of high NPLs, compares the effectiveness of resolution strategies, and explores policy considerations.</w:t>
      </w:r>
    </w:p>
    <w:p>
      <w:pPr>
        <w:pStyle w:val="Heading2"/>
      </w:pPr>
      <w:r>
        <w:t>667.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2025:</w:t>
      </w:r>
      <w:r>
        <w:t xml:space="preserve"> The European dimension in education in Hungarian primary school geography textbooks — https://doi.org/10.1177/14788047251318025</w:t>
      </w:r>
    </w:p>
    <w:p>
      <w:pPr/>
      <w:r>
        <w:rPr>
          <w:b/>
        </w:rPr>
        <w:t>Shared claim-specific concepts:</w:t>
      </w:r>
      <w:r>
        <w:t xml:space="preserve"> hungarian, areas, key, among; EU scope visible. This is a provisional connection, not an outcome finding.</w:t>
      </w:r>
    </w:p>
    <w:p>
      <w:pPr>
        <w:pStyle w:val="SourceNote"/>
      </w:pPr>
      <w:r>
        <w:rPr>
          <w:b/>
        </w:rPr>
        <w:t>Available abstract (not full text):</w:t>
      </w:r>
      <w:r>
        <w:t xml:space="preserve"> Despite Hungary's nearly quarter-century membership in the European Union (EU), less than half of its citizens hold a positive mental image of the EU. Education plays a crucial role in fostering and reinforcing a sense of European identity and awareness among students, with textbooks serving as key tools in shaping students’ understanding of European values, citizenship, and identity. This study aims to assess how European identity is represented and integrated into contemporary Hungarian primary school geography textbooks within the framework of the European dimensions in education. In the Hungarian public education system, only textbooks that have been prepared by the state may be ordered from the lists of textbooks for use in state schools. Consequently, these textbooks are significantly dependent on the National Core Curriculum (NCC), as they must comply with its standards, although differences in proportions may occur. The study employs content analysis to evaluate the reflection of European identity in regulatory documents (NCC, framework curricula) and across different grade levels and textbook versions, with a particular focus on the incorporation of the European Dimension in Education (EDE) indicators (Ledic et al., 2016). The textbooks were subjected to a systematic review to ascertain their implementation of EDE indicators. The findings suggest that while the textboo</w:t>
      </w:r>
    </w:p>
    <w:p>
      <w:pPr/>
      <w:r>
        <w:rPr>
          <w:b/>
        </w:rPr>
        <w:t>POSSIBLE 2025:</w:t>
      </w:r>
      <w:r>
        <w:t xml:space="preserve"> Protection of Human Rights under the European Convention on Human Rights and in Central Europe: Hungary — https://doi.org/10.46941/2025.2.11</w:t>
      </w:r>
    </w:p>
    <w:p>
      <w:pPr/>
      <w:r>
        <w:rPr>
          <w:b/>
        </w:rPr>
        <w:t>Shared claim-specific concepts:</w:t>
      </w:r>
      <w:r>
        <w:t xml:space="preserve"> current, key, challenges; EU scope visible. This is a provisional connection, not an outcome finding.</w:t>
      </w:r>
    </w:p>
    <w:p>
      <w:pPr>
        <w:pStyle w:val="SourceNote"/>
      </w:pPr>
      <w:r>
        <w:rPr>
          <w:b/>
        </w:rPr>
        <w:t>Available abstract (not full text):</w:t>
      </w:r>
      <w:r>
        <w:t xml:space="preserve"> This study examines the protection of human rights in Hungary, with particular attention to its evolving relationship with the European Convention on Human Rights (ECHR) and the Council of Europe. The analysis begins by outlining the historical developments of human rights in Hungary, emphasising key milestones that have shaped the country's constitutional and legislative framework during its democratic transition and beyond. This historical context is essential for understanding Hungary’s current human rights commitments. The analysis then turns to Hungary’s engagement with the Council of Europe, focusing on its ratification and implementation of core human rights conventions. These include Protocol No. 1 to the European Convention for the Prevention of Torture, the European Social Charter, and the Framework Convention for the Protection of National Minorities. These international treaties play a vital role in shaping Hungary’s human rights obligations and influencing the development of domestic legal standards. Further, the article addresses Hungary’s national implementation of the ECHR, illustrating how its provisions are reflected in the Fundamental Law and major legislative acts. Important law-making processes influenced by the ECHR are discussed, highlighting the impact of international human rights standards on domestic legislation. Additionally, it reviews landmark case</w:t>
      </w:r>
    </w:p>
    <w:p>
      <w:pPr/>
      <w:r>
        <w:rPr>
          <w:b/>
        </w:rPr>
        <w:t>POSSIBLE 2024:</w:t>
      </w:r>
      <w:r>
        <w:t xml:space="preserve"> Population of Europe : from a Hungarian perspective — https://doi.org/10.54237/profnet.2024.tbdecce_2</w:t>
      </w:r>
    </w:p>
    <w:p>
      <w:pPr/>
      <w:r>
        <w:rPr>
          <w:b/>
        </w:rPr>
        <w:t>Shared claim-specific concepts:</w:t>
      </w:r>
      <w:r>
        <w:t xml:space="preserve"> hungarian, identify, trends; EU scope visible. This is a provisional connection, not an outcome finding.</w:t>
      </w:r>
    </w:p>
    <w:p>
      <w:pPr>
        <w:pStyle w:val="SourceNote"/>
      </w:pPr>
      <w:r>
        <w:rPr>
          <w:b/>
        </w:rPr>
        <w:t>Available abstract (not full text):</w:t>
      </w:r>
      <w:r>
        <w:t xml:space="preserve"> Population-related questions, such as the population composition of a country, have been a concern for community leaders, professionals, and experts since the beginning of the formation of early societies. Over the last centuries, sociologists and demographers have conducted countless studies to identify the driving forces behind population trends, employing, for example, theories of demographic transitions and economics. At the regional level, the demographic situation is both specific and general, although there are marked differences not only between continents but also between countries within a continent. This is also the case in Europe. In general, we can see a strong and specific migration trend, with declining birth rates and total fertility rates. However, in some European countries, such as Hungary, the demographic picture over the last decade has differed from the overall population trends on the continent: fertility has risen, marriage rates are experiencing a renaissance, and migration has not been the solution to population issues. According to various United Nations estimates, Europe’s population is expected to decline in the coming decades. The consequences of this are somewhat noticeable today, and in those countries where they are felt, various policies are already being put in place to tackle – or try to ‘cure’ – this specific demographic ‘disease’. Since 201</w:t>
      </w:r>
    </w:p>
    <w:p>
      <w:pPr/>
      <w:r>
        <w:rPr>
          <w:b/>
        </w:rPr>
        <w:t>POSSIBLE 2024:</w:t>
      </w:r>
      <w:r>
        <w:t xml:space="preserve"> The Development of the Private Health Sector in Hungary in a European Context — https://doi.org/10.70147/c266978</w:t>
      </w:r>
    </w:p>
    <w:p>
      <w:pPr/>
      <w:r>
        <w:rPr>
          <w:b/>
        </w:rPr>
        <w:t>Shared claim-specific concepts:</w:t>
      </w:r>
      <w:r>
        <w:t xml:space="preserve"> aim, hungarian, among; EU scope visible. This is a provisional connection, not an outcome finding.</w:t>
      </w:r>
    </w:p>
    <w:p>
      <w:pPr>
        <w:pStyle w:val="SourceNote"/>
      </w:pPr>
      <w:r>
        <w:rPr>
          <w:b/>
        </w:rPr>
        <w:t>Available abstract (not full text):</w:t>
      </w:r>
      <w:r>
        <w:t xml:space="preserve"> The aim of this paper is to examine the situation of private healthcare providers in Hungary and their relationship with publicly funded healthcare. The private healthcare sector is growing significantly in Hungary and worldwide. As a percentage of GDP in Hungary, government spending on health has always been among the lowest in Europe, averaging 5% over the last 20 years. The Hungarian state-financed healthcare continues to operate on a single-payer national health insurance system. Therefore, private healthcare is financed exclusively by private insurance and/or out-of-pocket. In 2021, the Hungarian population spent HUF 420 billion on private outpatient and inpatient care. Based on 2021 balance sheet data in Hungary, 195 providers had an annual net turnover of more than HUF 100 million, with a combined net turnover of HUF 211 billion in 2021. The total number of full-time employees was 8336, with a total of 4 218 doctors (employed or contracted) in 114 specialties, which means that a parallel healthcare system has been set up along with public care. The joint management of public and private care capacities and the introduction of sector-neutral financing would improve access to publicly funded care. Widely available and transparent private health insurance schemes could reduce the population's out-of-pocket burden. It would also be essential to increase participation in heal</w:t>
      </w:r>
    </w:p>
    <w:p>
      <w:pPr/>
      <w:r>
        <w:rPr>
          <w:b/>
        </w:rPr>
        <w:t>POSSIBLE 2023:</w:t>
      </w:r>
      <w:r>
        <w:t xml:space="preserve"> Hungarian Historical Review — https://doi.org/10.38145/hunghist</w:t>
      </w:r>
    </w:p>
    <w:p>
      <w:pPr/>
      <w:r>
        <w:rPr>
          <w:b/>
        </w:rPr>
        <w:t>Shared claim-specific concepts:</w:t>
      </w:r>
      <w:r>
        <w:t xml:space="preserve"> hungarian, out; EU scope visible. This is a provisional connection, not an outcome finding.</w:t>
      </w:r>
    </w:p>
    <w:p>
      <w:pPr>
        <w:pStyle w:val="SourceNote"/>
      </w:pPr>
      <w:r>
        <w:rPr>
          <w:b/>
        </w:rPr>
        <w:t>Available abstract (not full text):</w:t>
      </w:r>
      <w:r>
        <w:t xml:space="preserve"> This article offers an overview of the early development of madhouses as an institutional framework for the custody and treatment of mentally ill persons, from the initial phase of comprehensive governmental health politics in Austria (the peak of the Enlightenment movement in the region in the late eighteenth century) until 1830, when a second phase, which had begun in 1815 and which bore witness, again, to the establishment of asylums for people suffering from mental disorders, came to an end with the foundation of an asylum in the city of Hall in Tyrol.The article outlines the establishment of such institutions for the accommodation, detention, and, partially, treatment of people seen as insane in the Austrian Hereditary Lands as a political and societal attempt to react to a rising number of individuals who were perceived as suffering from serious mental problems but whose families and communities either did not feel obliged to provide care for them or were simply not capable of treating them anymore in their respective localities.The article points out, as has been noted in the secondary literature, that all early madhouses in Vienna, Linz, Graz, and Salzburg operated primarily as institutions for the internment of persons perceived as mentally ill and posing a threat to themselves and others.The physicians involved intended to implement therapeutical activities, but this </w:t>
      </w:r>
    </w:p>
    <w:p>
      <w:pPr/>
      <w:r>
        <w:rPr>
          <w:b/>
        </w:rPr>
        <w:t>POSSIBLE 2023:</w:t>
      </w:r>
      <w:r>
        <w:t xml:space="preserve"> The food quality schemes of the European Union and their implications on the Hungarian market — https://doi.org/10.14267/phd.2023011</w:t>
      </w:r>
    </w:p>
    <w:p>
      <w:pPr/>
      <w:r>
        <w:rPr>
          <w:b/>
        </w:rPr>
        <w:t>Shared claim-specific concepts:</w:t>
      </w:r>
      <w:r>
        <w:t xml:space="preserve"> hungarian, likely, rural, out, terms, among; EU scope visible. This is a provisional connection, not an outcome finding.</w:t>
      </w:r>
    </w:p>
    <w:p>
      <w:pPr>
        <w:pStyle w:val="SourceNote"/>
      </w:pPr>
      <w:r>
        <w:rPr>
          <w:b/>
        </w:rPr>
        <w:t>Available abstract (not full text):</w:t>
      </w:r>
      <w:r>
        <w:t xml:space="preserve"> It is becoming increasingly important for consumers to know exactly what kind of foods they consume, while it is increasingly vital for food producers to excel from the competition in the global market. This requires a great deal of information exchange between these two market players. The most common way to do this is through various food labels. I have focused on one group of such labels in my research, trying to find out as much useful information as possible about the geographical indications (GI) of the European Union. I was looking for answers to the following questions: 1, How well-known are the labels of EU GI products among Hungarian consumers, and how well do they know their meaning? The awareness of the GI labels in Hungary is definitely low (in the best case, it was 31%), even if this number is not much lower than the average in the EU. This number is probably too low for these labels to be effective marketing tools for producers. It also includes the fact that only 50% of those who said they know the label know at least approximately the meaning of the label. Can you build a marketing campaign currently on these markings? Probably not an effective one, but what gives hope is that awareness of the labels compared to previous surveys is constantly increasing. The EU focuses on GI products, so this growth is expected to be continued. So far, the EU has completed more</w:t>
      </w:r>
    </w:p>
    <w:p>
      <w:pPr>
        <w:pStyle w:val="Heading2"/>
      </w:pPr>
      <w:r>
        <w:t>668.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Global uncertainty and trade resilience: the role of logistics performance in shaping export outcomes — evidence from Türkiye and the European Union — https://doi.org/10.3846/bm.2026.2524</w:t>
      </w:r>
    </w:p>
    <w:p>
      <w:pPr/>
      <w:r>
        <w:rPr>
          <w:b/>
        </w:rPr>
        <w:t>Shared claim-specific concepts:</w:t>
      </w:r>
      <w:r>
        <w:t xml:space="preserve"> uncertainty, index, measures, adverse; EU scope visible. This is a provisional connection, not an outcome finding.</w:t>
      </w:r>
    </w:p>
    <w:p>
      <w:pPr>
        <w:pStyle w:val="SourceNote"/>
      </w:pPr>
      <w:r>
        <w:rPr>
          <w:b/>
        </w:rPr>
        <w:t>Available abstract (not full text):</w:t>
      </w:r>
      <w:r>
        <w:t xml:space="preserve"> International trade has become increasingly exposed to global uncertainty arising from financial crises, policy shifts, geopolitical tensions, and health shocks, all of which disrupt supply chains and weaken cross-border economic integration. While a growing body of literature shows that uncertainty stresses the trade by raising costs and discouraging investment, its effects are not uniform across countries. Some economies demonstrate greater resilience, sustaining exports or recovering more rapidly from adverse shocks. This study examines whether logistics performance constitutes a key structural factor underpinning such resilience in international trade. Focusing on the Türkiye–European Union (EU) trade relationship over the period 2007–2024, the paper analyzes how global and EU-specific policy uncertainty affects bilateral export flows, whether strong logistics systems can diminish these negative effects. Employing a gravity model framework with bilateral panel data, the analysis incorporates multiple uncertainty indicators alongside two complementary measures of logistics performance, the Logistics Performance Index (LPI) and the Liner Shipping Connectivity Index (LSCI). The results provide evidence that heightened uncertainty significantly reduces Türkiye’s exports to the EU, while superior logistics performance directly enhances trade volumes. More importantly, the findin</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measures;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find, uncertainty;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SMART SPECIALIZATION STRATEGY AS AN INNOVATIVE BASIS OF GLOBAL ECONOMIC DEVELOPMENT: EUROPEAN EXPERIENCE — https://doi.org/10.20998/2519-4461.2023.2.95</w:t>
      </w:r>
    </w:p>
    <w:p>
      <w:pPr/>
      <w:r>
        <w:rPr>
          <w:b/>
        </w:rPr>
        <w:t>Shared claim-specific concepts:</w:t>
      </w:r>
      <w:r>
        <w:t xml:space="preserve"> find, specific; EU scope visible. This is a provisional connection, not an outcome finding.</w:t>
      </w:r>
    </w:p>
    <w:p>
      <w:pPr>
        <w:pStyle w:val="SourceNote"/>
      </w:pPr>
      <w:r>
        <w:rPr>
          <w:b/>
        </w:rPr>
        <w:t>Available abstract (not full text):</w:t>
      </w:r>
      <w:r>
        <w:t xml:space="preserve"> The strategy of smart specialization rightly serves as a key reference point for the economic development of individual industries and regions. This study is aimed at analyzing the European experience in applying the strategy of smart specialization as an innovative basis of global economic development. It is becoming increasingly clear that the strategy of smart specialization can fundamentally change the rules for many industries. The research focuses on the fact that by focusing on specific areas of knowledge and developing targeted capabilities, businesses and organizations can find unique niches and gain a competitive advantage. The smart specialization strategy also has drawbacks, as it requires a deep understanding of the industry and a willingness to invest in specialized skills and resources, or may need to move away from broader, more general strategies to achieve smart specialization. However, it is emphasized that the benefits of smart specialization are clear when it comes to standing out in a crowded marketplace, building deeper relationships with customers, and ultimately driving growth. As industries continue to develop and become more complex, the strategy of smart specialization does not lose its relevance, and the European experience of its implementation will be useful for Ukraine.</w:t>
      </w:r>
    </w:p>
    <w:p>
      <w:pPr/>
      <w:r>
        <w:rPr>
          <w:b/>
        </w:rPr>
        <w:t>POSSIBLE 2023:</w:t>
      </w:r>
      <w:r>
        <w:t xml:space="preserve"> Cost-effective adaptation strategies to rising river flood risk in Europe — https://doi.org/10.1038/s41558-022-01540-0</w:t>
      </w:r>
    </w:p>
    <w:p>
      <w:pPr/>
      <w:r>
        <w:rPr>
          <w:b/>
        </w:rPr>
        <w:t>Shared claim-specific concepts:</w:t>
      </w:r>
      <w:r>
        <w:t xml:space="preserve"> find, measures, level;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r>
        <w:rPr>
          <w:b/>
        </w:rPr>
        <w:t>POSSIBLE 2023:</w:t>
      </w:r>
      <w:r>
        <w:t xml:space="preserve"> Symmetric or Asymmetric: How is Economic Growth Responding to Global Economic Uncertainty in Africa's Oil Exporters? — https://doi.org/10.18267/j.pep.836</w:t>
      </w:r>
    </w:p>
    <w:p>
      <w:pPr/>
      <w:r>
        <w:rPr>
          <w:b/>
        </w:rPr>
        <w:t>Shared claim-specific concepts:</w:t>
      </w:r>
      <w:r>
        <w:t xml:space="preserve"> find, uncertainty; EU scope visible. This is a provisional connection, not an outcome finding.</w:t>
      </w:r>
    </w:p>
    <w:p>
      <w:pPr>
        <w:pStyle w:val="SourceNote"/>
      </w:pPr>
      <w:r>
        <w:rPr>
          <w:b/>
        </w:rPr>
        <w:t>Available abstract (not full text):</w:t>
      </w:r>
      <w:r>
        <w:t xml:space="preserve"> Motivated by the persistent fall in oil prices due to incessant uncertainty-inducing events in recent years, this study empirically examined if economic growth in Africa's top five oil exporters (Algeria, Angola, Egypt, Libya, and Nigeria) is responding asymmetrically to changes in global economic uncertainty as well as uncertainties from U.S., Europe and China using nonlinear ARDL framework from 1997Q1 to 2021Q4. We find that rising global uncertainty hampers economic growth in these economies, while declining global uncertainty significantly enhances growth in Nigeria, Angola and Libya in the short run, but becomes growth-retarding in the long run. Thus, economic growth responds asymmetrically to global uncertainty, especially in the short run. The findings are robust to U.S., Europe, and China uncertainties, except that economic growth in Libya and Algeria remained unresponsive to U.S. and China uncertainties respectively. We concluded that Africa's oil exporters should embrace policies that can strengthen their resilience to global economic uncertainty as well as uncertainties from U.S., Europe, and China.</w:t>
      </w:r>
    </w:p>
    <w:p>
      <w:pPr/>
      <w:r>
        <w:rPr>
          <w:b/>
        </w:rPr>
        <w:t>POSSIBLE 2023:</w:t>
      </w:r>
      <w:r>
        <w:t xml:space="preserve"> The Global Impact of Brexit Uncertainty — https://doi.org/10.1111/jofi.13293</w:t>
      </w:r>
    </w:p>
    <w:p>
      <w:pPr/>
      <w:r>
        <w:rPr>
          <w:b/>
        </w:rPr>
        <w:t>Shared claim-specific concepts:</w:t>
      </w:r>
      <w:r>
        <w:t xml:space="preserve"> find, uncertainty, level; EU scope visible. This is a provisional connection, not an outcome finding.</w:t>
      </w:r>
    </w:p>
    <w:p>
      <w:pPr>
        <w:pStyle w:val="SourceNote"/>
      </w:pPr>
      <w:r>
        <w:rPr>
          <w:b/>
        </w:rPr>
        <w:t>Available abstract (not full text):</w:t>
      </w:r>
      <w:r>
        <w:t xml:space="preserve"> ABSTRACT We propose a text‐based method for measuring the cross‐border propagation of large shocks at the firm level. We apply this method to estimate the expected costs, benefits, and risks of Brexit and find widespread reverberations in listed firms in 81 countries. International (i.e., non‐U.K.) firms most exposed to Brexit uncertainty (the second moment) lost significant market value and reduced hiring and investment. International firms also overwhelmingly expected negative first‐moment impacts from the U.K.'s decision to leave the European Union (EU), particularly related to regulation, asset prices, and labor market impacts of Brexit.</w:t>
      </w:r>
    </w:p>
    <w:p>
      <w:pPr/>
      <w:r>
        <w:rPr>
          <w:b/>
        </w:rPr>
        <w:t>POSSIBLE 2023:</w:t>
      </w:r>
      <w:r>
        <w:t xml:space="preserve"> Carbon trading amidst global uncertainty: The role of policy and geopolitical uncertainty — https://doi.org/10.1016/j.econmod.2023.106279</w:t>
      </w:r>
    </w:p>
    <w:p>
      <w:pPr/>
      <w:r>
        <w:rPr>
          <w:b/>
        </w:rPr>
        <w:t>Shared claim-specific concepts:</w:t>
      </w:r>
      <w:r>
        <w:t xml:space="preserve"> uncertainty, measures, mitigate, adverse; EU scope visible. This is a provisional connection, not an outcome finding.</w:t>
      </w:r>
    </w:p>
    <w:p>
      <w:pPr>
        <w:pStyle w:val="SourceNote"/>
      </w:pPr>
      <w:r>
        <w:rPr>
          <w:b/>
        </w:rPr>
        <w:t>Available abstract (not full text):</w:t>
      </w:r>
      <w:r>
        <w:t xml:space="preserve"> Economic policy uncertainty (EPU) and geopolitical uncertainty (GPU) can fuel speculation, flood the carbon trading market with excess allowances, and undermine the scheme's efficacy in tackling climate change. While the existing literature documents the adverse effects of uncertainty on macroeconomic and financial variables, the impact on the carbon trading risk remains unclear. This paper analyses the effects of EPU and GPU on the volatility and other risk levels in the carbon market using daily European Union Emissions Trading Scheme data (February 2, 2009 to 8/31/2022) and monthly data on the uncertainty indicators (2009M2–2022M8). The findings reveal that unstable policies and geopolitical tensions heighten carbon market risk since global uncertainty increases information asymmetry and risk premium and causes a delay in investment decisions. Future deliberation among the Cooperation of Parties under the United Nations Framework Convention on Climate Change should incorporate measures to mitigate global uncertainty while pushing for decarbonization and transition to clean technology.</w:t>
      </w:r>
    </w:p>
    <w:p>
      <w:pPr/>
      <w:r>
        <w:rPr>
          <w:b/>
        </w:rPr>
        <w:t>POSSIBLE 2023:</w:t>
      </w:r>
      <w:r>
        <w:t xml:space="preserve"> Clean Energy Action Index Efficiency: An Analysis in Global Uncertainty Contexts — https://doi.org/10.3390/en16093937</w:t>
      </w:r>
    </w:p>
    <w:p>
      <w:pPr/>
      <w:r>
        <w:rPr>
          <w:b/>
        </w:rPr>
        <w:t>Shared claim-specific concepts:</w:t>
      </w:r>
      <w:r>
        <w:t xml:space="preserve"> uncertainty, index; EU scope not established. This is a provisional connection, not an outcome finding.</w:t>
      </w:r>
    </w:p>
    <w:p>
      <w:pPr>
        <w:pStyle w:val="SourceNote"/>
      </w:pPr>
      <w:r>
        <w:rPr>
          <w:b/>
        </w:rPr>
        <w:t>Available abstract (not full text):</w:t>
      </w:r>
      <w:r>
        <w:t xml:space="preserve"> Climate change, the scarcity of fossil fuels, technical advances in clean energy, and the volatility of crude oil prices are just a few of the factors that have prompted the world to recognize clean energy as a viable alternative to dirty energy. As part of the Paris Climate Accord of 2015, many countries agreed to change their economies to be more sensitive to climate change. Due to this Accord, which increased interest from investors and decision-makers, investments in clean energy companies have benefited [1,2]. Clean energy stocks, which are a part of the larger world of tradable reserves, might experience pricing inefficiencies. In this paper, we investigate the multifractal scaling behavior and efficiency of green finance markets, as well as traditional markets like gold, crude oil, and natural gas between January 1, 2018, and March 9, 2023, which covers periods of low volatility and financial instability (2020 and 2022 events). To test the serial dependency (autocorrelation) and the efficient market hypothesis, in its weak form, we employed the Lo and Mackinlay test and the DFA method. The empirical findings demonstrated that both periods exhibit severe multifractal and significant asymmetry, indicating that the price indices under study are not at all efficient.</w:t>
      </w:r>
    </w:p>
    <w:p>
      <w:pPr>
        <w:pStyle w:val="Heading2"/>
      </w:pPr>
      <w:r>
        <w:t>669.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2024:</w:t>
      </w:r>
      <w:r>
        <w:t xml:space="preserve"> Climate change and economic growth: Evidence for European countries — https://doi.org/10.1111/ajes.12605</w:t>
      </w:r>
    </w:p>
    <w:p>
      <w:pPr/>
      <w:r>
        <w:rPr>
          <w:b/>
        </w:rPr>
        <w:t>Shared claim-specific concepts:</w:t>
      </w:r>
      <w:r>
        <w:t xml:space="preserve"> different, methods; EU scope visible. This is a provisional connection, not an outcome finding.</w:t>
      </w:r>
    </w:p>
    <w:p>
      <w:pPr>
        <w:pStyle w:val="SourceNote"/>
      </w:pPr>
      <w:r>
        <w:rPr>
          <w:b/>
        </w:rPr>
        <w:t>Available abstract (not full text):</w:t>
      </w:r>
      <w:r>
        <w:t xml:space="preserve"> Abstract Climate change may affect economies and the welfare of people around the world. To design appropriate policy responses, the economic effects of climate change should be known. One strand in the literature empirically estimates the growth effects of climatic variations. However, those studies often neglect economic variables that have proven to be robust in explaining economic growth. Further, often they fail to check for the robustness of their results. The main aim of this study is to detect whether there exists a statistically significant robust relation between climate change and economic growth by estimating different model specifications. To do so panel estimation techniques for 24 European economies for the period from 2002 to 2019 are applied whereby panel fixed effects estimations and dynamic Generalized Methods of Moments estimations are resorted to. No statistically significant robust relationship between the temperature change and economic growth is found just as for precipitation that does not exert a significant effect on growth. As regards the institutional and macroeconomic control variables the rule of law, the fiscal variable, and the output gap are statistically significant and robust. It is argued that far‐reaching policy measures, such as the net zero goal of the European Union, should be given only based on robust results. Otherwise, economic polic</w:t>
      </w:r>
    </w:p>
    <w:p>
      <w:pPr/>
      <w:r>
        <w:rPr>
          <w:b/>
        </w:rPr>
        <w:t>POSSIBLE 2024:</w:t>
      </w:r>
      <w:r>
        <w:t xml:space="preserve"> Financial integration and economic growth in Europe — https://doi.org/10.4337/9781803926377.00033</w:t>
      </w:r>
    </w:p>
    <w:p>
      <w:pPr/>
      <w:r>
        <w:rPr>
          <w:b/>
        </w:rPr>
        <w:t>Shared claim-specific concepts:</w:t>
      </w:r>
      <w:r>
        <w:t xml:space="preserve"> influence, case; EU scope visible. This is a provisional connection, not an outcome finding.</w:t>
      </w:r>
    </w:p>
    <w:p>
      <w:pPr>
        <w:pStyle w:val="SourceNote"/>
      </w:pPr>
      <w:r>
        <w:rPr>
          <w:b/>
        </w:rPr>
        <w:t>Available abstract (not full text):</w:t>
      </w:r>
      <w:r>
        <w:t xml:space="preserve"> This study examines the impact of financial integration on economic growth in the case of 31 European countries over the period from 2000 to 2021 using dynamic panel data models.The estimation results provide evidence of significant positive effects of financial integration on economic growth.They also suggest that the financial integration -economic growth relationship depends on country-specific characteristics such as the level of financial development and the quality of institutions.More precisely, financial integration appears to exert a greater positive influence on growth in the case of the European countries with a higher level of financial development and better institutions.</w:t>
      </w:r>
    </w:p>
    <w:p>
      <w:pPr/>
      <w:r>
        <w:rPr>
          <w:b/>
        </w:rPr>
        <w:t>POSSIBLE 2023:</w:t>
      </w:r>
      <w:r>
        <w:t xml:space="preserve"> Digitalisation and Economic Growth in the European Union — https://doi.org/10.3390/electronics12071718</w:t>
      </w:r>
    </w:p>
    <w:p>
      <w:pPr/>
      <w:r>
        <w:rPr>
          <w:b/>
        </w:rPr>
        <w:t>Shared claim-specific concepts:</w:t>
      </w:r>
      <w:r>
        <w:t xml:space="preserve"> empirical, take, consideration; EU scope visible. This is a provisional connection, not an outcome finding.</w:t>
      </w:r>
    </w:p>
    <w:p>
      <w:pPr>
        <w:pStyle w:val="SourceNote"/>
      </w:pPr>
      <w:r>
        <w:rPr>
          <w:b/>
        </w:rPr>
        <w:t>Available abstract (not full text):</w:t>
      </w:r>
      <w:r>
        <w:t xml:space="preserve">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r>
        <w:rPr>
          <w:b/>
        </w:rPr>
        <w:t>POSSIBLE 2023:</w:t>
      </w:r>
      <w:r>
        <w:t xml:space="preserve"> Economic growth and broadband access: The European urban-rural digital divide — https://doi.org/10.1016/j.telpol.2023.102579</w:t>
      </w:r>
    </w:p>
    <w:p>
      <w:pPr/>
      <w:r>
        <w:rPr>
          <w:b/>
        </w:rPr>
        <w:t>Shared claim-specific concepts:</w:t>
      </w:r>
      <w:r>
        <w:t xml:space="preserve"> both, different; EU scope visible. This is a provisional connection, not an outcome finding.</w:t>
      </w:r>
    </w:p>
    <w:p>
      <w:pPr>
        <w:pStyle w:val="SourceNote"/>
      </w:pPr>
      <w:r>
        <w:rPr>
          <w:b/>
        </w:rPr>
        <w:t>Available abstract (not full text):</w:t>
      </w:r>
      <w:r>
        <w:t xml:space="preserve"> This paper estimates the regional effects of high-speed broadband coverage on economic growth in a panel of 1348 regions across all European Union Member States between 2011 and 2018. We distinguish between different connectivity speed levels by aggregating the available regional data across all existing broadband technologies, and investigate how regional differences in the contribution of broadband coverage to real economic growth can quantitatively explain the persistence of the European urban-rural digital divide. In order to make our results robust to endogeneity and disaggregated data availability issues, we employ a bootstrap-based bias correction for the dynamic fixed effects estimator. We find that expansions in the provision of lower-speed broadband access accelerated annual per capita growth in both urban and rural regions through diminishing returns to scale, but that the effects were weaker in those regions characterized by larger ruralization. High-speed broadband coverage, on the contrary, could only be significantly related to rural economic growth and had no impact within their urban coun-terparts. We find evidence that the costs of these high-speed rural connectivity expansions had not yet been offset, but that they exhibit increasing returns to scale with cut-off levels nearing full coverage. These results indicate that the high-speed digital expansion of rur</w:t>
      </w:r>
    </w:p>
    <w:p>
      <w:pPr/>
      <w:r>
        <w:rPr>
          <w:b/>
        </w:rPr>
        <w:t>POSSIBLE 2023:</w:t>
      </w:r>
      <w:r>
        <w:t xml:space="preserve"> Competitiveness—the engine that boosts economic growth and revives the economy — https://doi.org/10.3389/fenvs.2023.1130173</w:t>
      </w:r>
    </w:p>
    <w:p>
      <w:pPr/>
      <w:r>
        <w:rPr>
          <w:b/>
        </w:rPr>
        <w:t>Shared claim-specific concepts:</w:t>
      </w:r>
      <w:r>
        <w:t xml:space="preserve"> both, influence, factors; EU scope visible. This is a provisional connection, not an outcome finding.</w:t>
      </w:r>
    </w:p>
    <w:p>
      <w:pPr>
        <w:pStyle w:val="SourceNote"/>
      </w:pPr>
      <w:r>
        <w:rPr>
          <w:b/>
        </w:rPr>
        <w:t>Available abstract (not full text):</w:t>
      </w:r>
      <w:r>
        <w:t xml:space="preserve"> Competitiveness is a concept that shows up in all aspects of human life, both at the micro level, in personal, social, and professional life, and at the macro level, linked to organizational and national competitiveness with long-term effects on global competitiveness. In this paper, we aim to address competitiveness in Romania in the current context, before and after the COVID-19 pandemic, highlighting its role in reviving the economy. While until the onset of the pandemic Romania’s competitiveness performance was growing, more recently, because of the global health crisis, it dropped a few places, according to the Global Competitiveness Index report. In order to have a clear picture of the degree of competitiveness in Romania, we have presented a series of statistical data for the most relevant macroeconomic indicators for our study for the 2017–2022 timeframe: the global competitiveness index, the minimum wage, labor productivity, the evolution of real labor productivity per employed person, the economic growth rate, the unemployment rate, the inflation rate, the European innovation index, gross domestic expenditure on research and development, export of goods and services as a share of GDP, etc. The methodology used involves the use of quantitative techniques, performing an econometric analysis, and correlating how the most important macroeconomic indicators can influence t</w:t>
      </w:r>
    </w:p>
    <w:p>
      <w:pPr/>
      <w:r>
        <w:rPr>
          <w:b/>
        </w:rPr>
        <w:t>POSSIBLE 2022:</w:t>
      </w:r>
      <w:r>
        <w:t xml:space="preserve"> The impact of financial systems on economic growth in European Union member countries — https://doi.org/10.2478/picbe-2022-0068</w:t>
      </w:r>
    </w:p>
    <w:p>
      <w:pPr/>
      <w:r>
        <w:rPr>
          <w:b/>
        </w:rPr>
        <w:t>Shared claim-specific concepts:</w:t>
      </w:r>
      <w:r>
        <w:t xml:space="preserve"> different, case; EU scope visible. This is a provisional connection, not an outcome finding.</w:t>
      </w:r>
    </w:p>
    <w:p>
      <w:pPr>
        <w:pStyle w:val="SourceNote"/>
      </w:pPr>
      <w:r>
        <w:rPr>
          <w:b/>
        </w:rPr>
        <w:t>Available abstract (not full text):</w:t>
      </w:r>
      <w:r>
        <w:t xml:space="preserve"> Abstract As the economy develops, self-financed capital investments are less frequent, being replaced by financing through banking intermediation and later through capital markets. The development of financial systems has a positive effect on the mobilization of resources, improving corporate governance and risk management, leading to economic growth. The preponderance of previous research papers shows a positive relationship between financial development and economic growth. Studies using cross-sectional methodologies discover almost unanimously a positive link between financial development and economic growth, while studies with methodologies based on time series, panel data or case studies reach different conclusions depending on the period considered, the countries’ initial level of development and the structure of the financial systems. The purpose of this paper is to investigate the impact of financial systems on economic growth using panel regressions based on annual data regarding measures of financial development for the member countries of the European Union, for the period 1990-2020. The findings show that the development of the financial systems, through the activity of banks and capital markets, has a positive effect on the allocation of resources, the mobilization of savings and the efficient management of risks, leading in turn to economic growth if there is a co</w:t>
      </w:r>
    </w:p>
    <w:p>
      <w:pPr/>
      <w:r>
        <w:rPr>
          <w:b/>
        </w:rPr>
        <w:t>POSSIBLE 2022:</w:t>
      </w:r>
      <w:r>
        <w:t xml:space="preserve"> Analyzing the Level of Digitalization among the Enterprises of the European Union Member States and Their Impact on Economic Growth — https://doi.org/10.3390/joitmc8020070</w:t>
      </w:r>
    </w:p>
    <w:p>
      <w:pPr/>
      <w:r>
        <w:rPr>
          <w:b/>
        </w:rPr>
        <w:t>Shared claim-specific concepts:</w:t>
      </w:r>
      <w:r>
        <w:t xml:space="preserve"> both, issue; EU scope visible. This is a provisional connection, not an outcome finding.</w:t>
      </w:r>
    </w:p>
    <w:p>
      <w:pPr>
        <w:pStyle w:val="SourceNote"/>
      </w:pPr>
      <w:r>
        <w:rPr>
          <w:b/>
        </w:rPr>
        <w:t>Available abstract (not full text):</w:t>
      </w:r>
      <w:r>
        <w:t xml:space="preserve"> The dynamic development of information and communication technology (ICT) reported in recent years has caused significant changes in almost all areas of social and economic life. The digitalization process resulting from this development is now becoming a determinant of both progress and modernity. This issue has been addressed in this paper, and thereby we present a methodology developed to study the level of digitalization and the use of innovative technologies among the enterprises of the EU-27 countries. The research was conducted using selected indicators—determinants (10) characterizing the main digital technologies and infrastructure associated with their implementation in the enterprises under study. Based on these indicators, the Entropy-Multi-Objective Optimization on the basis of Ratio Analysis (MOORA) method was used to determine the index (level) of digitalization among the companies of the EU-27. The level of use of digital technologies and infrastructure for Industry 4.0 was also determined. Another important goal of the study was to determine a relationship between the values of the digitalization index for the EU-27 countries and the economic parameters characterizing their economies. For this analysis, non-parametric tests such as the Kendall’s Tau and Spearman’s rank correlation coefficients were applied. The results significantly enrich the knowledge of meth</w:t>
      </w:r>
    </w:p>
    <w:p>
      <w:pPr/>
      <w:r>
        <w:rPr>
          <w:b/>
        </w:rPr>
        <w:t>POSSIBLE 2022:</w:t>
      </w:r>
      <w:r>
        <w:t xml:space="preserve"> THE ROLE OF TOURISM AND FDI IN THE ECONOMIC GROWTH OF EU11 COUNTRIES — https://doi.org/10.20867/thm.28.2.5</w:t>
      </w:r>
    </w:p>
    <w:p>
      <w:pPr/>
      <w:r>
        <w:rPr>
          <w:b/>
        </w:rPr>
        <w:t>Shared claim-specific concepts:</w:t>
      </w:r>
      <w:r>
        <w:t xml:space="preserve"> aspect, both, case; EU scope visible. This is a provisional connection, not an outcome finding.</w:t>
      </w:r>
    </w:p>
    <w:p>
      <w:pPr>
        <w:pStyle w:val="SourceNote"/>
      </w:pPr>
      <w:r>
        <w:rPr>
          <w:b/>
        </w:rPr>
        <w:t>Available abstract (not full text):</w:t>
      </w:r>
      <w:r>
        <w:t xml:space="preserve"> Purpose - Tourism and FDI have contributed to a large extent to Central and Eastern European economies in recent decades. This paper investigates how successfully these two engines of growth have been stimulating the growth of these economies. Design/methodology/approach - Using a Pooled Mean Group estimation, this study investigates the short- and long-term effects of variations in the GDP shares of tourism and foreign investments on the economic growth rate. Findings - The results suggest that while tourism expansion is more effective in the short run, FDI has a significant positive impact on economic growth only in the long run. Originality - A new aspect of the present study is a comparison of the magnitude of the impacts of the GDP shares of international tourism and foreign investments on the economic growth rate in both the short and long run in the case of Central and Eastern Europe. Practical implications - Considering the economic structure of these countries, policy action plans for inclusive growth are suggested.</w:t>
      </w:r>
    </w:p>
    <w:p>
      <w:pPr/>
      <w:r>
        <w:rPr>
          <w:b/>
        </w:rPr>
        <w:t>POSSIBLE 2021:</w:t>
      </w:r>
      <w:r>
        <w:t xml:space="preserve"> Increasing Use Of Digital Technologies In Function Of Economic Growth In European Countries — https://openalex.org/W3188827837</w:t>
      </w:r>
    </w:p>
    <w:p>
      <w:pPr/>
      <w:r>
        <w:rPr>
          <w:b/>
        </w:rPr>
        <w:t>Shared claim-specific concepts:</w:t>
      </w:r>
      <w:r>
        <w:t xml:space="preserve"> both, studied, case; EU scope visible. This is a provisional connection, not an outcome finding.</w:t>
      </w:r>
    </w:p>
    <w:p>
      <w:pPr>
        <w:pStyle w:val="SourceNote"/>
      </w:pPr>
      <w:r>
        <w:rPr>
          <w:b/>
        </w:rPr>
        <w:t>Available abstract (not full text):</w:t>
      </w:r>
      <w:r>
        <w:t xml:space="preserve"> Abstract: Impact of the Information and Communication Technologies (ICT) on economic growth, recently attracted high research intererst. Thus, it has been found that in the case of developed European economies the considered impact is significant. In general, ICT diffusion has significant impact on the economic growth in high-income countries while smaller effect is observed in middle-income and low income countries. In the present work we study multiple aspects of the impact of ICT as a factor of the economic growth of European countries, both EU-28 and candidate countries. The internet usage across the regions is discussed in details. Social networking, online banking, egovernment and e-commerce aspects are considered separately. Values for EU-28 are compared with these for Republic of North Macedonia, Montenegro, Serbia, Albania and Turkey. Digital gap between the elderly persons urban and rural areas is also studied. Rather low presence of online banking in some countries outside of EU-28 has been found. Based on analyses following recommendations are made: to create policies to shape the digital single market; to improve the digital infrastructure in North Macedonia, Montenegro, Serbia, Albania and Turkey; to bridge the digital divide between urban and rural areas.</w:t>
      </w:r>
    </w:p>
    <w:p>
      <w:pPr>
        <w:pStyle w:val="Heading2"/>
      </w:pPr>
      <w:r>
        <w:t>670.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2026:</w:t>
      </w:r>
      <w:r>
        <w:t xml:space="preserve"> Principles for evidence-informed policymaking in fast-changing technology contexts : September 2026 — https://openalex.org/W7215313559</w:t>
      </w:r>
    </w:p>
    <w:p>
      <w:pPr/>
      <w:r>
        <w:rPr>
          <w:b/>
        </w:rPr>
        <w:t>Shared claim-specific concepts:</w:t>
      </w:r>
      <w:r>
        <w:t xml:space="preserve"> fast-changing, contexts, over, approaches; EU scope not established. This is a provisional connection, not an outcome finding.</w:t>
      </w:r>
    </w:p>
    <w:p>
      <w:pPr>
        <w:pStyle w:val="SourceNote"/>
      </w:pPr>
      <w:r>
        <w:rPr>
          <w:b/>
        </w:rPr>
        <w:t>Available abstract (not full text):</w:t>
      </w:r>
      <w:r>
        <w:t xml:space="preserve"> Technology in education, particularly AI, is moving faster than traditional evaluation methods can accommodate.The pace of change has challenged previous approaches to evaluation in education, such as randomised controlled trials, which have previously provided evidence for policymaking and advice to educators and parents.We propose here eight principles as a framework to support evidence-informed policymaking in fast-changing technology contexts.This approach aims to synthesise all available evidence to fully understand a topic but will also continually update our understanding as new evidence arrives.Policymaking within this framework triangulates imperfect evidence, updates judgements over time, matches methods to purpose, monitors harm and equity, preserves flexibility, evaluates systems and products, and makes evidence accessible to users.This framework was developed by the Department for Education (DfE) Science Advisory Council's AI and Digital Education Working Group to support policymaking where technology evolves more quickly than traditional research cycles can provide definitive evidence, e.g.artificial intelligence (AI) in education.</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2024:</w:t>
      </w:r>
      <w:r>
        <w:t xml:space="preserve"> True nature of hybrid work — https://doi.org/10.3389/forgp.2024.1448894</w:t>
      </w:r>
    </w:p>
    <w:p>
      <w:pPr/>
      <w:r>
        <w:rPr>
          <w:b/>
        </w:rPr>
        <w:t>Shared claim-specific concepts:</w:t>
      </w:r>
      <w:r>
        <w:t xml:space="preserve"> nature, work, them, influence; EU scope visible. This is a provisional connection, not an outcome finding.</w:t>
      </w:r>
    </w:p>
    <w:p>
      <w:pPr>
        <w:pStyle w:val="SourceNote"/>
      </w:pPr>
      <w:r>
        <w:rPr>
          <w:b/>
        </w:rPr>
        <w:t>Available abstract (not full text):</w:t>
      </w:r>
      <w:r>
        <w:t xml:space="preserve">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pPr/>
      <w:r>
        <w:rPr>
          <w:b/>
        </w:rPr>
        <w:t>POSSIBLE 2024:</w:t>
      </w:r>
      <w:r>
        <w:t xml:space="preserve"> Nature of Work of Accountants: The Case of Accounting Service Firms in Hanoi, Vietnam — https://doi.org/10.25105/ijsmebs.v6i1.20525</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pPr/>
      <w:r>
        <w:rPr>
          <w:b/>
        </w:rPr>
        <w:t>POSSIBLE 2024:</w:t>
      </w:r>
      <w:r>
        <w:t xml:space="preserve"> Nature, society, man, and culture in the system of being (1980) — https://doi.org/10.33910/2687-1262-2024-6-3-196-206</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article is based on the authorized copy of M. S. Kagan’s book ‘Systematic Approach and Humanitarian Knowledge’ (1991). It incorporates the hand-written edits made to the book by Kagan himself. The work is an attempt to understand the principles of structuring being. It discusses the relevant system of categories and the relationship between such concepts as nature, society, man, and culture. The author criticizes the ideas that lead to the dissolution of society in culture and the dissolution of society in nature. Kagan proposes a four-member principle of ontology. According to him, the identification of four basic forms of being — nature, society, man, and culture — allows us to overcome all types of reductionism (spiritualistic, psychological, biological, sociological). At the same time, this approach allows to maintain a monistic understanding of the material unity of the world and reveal the dialectic of the general and the particular in all the four specific forms of the motion of matter. The article describes theoretical consequences, practical significance and ideological meaning of Kagan’s tetra-based principle of ontology. A special focus is given to the prospects that this ontological principle opens up for the structural analysis of scientific knowledge, the organization of its various fields and the classification of sciences. The article emphasizes the relevanc</w:t>
      </w:r>
    </w:p>
    <w:p>
      <w:pPr/>
      <w:r>
        <w:rPr>
          <w:b/>
        </w:rPr>
        <w:t>POSSIBLE 2024:</w:t>
      </w:r>
      <w:r>
        <w:t xml:space="preserve"> Nature and Teleology in the De Anima: Context for Aristotelian Potentiality — https://doi.org/10.5334/met.150</w:t>
      </w:r>
    </w:p>
    <w:p>
      <w:pPr/>
      <w:r>
        <w:rPr>
          <w:b/>
        </w:rPr>
        <w:t>Shared claim-specific concepts:</w:t>
      </w:r>
      <w:r>
        <w:t xml:space="preserve"> given, nature, developments; EU scope not established. This is a provisional connection, not an outcome finding.</w:t>
      </w:r>
    </w:p>
    <w:p>
      <w:pPr>
        <w:pStyle w:val="SourceNote"/>
      </w:pPr>
      <w:r>
        <w:rPr>
          <w:b/>
        </w:rPr>
        <w:t>Available abstract (not full text):</w:t>
      </w:r>
      <w:r>
        <w:t xml:space="preserve"> This paper investigates contemporary applications of the Aristotelian conception of potentiality in limit cases of life and death arising from developments in modern science in order to argue that in its current usage, the term is often so far from its Aristotelian context that its philosophical rigor and, hence, usefulness is undermined. By analyzing the account of the soul in Aristotle’s De Anima, I argue for the necessity of a conception of nature that can contextualize the relevant sense of potentiality by giving a telos arising from the subject’s nature, which orients that subject’s potentiality. I argue that these contextualizing components of nature and teleology are necessary for using a philosophically rigorous sense of potentiality. I begin by surveying the current use of potentiality to delineate beginning and end-of-life cases in order to show that these various uses are not robust enough to offer answers to the challenging cases of life and death in a non ad hoc way. I then address John Lizza and Joel Feinberg’s suggestions for making the concept of potentiality more robust, namely, a more specified framework of ‘normal’ internal conditions and ‘important’ external conditions to which the subject’s potentialities can be referenced. I argue that the insufficiency of the current uses of potentiality is more specifically due to a lack of an Aristotelian conception of </w:t>
      </w:r>
    </w:p>
    <w:p>
      <w:pPr/>
      <w:r>
        <w:rPr>
          <w:b/>
        </w:rPr>
        <w:t>POSSIBLE 2023:</w:t>
      </w:r>
      <w:r>
        <w:t xml:space="preserve"> Kant on Freedom, Nature, and Judgment — https://doi.org/10.1017/9781009036634</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Kant's Critique of Judgment seems not to be an obviously unified work. Unlike other attempts to comprehend it as a unity, which treat it as serving either practical or theoretical interests, Kristi Sweet's book posits it as examining a genuinely independent sphere of human life. In her in-depth account of Kant's Critical philosophical system, Sweet argues that the Critique addresses the question: for what may I hope? The answer is given in Kant's account of 'territory,' a region of experience that both underlies and mediates between freedom and nature. Territory forms the context in which purposiveness without a purpose, the Ideal of Beauty, the sensus communis, genius and aesthetic ideas, and Kant's conception of life and proof of God are best interpreted. Encounters in this sphere are shown to refer us to a larger, more cosmic sense of a whole to which both freedom and nature belong.</w:t>
      </w:r>
    </w:p>
    <w:p>
      <w:pPr/>
      <w:r>
        <w:rPr>
          <w:b/>
        </w:rPr>
        <w:t>POSSIBLE 2023:</w:t>
      </w:r>
      <w:r>
        <w:t xml:space="preserve"> Metabolic politics: Industrial relations as if nature mattered — https://doi.org/10.31235/osf.io/wxb3s</w:t>
      </w:r>
    </w:p>
    <w:p>
      <w:pPr/>
      <w:r>
        <w:rPr>
          <w:b/>
        </w:rPr>
        <w:t>Shared claim-specific concepts:</w:t>
      </w:r>
      <w:r>
        <w:t xml:space="preserve"> nature, work, they; EU scope not established. This is a provisional connection, not an outcome finding.</w:t>
      </w:r>
    </w:p>
    <w:p>
      <w:pPr>
        <w:pStyle w:val="SourceNote"/>
      </w:pPr>
      <w:r>
        <w:rPr>
          <w:b/>
        </w:rPr>
        <w:t>Available abstract (not full text):</w:t>
      </w:r>
      <w:r>
        <w:t xml:space="preserve"> Work is at the center of the social metabolism with nature. This means that industrial relations (IR) are always also environmental politics. This article reviews core contributions to IR literature, showing that they do not systematically address this role of nature and separate the politics of work from their ecological basis. Against this backdrop, the article develops an interdisciplinary approach, combining IR studies with geographical as well as historical perspectives. Drawing on these fields, it presents the concept of metabolic politics in which nature is an autonomous party of IR. This approach allows analysis to take into account systematically the effects of IR on nonhuman nature as well as nature's own shaping of IR. Such an interdisciplinary approach is necessary to understand the entanglement of IR with climate change and the broader ecological crisis.</w:t>
      </w:r>
    </w:p>
    <w:p>
      <w:pPr/>
      <w:r>
        <w:rPr>
          <w:b/>
        </w:rPr>
        <w:t>POSSIBLE 2023:</w:t>
      </w:r>
      <w:r>
        <w:t xml:space="preserve"> Reinventing Work Nature: The Changing Work Landscape in Malayalam Architecture Magazines in the Post-COVID-19 Pandemic Era — https://doi.org/10.52783/tjjpt.v44.i3.719</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COVID-19 pandemic has profoundly impacted various industries, including the field of architecture magazines. This study aims to analyze the ramifications of the pandemic on the work nature of architecture magazines, with particular attention given to the editorial, business, and mechanical departments. By utilizing a qualitative research approach involving in-depth interviews with experts, this research investigates the changes that have transpired within the nature of work in architecture magazines as a direct response to the pandemic. Many changes have occurred. Findings from this study contribute to a deeper understanding of the changes and transformations within the architecture magazine industry, shedding light on the evolving work nature, strategies, and practices in the post-pandemic era. The insights gained will inform the key players such as stakeholders and advertisers to navigate the multifaceted challenges within the media landscape, reinforcing the resilience of magazine organizations and paving the way for sustained growth in the future.</w:t>
      </w:r>
    </w:p>
    <w:p>
      <w:pPr/>
      <w:r>
        <w:rPr>
          <w:b/>
        </w:rPr>
        <w:t>POSSIBLE 2023:</w:t>
      </w:r>
      <w:r>
        <w:t xml:space="preserve"> A network perspective of human–nature interactions in dynamic and fast-changing landscapes — https://doi.org/10.1093/nsr/nwad019</w:t>
      </w:r>
    </w:p>
    <w:p>
      <w:pPr/>
      <w:r>
        <w:rPr>
          <w:b/>
        </w:rPr>
        <w:t>Shared claim-specific concepts:</w:t>
      </w:r>
      <w:r>
        <w:t xml:space="preserve"> nature, fast-changing, contexts, they; EU scope not established. This is a provisional connection, not an outcome finding.</w:t>
      </w:r>
    </w:p>
    <w:p>
      <w:pPr>
        <w:pStyle w:val="SourceNote"/>
      </w:pPr>
      <w:r>
        <w:rPr>
          <w:b/>
        </w:rPr>
        <w:t>Available abstract (not full text):</w:t>
      </w:r>
      <w:r>
        <w:t xml:space="preserve"> Increasing and intensifying the use of land represents a prominent sustainability challenge of particular importance in regions undergoing rapid change while at the same time exhibiting large natural and anthropocentrically induced variability. To reconcile the needs for both human prosperity and healthy ecosystems, a more integrated understanding of key biophysical and adaptation processes is paramount in such dynamic and deeply entangled social and environmental contexts. Interdisciplinary research utilizing a network perspective provides a novel methodological and theoretical approach to that end. We review and synthesize recent network-centric studies, and use this network perspective to show how rangeland managers in a dynamic pastoral region in the Qinghai Province of China form social relationships based on geographic proximity, social status and shared grazing areas. The results indicate that adaption to biophysical and socioeconomic changes is partly a social process in that rangeland managers develop their adaptive capacity jointly and in concert with others they trust and with whom they share grazing areas. Avenues for further development of this network perspective, in terms of how it might contribute important new insights about how to sustainably use land in dynamic landscapes undergoing rapid change, are suggested.</w:t>
      </w:r>
    </w:p>
    <w:p>
      <w:pPr/>
      <w:r>
        <w:rPr>
          <w:b/>
        </w:rPr>
        <w:t>POSSIBLE 2022:</w:t>
      </w:r>
      <w:r>
        <w:t xml:space="preserve"> The Nature of Work in the Media Industries: A Literature Review and Future Directions — https://doi.org/10.3390/journalmedia3010013</w:t>
      </w:r>
    </w:p>
    <w:p>
      <w:pPr/>
      <w:r>
        <w:rPr>
          <w:b/>
        </w:rPr>
        <w:t>Shared claim-specific concepts:</w:t>
      </w:r>
      <w:r>
        <w:t xml:space="preserve"> given, nature, work, potentially, over, approaches; EU scope not established. This is a provisional connection, not an outcome finding.</w:t>
      </w:r>
    </w:p>
    <w:p>
      <w:pPr>
        <w:pStyle w:val="SourceNote"/>
      </w:pPr>
      <w:r>
        <w:rPr>
          <w:b/>
        </w:rPr>
        <w:t>Available abstract (not full text):</w:t>
      </w:r>
      <w:r>
        <w:t xml:space="preserve"> Media work is a culture-making activity affecting the ways people understand the world and, therefore, workers in the media industries have a critical role in shaping collective memories, traditions, and belief systems. While studies regarding the characteristics impacting the nature of work in the media industries have significantly been increasing over the last years, the literature in this area remains highly fragmented. This paper begins to address that shortcoming by conducting an in-depth review of 36 scholarly papers in influential journals published from 2006 to 2020 to provide a comprehensive view of the literature and its approaches. This study elaborates on the concept of media work by organizing previous efforts into five subthemes, including commonalities, contested terrain, gendered profession, emerging practices, and influencing factors. Previous research has emphasized that media workers’ subjective experiences need to be explored further and more in-depth; however, if we wish to depict a more holistic but realistic picture, those experiences should be contextualized and thus linked with the specific organizational configurations and macro structures in which media work is embedded. The present review depicts how work in the media may take different meanings when addressing it through various theoretical frameworks. Our study can enrich future studies regarding </w:t>
      </w:r>
    </w:p>
    <w:p>
      <w:pPr>
        <w:pStyle w:val="Heading2"/>
      </w:pPr>
      <w:r>
        <w:t>671.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2026:</w:t>
      </w:r>
      <w:r>
        <w:t xml:space="preserve"> A Brief Account of Indian Administration During Ancient Period — https://doi.org/10.51244/ijrsi.2026.1308000263</w:t>
      </w:r>
    </w:p>
    <w:p>
      <w:pPr/>
      <w:r>
        <w:rPr>
          <w:b/>
        </w:rPr>
        <w:t>Shared claim-specific concepts:</w:t>
      </w:r>
      <w:r>
        <w:t xml:space="preserve"> period, because, indian; EU scope not established. This is a provisional connection, not an outcome finding.</w:t>
      </w:r>
    </w:p>
    <w:p>
      <w:pPr>
        <w:pStyle w:val="SourceNote"/>
      </w:pPr>
      <w:r>
        <w:rPr>
          <w:b/>
        </w:rPr>
        <w:t>Available abstract (not full text):</w:t>
      </w:r>
      <w:r>
        <w:t xml:space="preserve"> Administration is the governing mechanism of state affairs. The original state of nature is imagined to be one of the total anarchy, which signified ‘might was right’. The concept of a formal state was absent because of nomadic life at that time. People agreed to pay taxes and be ruled by one person in order to enjoy well-being and security. ‘Manu’ i.e. the law book of the Hinduism gave reference to about the formation of state. By the time of Mauryan period, the Indian Administrative system was well developed so their treatise provides a first detailed account about the formal administrative system followed in ancient time. It was famous for conversion of decentralized informal administrative structure into the centralized formal system of state. A set of administrative structure given by Kautilya’s administration have been analyzed the researcher in details. Researcher emphasized upon the world-famous Chanakya’s Niti which provides a fame and glory for the country at international relations and concludes with the legacy of administration in many aspects. Great efforts have been made to analyze the secondary data sources on administrative system of ancient period in this article.</w:t>
      </w:r>
    </w:p>
    <w:p>
      <w:pPr/>
      <w:r>
        <w:rPr>
          <w:b/>
        </w:rPr>
        <w:t>POSSIBLE 2025:</w:t>
      </w:r>
      <w:r>
        <w:t xml:space="preserve"> Indian Anthropology Against the Backdrop of World Anthropology — https://doi.org/10.1177/0972558x251320485</w:t>
      </w:r>
    </w:p>
    <w:p>
      <w:pPr/>
      <w:r>
        <w:rPr>
          <w:b/>
        </w:rPr>
        <w:t>Shared claim-specific concepts:</w:t>
      </w:r>
      <w:r>
        <w:t xml:space="preserve"> period, other, next, because, indian; EU scope visible. This is a provisional connection, not an outcome finding.</w:t>
      </w:r>
    </w:p>
    <w:p>
      <w:pPr>
        <w:pStyle w:val="SourceNote"/>
      </w:pPr>
      <w:r>
        <w:rPr>
          <w:b/>
        </w:rPr>
        <w:t>Available abstract (not full text):</w:t>
      </w:r>
      <w:r>
        <w:t xml:space="preserve"> With regard to the status of Indian anthropology against the backdrop of world anthropology, I have mixed feelings of both pessimism and optimism . I feel pessimistic because, to the best of my knowledge, barring one exception in Professor Kewal Krishan in the field of forensic anthropology (who has been recently appointed as one of the editors of the prestigious journal The Science of Nature ), I would only be enlightened to learn if any Indian anthropologist has contributed to any theoretical and/or fundamental research in any branch of the discipline! Unless new theories, concepts, and hypotheses are added to a scientific discipline through fundamental research, the discipline would cease to grow; rather, would become stagnant or sterile. Very regretfully, I think that Indian anthropology has been passing through such a phase and, therefore, has failed to evolve its own distinct identity in world anthropology. At the same time, however, I am also very much optimistic in that India (read the Indian subcontinent) is the best anthropological laboratory in the world for research in all the branches of the discipline. It is my very firm belief that, in terms of variety of cultures, India stands next only to the continent of Africa, perhaps, and in terms of antiquity , she is next to none. Other than the variety and antiquity of human cultures and civilizations, what else is neede</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Irreducible Difference: Abdulrazak Gurnah as an Indian Ocean Writer — https://doi.org/10.1215/2834698x-11165274</w:t>
      </w:r>
    </w:p>
    <w:p>
      <w:pPr/>
      <w:r>
        <w:rPr>
          <w:b/>
        </w:rPr>
        <w:t>Shared claim-specific concepts:</w:t>
      </w:r>
      <w:r>
        <w:t xml:space="preserve"> other, because, indian, ocean; EU scope not established. This is a provisional connection, not an outcome finding.</w:t>
      </w:r>
    </w:p>
    <w:p>
      <w:pPr>
        <w:pStyle w:val="SourceNote"/>
      </w:pPr>
      <w:r>
        <w:rPr>
          <w:b/>
        </w:rPr>
        <w:t>Available abstract (not full text):</w:t>
      </w:r>
      <w:r>
        <w:t xml:space="preserve"> Although Abdulrazak Gurnah has long been a prominent postcolonial Anglophone writer, his recent award of the Nobel Prize in Literature in 2021 after publishing ten novels has brought his work and life unprecedented attention. While a comprehensive review of Gurnah's work is beyond the scope of this piece, what follows is a consideration of Gurnah as an Indian Ocean writer. Originally from Zanzibar, he escaped to Great Britain after the genocide against Arabs and South Asians in the Zanzibar Revolution of 1964. It is perhaps unsurprising therefore that his work touches on a dizzying array of postcolonial subjects including belonging, colonialism, displacement, memory, and migration set mainly on the shores of East Africa and Britain. Moving from one island to another, Gurnah and his work constantly negotiate the assemblages of sea, continent, and island. While the multifarious nature of Gurnah's work has been the basis of nearly universal praise and much analysis, categorizing them has been more difficult.For Gurnah, the question of categorization is particularly fraught territory because he transcends many categories. He is referred to as an African writer, a Black British writer, an Indian Ocean writer, an Afropolitan writer, a World Literature writer, and a postcolonial writer, among others. For example, Google refers to him as both a Tanzanian-British writer and a Tanzanian-</w:t>
      </w:r>
    </w:p>
    <w:p>
      <w:pPr/>
      <w:r>
        <w:rPr>
          <w:b/>
        </w:rPr>
        <w:t>POSSIBLE 2023:</w:t>
      </w:r>
      <w:r>
        <w:t xml:space="preserve"> Cruel Conquerors and a Solomonic Saint: European Collectors’ Interests in Indian Muraqqaʿs — https://doi.org/10.1515/9783111321462-004</w:t>
      </w:r>
    </w:p>
    <w:p>
      <w:pPr/>
      <w:r>
        <w:rPr>
          <w:b/>
        </w:rPr>
        <w:t>Shared claim-specific concepts:</w:t>
      </w:r>
      <w:r>
        <w:t xml:space="preserve"> period, other, indian; EU scope visible. This is a provisional connection, not an outcome finding.</w:t>
      </w:r>
    </w:p>
    <w:p>
      <w:pPr>
        <w:pStyle w:val="SourceNote"/>
      </w:pPr>
      <w:r>
        <w:rPr>
          <w:b/>
        </w:rPr>
        <w:t>Available abstract (not full text):</w:t>
      </w:r>
      <w:r>
        <w:t xml:space="preserve"> The essay argues that Europeans living and acting in India during the second half of the eighteenth century - the period before India became part of the colonial British Empire - were interested in collecting specific motifs within the Indian albums (muraqqaʿs) that they acquired and often commissioned. The study examines three recurrent portraits. Timur and Nadir Shah - both conquerors of India of Turkic origin - might have been regarded as historical role models by the French and British representatives who then strove to infiltrate the centres of Mughal power. Conversely, the Sufi saint Ibrahim ibn-i Adham might have represented the religious dimension of Indian society. The two contrasting motifs presumably also conveyed the persistent cliché of Muslim violence on the one hand and, on the other, the passivity ascribed in European texts to the Indian population.</w:t>
      </w:r>
    </w:p>
    <w:p>
      <w:pPr/>
      <w:r>
        <w:rPr>
          <w:b/>
        </w:rPr>
        <w:t>POSSIBLE 2021:</w:t>
      </w:r>
      <w:r>
        <w:t xml:space="preserve"> The Contraction of European Economic Distances through Sustainable Tourism in the Pre-Pandemic Period — https://doi.org/10.2478/zireb-2021-0013</w:t>
      </w:r>
    </w:p>
    <w:p>
      <w:pPr/>
      <w:r>
        <w:rPr>
          <w:b/>
        </w:rPr>
        <w:t>Shared claim-specific concepts:</w:t>
      </w:r>
      <w:r>
        <w:t xml:space="preserve"> period, other; EU scope visible. This is a provisional connection, not an outcome finding.</w:t>
      </w:r>
    </w:p>
    <w:p>
      <w:pPr>
        <w:pStyle w:val="SourceNote"/>
      </w:pPr>
      <w:r>
        <w:rPr>
          <w:b/>
        </w:rPr>
        <w:t>Available abstract (not full text):</w:t>
      </w:r>
      <w:r>
        <w:t xml:space="preserve"> Abstract The current importance of tourism leads us to analyze the extent to which the receipts from international tourism, and tourism in general, influence the capacity of European countries to reduce the development gaps of this sector in the European context and the extent to which the economic growth is sensitive to changes in tourist arrivals, tourism receipts and expenditures. Studying the GDP per capita and the receipts from international tourism for the period 1995-2017, we find that the European tourism has an important role in economy but secondary to capital stock and exports. The methodology used is a sensitivity analysis and a multiple linear regression with two models. The results show that, on short term, the gap in the European tourism sector is explained by the ability to attract income from the international tourism. The European growth of the tourism sector depends to a large extent on the amount of expenditures that tourists are making, on tourism receipts and, to a lesser extent, on tourist arrivals, but in all cases, the connection is a direct and positive one but, even so, the capital stock and the exports continue to play a very important role for the European economy. The analysis suggests that tourism is not a panacea for growth. On the contrary, it is one of the activities that stimulate growth along with investments, technology, or any other form of</w:t>
      </w:r>
    </w:p>
    <w:p>
      <w:pPr/>
      <w:r>
        <w:rPr>
          <w:b/>
        </w:rPr>
        <w:t>POSSIBLE 2021:</w:t>
      </w:r>
      <w:r>
        <w:t xml:space="preserve"> Storm and fire disturbances in Europe: Distribution and trends — https://doi.org/10.1111/gcb.15679</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Abiotic forest disturbances are an important driver of ecosystem dynamics. In Europe, storms and fires have been identified as the most important abiotic disturbances in the recent past. Yet, how strongly these agents drive local disturbance regimes compared to other agents (e.g., biotic, human) remains unresolved. Furthermore, whether storms and fires are responsible for the observed increase in forest disturbances in Europe is debated. Here, we provide quantitative evidence for the prevalence of storm and fire disturbances in Europe 1986-2016. For 27 million disturbance patches mapped from satellite data, we determined whether they were caused by storm or fire, using a random forest classifier and a large reference dataset of true disturbance occurrences. We subsequently analyzed patterns of disturbance prevalence (i.e., the share of an agent on the overall area disturbed) in space and time. Storm- and fire-related disturbances each accounted for approximately 7% of all disturbances recorded in Europe in the period 1986-2016. Storm-related disturbances were most prevalent in western and central Europe, where they locally accounted for &gt;50% of all disturbances, but we also identified storm-related disturbances in south-eastern and eastern Europe. Fire-related disturbances were a major disturbance agent in southern and south-eastern Europe, but fires also occurred in eastern an</w:t>
      </w:r>
    </w:p>
    <w:p>
      <w:pPr/>
      <w:r>
        <w:rPr>
          <w:b/>
        </w:rPr>
        <w:t>POSSIBLE 2021:</w:t>
      </w:r>
      <w:r>
        <w:t xml:space="preserve"> Western Europe — https://doi.org/10.1017/9781316671603.003</w:t>
      </w:r>
    </w:p>
    <w:p>
      <w:pPr/>
      <w:r>
        <w:rPr>
          <w:b/>
        </w:rPr>
        <w:t>Shared claim-specific concepts:</w:t>
      </w:r>
      <w:r>
        <w:t xml:space="preserve"> period, suggested; EU scope visible. This is a provisional connection, not an outcome finding.</w:t>
      </w:r>
    </w:p>
    <w:p>
      <w:pPr>
        <w:pStyle w:val="SourceNote"/>
      </w:pPr>
      <w:r>
        <w:rPr>
          <w:b/>
        </w:rPr>
        <w:t>Available abstract (not full text):</w:t>
      </w:r>
      <w:r>
        <w:t xml:space="preserve"> This chapter considers the growth performance of western European countries since 1870, and relates this to the degree of openness. A theoretical explanation of why convergence is predicted by economic theory is presented and some statistics are presented on GDP per capita and the contributions of various factors to growth performance. Three periods are considered: 1870 until World War I; the interwar period; and after World War II. The first and the last are associated with globalization and convergence, whereas the interwar period witnessed increasing levels of economic isolation and lack of convergence. All western European countries are much richer today than they were in 1870, but some countries have performed much more strongly than others. Over- and underperforming countries, whose growth performances were markedly different from what might be expected from their initial levels of income, are highlighted, and possible interpretations suggested.</w:t>
      </w:r>
    </w:p>
    <w:p>
      <w:pPr/>
      <w:r>
        <w:rPr>
          <w:b/>
        </w:rPr>
        <w:t>POSSIBLE 2021:</w:t>
      </w:r>
      <w:r>
        <w:t xml:space="preserve"> Europe Annexes the Tropics — https://doi.org/10.1201/9781003208983-8</w:t>
      </w:r>
    </w:p>
    <w:p>
      <w:pPr/>
      <w:r>
        <w:rPr>
          <w:b/>
        </w:rPr>
        <w:t>Shared claim-specific concepts:</w:t>
      </w:r>
      <w:r>
        <w:t xml:space="preserve"> period, other, because; EU scope visible. This is a provisional connection, not an outcome finding.</w:t>
      </w:r>
    </w:p>
    <w:p>
      <w:pPr>
        <w:pStyle w:val="SourceNote"/>
      </w:pPr>
      <w:r>
        <w:rPr>
          <w:b/>
        </w:rPr>
        <w:t>Available abstract (not full text):</w:t>
      </w:r>
      <w:r>
        <w:t xml:space="preserve"> The tropical societies and the agricultural systems that supported them underwent a dramatic period of shock and change from the end of the 15th century onward. The growing merchant class resented paying vast profits to the merchants of Venice, who were the only people with whom the Turks would trade, and so. The spices were of particular interest because the agriculture of the Middle Ages in Europe had not discovered how to keep large numbers of livestock alive through the hardships of winter when there were no crops to graze. The widespread destruction — of societies, farm systems, and huge numbers of Indians — that resulted from the "gold fever" needs some explanation. The Catholic religion was the only one acceptable in the eyes of the Spanish church and court. Unbelievers, even those following other forms of Christian belief, were tortured into changing their faith back to Catholicism.</w:t>
      </w:r>
    </w:p>
    <w:p>
      <w:pPr/>
      <w:r>
        <w:rPr>
          <w:b/>
        </w:rPr>
        <w:t>POSSIBLE 2021:</w:t>
      </w:r>
      <w:r>
        <w:t xml:space="preserve"> STUDY ON PROFITABILITY EFFICIENCY IN INDIAN AND OTHER COUNTRIES EXPERIENCE — https://doi.org/10.5281/zenodo.5132613</w:t>
      </w:r>
    </w:p>
    <w:p>
      <w:pPr/>
      <w:r>
        <w:rPr>
          <w:b/>
        </w:rPr>
        <w:t>Shared claim-specific concepts:</w:t>
      </w:r>
      <w:r>
        <w:t xml:space="preserve"> period, other, next, indian; EU scope not established. This is a provisional connection, not an outcome finding.</w:t>
      </w:r>
    </w:p>
    <w:p>
      <w:pPr>
        <w:pStyle w:val="SourceNote"/>
      </w:pPr>
      <w:r>
        <w:rPr>
          <w:b/>
        </w:rPr>
        <w:t>Available abstract (not full text):</w:t>
      </w:r>
      <w:r>
        <w:t xml:space="preserve"> The profitability is a worried about genuine asset use, yield from a given arrangement of sources of info and estimated as the yield per unit input (or a lot of data sources). This oversimplified methodology is valuable when there is just a single technology, one information and one yield. Be that as it may, for a firm, simply getting the greatest yield from a given arrangement of information sources isn't sufficient since various innovations, distinctive data sources and diverse arrangements of yields from a similar arrangement of information sources are gotten. In this manner, progressively critical is the adjustment in productivity over some stretch of time, starting with one period then onto the next. Productivity is henceforth, both, static and dynamic in nature: a proportion of, both, the adjustment in technology after some time, and ideal utilization of assets, for the best accessible technology, at a given time. In addition, if the target of the firm is to augment profits, the productivity estimated as proportion of physical units may not be the best measure. Thus, notwithstanding traditional proportion of profitability, an "adapted estimation of profitability " might be a superior performance measure. Productivity of a firm is in this way gotten from the efficiency of the firm in utilizing ideal technology from a lot of accessible innovations (generation work), ideal a</w:t>
      </w:r>
    </w:p>
    <w:p>
      <w:pPr>
        <w:pStyle w:val="Heading2"/>
      </w:pPr>
      <w:r>
        <w:t>672.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2026:</w:t>
      </w:r>
      <w:r>
        <w:t xml:space="preserve"> Competency-based European training requirements for the specialty of ophthalmology — https://openalex.org/W7155593103</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Digital Literacy as a Core Competency in Higher Education — https://openalex.org/W7216688389</w:t>
      </w:r>
    </w:p>
    <w:p>
      <w:pPr/>
      <w:r>
        <w:rPr>
          <w:b/>
        </w:rPr>
        <w:t>Shared claim-specific concepts:</w:t>
      </w:r>
      <w:r>
        <w:t xml:space="preserve"> core, professional, educational; EU scope not established. This is a provisional connection, not an outcome finding.</w:t>
      </w:r>
    </w:p>
    <w:p>
      <w:pPr>
        <w:pStyle w:val="SourceNote"/>
      </w:pPr>
      <w:r>
        <w:rPr>
          <w:b/>
        </w:rPr>
        <w:t>Available abstract (not full text):</w:t>
      </w:r>
      <w:r>
        <w:t xml:space="preserve"> Digital literacy has emerged as a critical competency in higher education, reflecting the growing role of information and communication technologies (ICT), online learning platforms, and digital resources in academic engagement, knowledge creation, and professional readiness. This review paper critically examines the role of digital literacy as an essential skill for higher education students, exploring its conceptual framework, theoretical underpinnings, pedagogical integration, institutional strategies, assessment approaches, and policy implications. Drawing on research from educational technology, learning sciences, digital pedagogy, higher education administration, information literacy studies, and competency-based learning frameworks, the paper analyzes how digital literacy enhances academic performance, promotes self-directed learning, fosters critical thinking, supports ethical and safe digital engagement, and prepares students for knowledge-intensive professions. The review highlights institutional initiatives, curriculum integration strategies, faculty capacity building, and technology-enabled pedagogical practices that cultivate digital literacy across disciplines. Furthermore, it examines challenges such as digital divide, access inequity, faculty readiness, infrastructural limitations, and assessment standardization. The study concludes that embedding digital litera</w:t>
      </w:r>
    </w:p>
    <w:p>
      <w:pPr/>
      <w:r>
        <w:rPr>
          <w:b/>
        </w:rPr>
        <w:t>POSSIBLE 2026:</w:t>
      </w:r>
      <w:r>
        <w:t xml:space="preserve"> Competency-based European training requirements for the specialty of ophthalmology. Recommendations from the UEMS section of ophthalmology and the European Board of Ophthalmology — https://openalex.org/W7149229150</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2025:</w:t>
      </w:r>
      <w:r>
        <w:t xml:space="preserve"> Art Core Competency in Chinese Secondary Vocational Schools: A Systematic Literature Review — https://doi.org/10.6007/ijarbss/v15-i1/24498</w:t>
      </w:r>
    </w:p>
    <w:p>
      <w:pPr/>
      <w:r>
        <w:rPr>
          <w:b/>
        </w:rPr>
        <w:t>Shared claim-specific concepts:</w:t>
      </w:r>
      <w:r>
        <w:t xml:space="preserve"> core, competencies, professional, training, educational; EU scope not established. This is a provisional connection, not an outcome finding.</w:t>
      </w:r>
    </w:p>
    <w:p>
      <w:pPr>
        <w:pStyle w:val="SourceNote"/>
      </w:pPr>
      <w:r>
        <w:rPr>
          <w:b/>
        </w:rPr>
        <w:t>Available abstract (not full text):</w:t>
      </w:r>
      <w:r>
        <w:t xml:space="preserve"> The education system greatly emphasises cultivating the students' skills to succeed in the 21st century.The Ministry of Education in China advocates for the developing students' core competencies and has introduced the concept of art core competencies to integrate more closely with the art discipline.Teachers aim to cultivate art core competencies as an educational goal.However, The current literature lacks a scope review of relevant research on the core competencies of vocational art in the context of core competencies.Therefore, researchers emphasize the need for a systematic review of existing studies to gather information on the research regarding art core competencies in Chinese secondary vocational schools.This review identifies three key questions: (1) What are the dominant themes associated with art core competency in secondary vocational schools in China?(2) How do secondary vocational schools cultivate art core competencies in China?(3) What difficulties are encountered in cultivating art core competencies?The literature review on art core competencies in Chinese secondary vocational schools reveals that student-centered approaches, multimedia-assisted teaching, problem-based learning contexts, and diversified assessment strategies are the primary methods art teachers use to implement core competencies.Moreover, the findings also indicate that teachers face challenges</w:t>
      </w:r>
    </w:p>
    <w:p>
      <w:pPr/>
      <w:r>
        <w:rPr>
          <w:b/>
        </w:rPr>
        <w:t>POSSIBLE 2025:</w:t>
      </w:r>
      <w:r>
        <w:t xml:space="preserve"> Economists, Economic Knowledge, and Central Banks — https://doi.org/10.31235/osf.io/acymv_v1</w:t>
      </w:r>
    </w:p>
    <w:p>
      <w:pPr/>
      <w:r>
        <w:rPr>
          <w:b/>
        </w:rPr>
        <w:t>Shared claim-specific concepts:</w:t>
      </w:r>
      <w:r>
        <w:t xml:space="preserve"> economists, process, national; EU scope not established. This is a provisional connection, not an outcome finding.</w:t>
      </w:r>
    </w:p>
    <w:p>
      <w:pPr>
        <w:pStyle w:val="SourceNote"/>
      </w:pPr>
      <w:r>
        <w:rPr>
          <w:b/>
        </w:rPr>
        <w:t>Available abstract (not full text):</w:t>
      </w:r>
      <w:r>
        <w:t xml:space="preserve"> What do economists do in central banks? Why do central banks hire economists? This book investigates the evolving role of economists and economic knowledge within central banks, arguing that their current centrality is neither self-evident nor historically inevitable. While the presence and influence of economists in central banks today may seem natural, this book shows that it is the result of a complex, gradual, and uneven historical process shaped by institutional structures, disciplinary transformations, and shifting relationships between science and policy. Drawing on a rich but dispersed body of literature, the book traces how economists progressively gained authority through the establishment of statistics departments, the adoption of macroeconometric models, and the emergence of a shared cognitive infrastructure between academia and central banks. Rather than focusing on individuals or doctrines, it examines general trends and institutional shifts across a series of national case studies to show how central banks function as boundary organizations, at the intersection of policy and science.[Version Submitted to Cambridge University Press Elements series.]</w:t>
      </w:r>
    </w:p>
    <w:p>
      <w:pPr/>
      <w:r>
        <w:rPr>
          <w:b/>
        </w:rPr>
        <w:t>POSSIBLE 2025:</w:t>
      </w:r>
      <w:r>
        <w:t xml:space="preserve"> EMPLOYERS' PERCEPTIONS OF THE ROLE OF ENGLISH-LANGUAGE COMPETENCE OF ECONOMISTS IN THE DEVELOPMENT OF INNOVATIVE ACTIVITY OF ENTERPRISES — https://doi.org/10.30525/2256-0742/2025-11-5-414-424</w:t>
      </w:r>
    </w:p>
    <w:p>
      <w:pPr/>
      <w:r>
        <w:rPr>
          <w:b/>
        </w:rPr>
        <w:t>Shared claim-specific concepts:</w:t>
      </w:r>
      <w:r>
        <w:t xml:space="preserve"> economists, they, professional, training, ukraine, individual; EU scope not established. This is a provisional connection, not an outcome finding.</w:t>
      </w:r>
    </w:p>
    <w:p>
      <w:pPr>
        <w:pStyle w:val="SourceNote"/>
      </w:pPr>
      <w:r>
        <w:rPr>
          <w:b/>
        </w:rPr>
        <w:t>Available abstract (not full text):</w:t>
      </w:r>
      <w:r>
        <w:t xml:space="preserve"> Economic transformation and intensified international competition increase the demand for specialists capable of operating across linguistic and cultural borders. This study examines how employers in Ukraine assess economists’ English language competence and how they relate it to enterprise innovation. The aim is to explore employers’ evaluations of economists’ English skills and their perceived contribution to innovation-related activities and overall company performance. The analysis is based on a quantitative survey of 50 employers from the IT, financial, service, and production sectors who evaluated selected economist employees using five-point Likert scales. The questionnaire captures three groups of indicators: perceived level and use of English at work, perceived impact of English on individual performance, and perceived impact of English on enterprise development. Descriptive statistics show that employers rate initial English proficiency at 3.6 points on average, frequency of use at 3.9, and quality of English-mediated task performance at 3.7, which indicates regular use with considerable room for improvement. Employers also give high scores to the impact of English on communication with partners and clients (4.6) and on overall work effectiveness (4.4), while they rate its contribution to participation in new or international projects at 4.1. At the enterprise level t</w:t>
      </w:r>
    </w:p>
    <w:p>
      <w:pPr/>
      <w:r>
        <w:rPr>
          <w:b/>
        </w:rPr>
        <w:t>POSSIBLE 2025:</w:t>
      </w:r>
      <w:r>
        <w:t xml:space="preserve"> Competency‐based European training requirements for the specialty of ophthalmology. Recommendations from the UEMS section of ophthalmology and the European Board of Ophthalmology — https://doi.org/10.1111/aos.17575</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2025:</w:t>
      </w:r>
      <w:r>
        <w:t xml:space="preserve"> Core competencies in pharmaceutical education: a Chinese student perspective — https://doi.org/10.1186/s12909-025-07686-7</w:t>
      </w:r>
    </w:p>
    <w:p>
      <w:pPr/>
      <w:r>
        <w:rPr>
          <w:b/>
        </w:rPr>
        <w:t>Shared claim-specific concepts:</w:t>
      </w:r>
      <w:r>
        <w:t xml:space="preserve"> core, competencies, professional; EU scope not established. This is a provisional connection, not an outcome finding.</w:t>
      </w:r>
    </w:p>
    <w:p>
      <w:pPr>
        <w:pStyle w:val="SourceNote"/>
      </w:pPr>
      <w:r>
        <w:rPr>
          <w:b/>
        </w:rPr>
        <w:t>Available abstract (not full text):</w:t>
      </w:r>
      <w:r>
        <w:t xml:space="preserve"> BACKGROUND: From the students' perspective, the research evaluates their views on core competencies and their own developmental needs within pharmaceutical education, attempting to explore potential pathways for optimizing students' core competencies. This study seeks to enhance students' core competencies, enrich learning and development theories, and establish a basis and reference for cultivating high-caliber pharmaceutical talents. METHODS: Establishing a core competency index system for pharmacy major, a survey questionnaire comprising 41 items across four dimensions (knowledge, skills, abilities, and values) was designed. Using stratified cluster sampling, 919 valid responses were collected. Descriptive statistics, variance analysis, and chi-square test were used to analyze the perceptions of pharmaceutical students on core competencies' importance for professional growth and their satisfaction with teaching, and to examine disparities in the development of core competencies among different groups of students. RESULTS: The study revealed deficiencies in pharmaceutical students' core competencies regarding artificial intelligence, pharmaceutical application, medical care, etc. Differential analysis indicated that significant differences across education levels: undergraduates prioritized foundational knowledge and ethical norms, while postgraduates emphasized project-based</w:t>
      </w:r>
    </w:p>
    <w:p>
      <w:pPr/>
      <w:r>
        <w:rPr>
          <w:b/>
        </w:rPr>
        <w:t>POSSIBLE 2025:</w:t>
      </w:r>
      <w:r>
        <w:t xml:space="preserve"> South Asian Medical Schools Must Include "Resident as a Teacher", One of the Core Competencies in the Curriculum of Postgraduate Trainees — https://doi.org/10.22442/jlumhs.2025.01388</w:t>
      </w:r>
    </w:p>
    <w:p>
      <w:pPr/>
      <w:r>
        <w:rPr>
          <w:b/>
        </w:rPr>
        <w:t>Shared claim-specific concepts:</w:t>
      </w:r>
      <w:r>
        <w:t xml:space="preserve"> core, competencies, must, training; EU scope not established. This is a provisional connection, not an outcome finding.</w:t>
      </w:r>
    </w:p>
    <w:p>
      <w:pPr>
        <w:pStyle w:val="SourceNote"/>
      </w:pPr>
      <w:r>
        <w:rPr>
          <w:b/>
        </w:rPr>
        <w:t>Available abstract (not full text):</w:t>
      </w:r>
      <w:r>
        <w:t xml:space="preserve"> The postgraduate trainee in the medical field is commonly referred to as a resident around the world. Residents are an indispensable part of the health care workforce in almost all teaching hospitals and medical schools across the globe. Residency is an in-service learning and training1. The resident of any specialty performs multiple roles during the specified training period, such as learner, healthcare provider, teacher, researcher and sometimes administrator too2-4. Residents are considered an integral part of both undergraduate and postgraduate medical education2. Globally, residents are engaged in teaching, formally or informally, to their junior colleagues and medical students4. In other words, a teacher is one of the critical roles a resident plays during their residency training period3. Residents typically spend approximately one-fourth of their training time teaching junior residents and students3,5,7. Statutory bodies governing the medical education in some of the countries have developed norms or guiding principle for the training "Resident as teacher or educator", but the curriculum for such types of training vary across schools, departments and specialties.</w:t>
      </w:r>
    </w:p>
    <w:p>
      <w:pPr/>
      <w:r>
        <w:rPr>
          <w:b/>
        </w:rPr>
        <w:t>POSSIBLE 2024:</w:t>
      </w:r>
      <w:r>
        <w:t xml:space="preserve"> Entrepreneurial competencies in the success of enterprises: A bibliometric analysis of the publications in the field — https://doi.org/10.15295/bmij.v12i2.2390</w:t>
      </w:r>
    </w:p>
    <w:p>
      <w:pPr/>
      <w:r>
        <w:rPr>
          <w:b/>
        </w:rPr>
        <w:t>Shared claim-specific concepts:</w:t>
      </w:r>
      <w:r>
        <w:t xml:space="preserve"> core, competencies; EU scope visible. This is a provisional connection, not an outcome finding.</w:t>
      </w:r>
    </w:p>
    <w:p>
      <w:pPr>
        <w:pStyle w:val="SourceNote"/>
      </w:pPr>
      <w:r>
        <w:rPr>
          <w:b/>
        </w:rPr>
        <w:t>Available abstract (not full text):</w:t>
      </w:r>
      <w:r>
        <w:t xml:space="preserve"> There has been an acceleration in competence-based management in recent years, which has, in turn, influenced entrepreneurial success by strengthening entrepreneurial competencies. This study aims to analyse and predict the future of the research on entrepreneurial competencies using bibliometric methods. For this purpose, VOSviewer software was used for co-word analysis. Bibliometric methods such as citation analysis and co-author analysis were used to analyse the studies related to entrepreneurial competencies. It was found that most publications were published in 2019 based on a search in the Web of Science database between 1995 and 2023. The analysis of 1403 publications revealed that 460 proceeding papers, 10 early access and 210 book chapters were involved in the search. After reducing the set to include articles, 914 papers were evaluated. Results show that the authors most cited over the years are Lans Thomas, Al Mamun Abdullah, Mulder Martin, and Obschonka. Furthermore, it was found that Spain had the highest number of published works, followed by China and the USA respectively. Study findings also revealed that entrepreneurial competencies are more related to core, emotional, and network competencies and sustainable development, creativity, innovation, social capital, and higher education.</w:t>
      </w:r>
    </w:p>
    <w:p>
      <w:pPr/>
      <w:r>
        <w:rPr>
          <w:b/>
        </w:rPr>
        <w:t>POSSIBLE 2024:</w:t>
      </w:r>
      <w:r>
        <w:t xml:space="preserve"> Reciprocity and caregiver competencies. — https://doi.org/10.7146/qs.v9i1.143675</w:t>
      </w:r>
    </w:p>
    <w:p>
      <w:pPr/>
      <w:r>
        <w:rPr>
          <w:b/>
        </w:rPr>
        <w:t>Shared claim-specific concepts:</w:t>
      </w:r>
      <w:r>
        <w:t xml:space="preserve"> competencies, professional, training; EU scope not established. This is a provisional connection, not an outcome finding.</w:t>
      </w:r>
    </w:p>
    <w:p>
      <w:pPr>
        <w:pStyle w:val="SourceNote"/>
      </w:pPr>
      <w:r>
        <w:rPr>
          <w:b/>
        </w:rPr>
        <w:t>Available abstract (not full text):</w:t>
      </w:r>
      <w:r>
        <w:t xml:space="preserve"> Despite the impact of dementia, people’s needs to connect with others and their environment remains. With progression of a dementia disease, a person will gradually be more dependent on assistance and care. In this study, we aimed to conceptualise our understanding of person-centred dementia care, theoretically based on Tom Kitwood’s ontology of personhood. A hermeneutic constructivist approach with four explorative phases allowed for a metaphorical way of working with implicit knowledge related to professional caregiving. We used Lego Serious Play™ for data collection and as a method for exploring, articulating, and conceptualising how we understood caregiver interactions. Based on our analysis, we developed a co-created, condensed model suggesting an ideographic understanding of person-attuned interactions in caregiving, emphasizing knowledge about personhood and reciprocity. We unfolded how professional caregivers represent an essential value in dementia care by providing a feeling of safety through person-attuned interactions, introspection and mentalisation. We found that caregiver competencies depend on resources, culture, and interdisciplinary collaboration, which puts a strong demand on continuous training and supervision and for political and societal priorities.</w:t>
      </w:r>
    </w:p>
    <w:p>
      <w:pPr/>
      <w:r>
        <w:rPr>
          <w:b/>
        </w:rPr>
        <w:t>POSSIBLE 2024:</w:t>
      </w:r>
      <w:r>
        <w:t xml:space="preserve"> PRIORITY OF CORE COMPETENCIES AND SKILLS — https://doi.org/10.37547/pedagogics-crjp-05-11-13</w:t>
      </w:r>
    </w:p>
    <w:p>
      <w:pPr/>
      <w:r>
        <w:rPr>
          <w:b/>
        </w:rPr>
        <w:t>Shared claim-specific concepts:</w:t>
      </w:r>
      <w:r>
        <w:t xml:space="preserve"> core, competencies, process, educational; EU scope not established. This is a provisional connection, not an outcome finding.</w:t>
      </w:r>
    </w:p>
    <w:p>
      <w:pPr>
        <w:pStyle w:val="SourceNote"/>
      </w:pPr>
      <w:r>
        <w:rPr>
          <w:b/>
        </w:rPr>
        <w:t>Available abstract (not full text):</w:t>
      </w:r>
      <w:r>
        <w:t xml:space="preserve"> One of the main tasks facing the education system today is developing core competencies in students necessary for their success in the modern world. Education now focuses not only on imparting traditional knowledge but also on forming individuals who can adapt to social, economic, technological, and cultural changes. Core competencies and skills are central in this process. This article analyzes the priority of core competencies, their role, and significance in the educational process.</w:t>
      </w:r>
    </w:p>
    <w:p>
      <w:pPr>
        <w:pStyle w:val="Heading2"/>
      </w:pPr>
      <w:r>
        <w:t>673.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2026:</w:t>
      </w:r>
      <w:r>
        <w:t xml:space="preserve"> Low-Carbon Autoclaved Alkali-Activated Blast Furnace Slag Concrete: Microstructure and Mechanical Properties — https://doi.org/10.3390/app16031178</w:t>
      </w:r>
    </w:p>
    <w:p>
      <w:pPr/>
      <w:r>
        <w:rPr>
          <w:b/>
        </w:rPr>
        <w:t>Shared claim-specific concepts:</w:t>
      </w:r>
      <w:r>
        <w:t xml:space="preserve"> show, ccs, blast, furnace, replacement, co2; EU scope not established. This is a provisional connection, not an outcome finding.</w:t>
      </w:r>
    </w:p>
    <w:p>
      <w:pPr>
        <w:pStyle w:val="SourceNote"/>
      </w:pPr>
      <w:r>
        <w:rPr>
          <w:b/>
        </w:rPr>
        <w:t>Available abstract (not full text):</w:t>
      </w:r>
      <w:r>
        <w:t xml:space="preserve"> This paper presents a microstructural, mineralogical, and mechanical study of low-carbon autoclaved concrete (AC), achieved by partially or fully replacing ordinary Portland cement (OPC) with ground-granulated blast furnace slag (BFS) and substituting lime with calcium carbide slag (CCS). Fourteen mixes were produced and evaluated in the green state and after autoclaving. Quantitative X-ray diffraction (XRD) using the Rietveld method, density, compressive strength, and life cycle assessment (LCA) were conducted. Results show that mixes containing BFS achieve green strengths equal to or higher than the OPC reference, ensuring integrity during autoclaving. Using BFS with an adequate calcium supply promotes the formation of pre-autoclave portlandite, which in turn favors tobermorite development and yields post-autoclave strengths comparable to the OPC reference. Partial lime replacement with CCS (50%) maintains mineralogy and strength, whereas excessive CCS may reduce available portlandite and lower strength. Life-cycle assessment indicates that raw material supply dominates emissions and that removing OPC cuts total CO2 by 44% without compromising mechanical performance. These findings demonstrate the feasibility of OPC-lean/OPC-free, lime-optimized autoclaved concretes with substantially lower embodied impacts.</w:t>
      </w:r>
    </w:p>
    <w:p>
      <w:pPr/>
      <w:r>
        <w:rPr>
          <w:b/>
        </w:rPr>
        <w:t>POSSIBLE 2026:</w:t>
      </w:r>
      <w:r>
        <w:t xml:space="preserve"> Engineered Closed-Loop Mineral Storage (ECLMS): A Conceptual Korean CCS Model Bridging Ex-situ Mineralization and Geological Storage — https://doi.org/10.2139/ssrn.6750780</w:t>
      </w:r>
    </w:p>
    <w:p>
      <w:pPr/>
      <w:r>
        <w:rPr>
          <w:b/>
        </w:rPr>
        <w:t>Shared claim-specific concepts:</w:t>
      </w:r>
      <w:r>
        <w:t xml:space="preserve"> ccs, emissions; EU scope visible. This is a provisional connection, not an outcome finding.</w:t>
      </w:r>
    </w:p>
    <w:p>
      <w:pPr>
        <w:pStyle w:val="SourceNote"/>
      </w:pPr>
      <w:r>
        <w:rPr>
          <w:b/>
        </w:rPr>
        <w:t>Available abstract (not full text):</w:t>
      </w:r>
      <w:r>
        <w:t xml:space="preserve"> The expansion of Carbon Border Adjustment Mechanism (CBAM) and the European Union's Emissions Trading System (EU ETS) has sharpened global expectations for permanence, traceability, and accounting integrity in carbon capture and storage (CCS). At the same time, several major industrial economiesincluding the Republic of Korea, Japan, and parts of Southeast Asia-face a structural deficit of natural geological storage reservoirs suitable for conventional CCS. Existing mineralization options, including exsitu slurry reactors, in-situ basalt injection, and surficial mine tailings carbonation, occupy distinct niches but leave a regulatory grey zone for jurisdictions that lack large-scale saline aquifers yet possess abundant abandoned mine voids and alkaline industrial by-products. This perspective proposes Engineered Closed-Loop Mineral Storage (ECLMS) as a new conceptual CCS category. ECLMS combines (i) sealed underground containment in repurposed mine voids or engineered caverns, (ii) aqueous-phase mineral carbonation using slag, basalt, or olivine, and (iii) stabilization of CO₂ as dissolved bicarbonate (HCO₃⁻) and precipitated carbonates within a closed system. We map ECLMS onto the four IPCC trapping mechanisms, distinguish it from adjacent categories (Carbfix-style in-situ injection, Carbon8-style products, Calcarea-style ocean dispersal, and the Korean Dogye colliery pilot), </w:t>
      </w:r>
    </w:p>
    <w:p>
      <w:pPr/>
      <w:r>
        <w:rPr>
          <w:b/>
        </w:rPr>
        <w:t>POSSIBLE 2025:</w:t>
      </w:r>
      <w:r>
        <w:t xml:space="preserve"> Sustainability Assessment of Carbon Capture and Storage-CCS: Toward a low carbon cement production — https://doi.org/10.54337/aau781268599</w:t>
      </w:r>
    </w:p>
    <w:p>
      <w:pPr/>
      <w:r>
        <w:rPr>
          <w:b/>
        </w:rPr>
        <w:t>Shared claim-specific concepts:</w:t>
      </w:r>
      <w:r>
        <w:t xml:space="preserve"> show, ccs, production, co2, reductions, emissions; EU scope not established. This is a provisional connection, not an outcome finding.</w:t>
      </w:r>
    </w:p>
    <w:p>
      <w:pPr>
        <w:pStyle w:val="SourceNote"/>
      </w:pPr>
      <w:r>
        <w:rPr>
          <w:b/>
        </w:rPr>
        <w:t>Available abstract (not full text):</w:t>
      </w:r>
      <w:r>
        <w:t xml:space="preserve"> This thesis evaluates the sustainability of Carbon Capture and Storage (CCS) technologies in the cement industry, focusing on the environmental, economic, and social dimensions.The cement industry is a significant contributor to global CO2 emissions, and CCS is considered one of the key technologies for reducing these emissions.However, its implementation faces various challenges, which this research addresses.Centered on Aalborg Portland, a Danish cement producer, the study investigates CCS implementation for decarbonizing cement production using a mixed-methods approach, combining quantitative and qualitative analyses to evaluate the environmental impacts, economic viability, and social acceptance.Environmentally, the Life Cycle Assessment is used to quantify the net reductions achievable through CCS.The findings indicate that while CCS can significantly mitigate emissions from cement production, the process is energy-intensive and may lead to residual emissions, which must be managed to achieve sustainability.Economically, the research explores the cost implications of implementing CCS in the cement industry.It examines the uncertainties surrounding the business case for CCS through the Monte Carlo Method.This study includes the initial capital investment, operational costs, and the potential financial mechanisms to support its deployment.The analysis reveals that while CCS </w:t>
      </w:r>
    </w:p>
    <w:p>
      <w:pPr/>
      <w:r>
        <w:rPr>
          <w:b/>
        </w:rPr>
        <w:t>POSSIBLE 2025:</w:t>
      </w:r>
      <w:r>
        <w:t xml:space="preserve"> IMPACTS AND APPLICATIONS OF HYDROGEN INJECTION IN BLAST FURNACES: A REVIEW — https://doi.org/10.54899/dcs.v22i81.3303</w:t>
      </w:r>
    </w:p>
    <w:p>
      <w:pPr/>
      <w:r>
        <w:rPr>
          <w:b/>
        </w:rPr>
        <w:t>Shared claim-specific concepts:</w:t>
      </w:r>
      <w:r>
        <w:t xml:space="preserve"> blast, steel, production, co2, emissions, process; EU scope not established. This is a provisional connection, not an outcome finding.</w:t>
      </w:r>
    </w:p>
    <w:p>
      <w:pPr>
        <w:pStyle w:val="SourceNote"/>
      </w:pPr>
      <w:r>
        <w:rPr>
          <w:b/>
        </w:rPr>
        <w:t>Available abstract (not full text):</w:t>
      </w:r>
      <w:r>
        <w:t xml:space="preserve"> The steel industry is one of the largest contributors to global CO2 emissions, and the transition to low-carbon production methods is crucial to achieving climate goals. Hydrogen injection into blast furnaces (BFs) has emerged as a promising technology to reduce carbon emissions and improve the sustainability of steel production, especially when the hydrogen comes from non-fossil sources. This review comprehensively examines the impacts and applications of hydrogen injection in BFs, focusing on thermodynamic, operational and environmental aspects. By analyzing recent studies, it highlights the benefits, challenges and future directions by producing hot metal from hydrogen. The review synthesizes findings from more than 90 studies, providing an understanding of how hydrogen injection (HI) influences operations. Some parameters were emphasized, such as theoretical flame temperature (RAFT), oxygen enrichment (OE), coke consumption (CR), pulverized coal injection rate (PCI), blowing temperature (TS), top gas temperature (TGT) and CO₂ emissions. The potential of hydrogen to replace traditional carbon-based reducers was discussed. Overall, HI can reduce coke consumption and greenhouse gas emissions, increase process productivity, but will require technical care to meet expectations.</w:t>
      </w:r>
    </w:p>
    <w:p>
      <w:pPr/>
      <w:r>
        <w:rPr>
          <w:b/>
        </w:rPr>
        <w:t>POSSIBLE 2025:</w:t>
      </w:r>
      <w:r>
        <w:t xml:space="preserve"> Techno-economic analysis of integrating an on-board CCS system and a PtG technology in a heavy vehicle fleet — https://doi.org/10.1016/j.jcou.2025.103046</w:t>
      </w:r>
    </w:p>
    <w:p>
      <w:pPr/>
      <w:r>
        <w:rPr>
          <w:b/>
        </w:rPr>
        <w:t>Shared claim-specific concepts:</w:t>
      </w:r>
      <w:r>
        <w:t xml:space="preserve"> show, ccs, plant, current; EU scope not established. This is a provisional connection, not an outcome finding.</w:t>
      </w:r>
    </w:p>
    <w:p>
      <w:pPr>
        <w:pStyle w:val="SourceNote"/>
      </w:pPr>
      <w:r>
        <w:rPr>
          <w:b/>
        </w:rPr>
        <w:t>Available abstract (not full text):</w:t>
      </w:r>
      <w:r>
        <w:t xml:space="preserve"> Decarbonising the heavy-duty transport sector requires switching internal combustion engine (ICE) fuel from fossil to synthetic fuels. In this context, on-board carbon capture and storage (OCCS) in ICEs could provide the CO 2 needed by Power-to-gas (PtG) technologies to produce synthetic natural gas (SNG), which is then consumed again by the vehicle fleet, closing in this way the carbon loop. This study presents a techno-economic analysis of a heavy-duty vehicle fleet integrating an OCCS system with a PtG plant. The OCCS system operates by temperature swing adsorption where two sorbents, PPN-6-CH 2 -DETA and zeolite 13X, are evaluated at carbon capture rates (CCR) of 70 % and 100 %. A fifth scenario examined the effect of varying the H 2 :CO 2 ratio in the methanation plant at 100 % CCR using PPN-6-CH 2 -DETA. Both systems were simulated using Aspen Plus and AVL Boost softwares. Moreover, a sensitivity analysis was conducted considering three key performance indicators: the CO 2 tax, natural gas (NG), and electricity prices. The results indicate that the carbon abatement cost reaches a break-even point at 150 €/tCO₂ for a fleet size of 400 vehicles. However, the capital expenditures do not achieve payback within 20 years due to the high operational expenditures and low incomes in the evaluated scenarios. The sensitivity analyses show that the CO 2 tax and the NG price must be h</w:t>
      </w:r>
    </w:p>
    <w:p>
      <w:pPr/>
      <w:r>
        <w:rPr>
          <w:b/>
        </w:rPr>
        <w:t>POSSIBLE 2025:</w:t>
      </w:r>
      <w:r>
        <w:t xml:space="preserve"> Environmental Impacts of Alternative Reductants in Blast Furnace Ironmaking in the UK — https://openalex.org/W7140350875</w:t>
      </w:r>
    </w:p>
    <w:p>
      <w:pPr/>
      <w:r>
        <w:rPr>
          <w:b/>
        </w:rPr>
        <w:t>Shared claim-specific concepts:</w:t>
      </w:r>
      <w:r>
        <w:t xml:space="preserve"> show, blast, furnace, steel, pathway, emissions; EU scope not established. This is a provisional connection, not an outcome finding.</w:t>
      </w:r>
    </w:p>
    <w:p>
      <w:pPr>
        <w:pStyle w:val="SourceNote"/>
      </w:pPr>
      <w:r>
        <w:rPr>
          <w:b/>
        </w:rPr>
        <w:t>Available abstract (not full text):</w:t>
      </w:r>
      <w:r>
        <w:t xml:space="preserve"> The steel industry contributes approximately 8% of global CO₂ emissions, with blast furnace operations accounting for the majority within integrated steelmaking. Although the United Kingdom plans to transition toward electric arc furnace technology, this pathway faces constraints including high electricity prices, limited high-quality scrap availability, and long infrastructure timelines. Therefore, blast furnace ironmaking will remain important in the medium term. No previous study has provided a UK-specific environmental and economic comparison of solid and gaseous reductants within a single framework, which defines the research gap addressed in this thesis. This research evaluates the environmental, economic, and practical feasibility of charcoal, switchgrass, grey hydrogen, and green hydrogen relative to a conventional coke and pulverised coal baseline. A cradle-to-gate life cycle assessment was conducted for one tonne of hot metal across five midpoint impact categories: global warming potential (GWP), land use, fossil resource scarcity (FRS), water consumption, and mineral resource scarcity. This was supported by data quality evaluation and sensitivity analysis. A simplified economic assessment was performed for charcoal and green hydrogen. Results show that charcoal reduces GWP by 11% and FRS by 25% but increases land occupation threefold. Green hydrogen reduces GWP by 10</w:t>
      </w:r>
    </w:p>
    <w:p>
      <w:pPr/>
      <w:r>
        <w:rPr>
          <w:b/>
        </w:rPr>
        <w:t>POSSIBLE 2025:</w:t>
      </w:r>
      <w:r>
        <w:t xml:space="preserve"> Assessing the economic viability and scalability of carbon capture (CCS) in Louisiana : a comparative analysis of the 45Q tax credit and the EU emissions trading system — https://doi.org/10.26153/tsw/63320</w:t>
      </w:r>
    </w:p>
    <w:p>
      <w:pPr/>
      <w:r>
        <w:rPr>
          <w:b/>
        </w:rPr>
        <w:t>Shared claim-specific concepts:</w:t>
      </w:r>
      <w:r>
        <w:t xml:space="preserve"> show, ccs, emissions, process; EU scope visible. This is a provisional connection, not an outcome finding.</w:t>
      </w:r>
    </w:p>
    <w:p>
      <w:pPr>
        <w:pStyle w:val="SourceNote"/>
      </w:pPr>
      <w:r>
        <w:rPr>
          <w:b/>
        </w:rPr>
        <w:t>Available abstract (not full text):</w:t>
      </w:r>
      <w:r>
        <w:t xml:space="preserve"> For the purposes of assessing policy impact on CCS deployment in a favorable test area, industrial carbon capture and storage (CCS) in Louisiana is evaluated across six subsectors, chemicals, power generation, petroleum and natural gas systems, liquefied natural gas (LNG), refineries, and metals, under three policy regimes: 45Q only, EU ETS only, and EU ETS commencing after the 45Q term. A standardized techno-economic framework is applied using amine-based capture as a comparative baseline, with capital cost multipliers (Lang, process and project contingencies, retrofit) and operating expenses varied within Conservative/Base/Optimistic cases. Facility-level emissions are derived from EPA FLIGHT, with scenario inputs constructed from sector literature and market data. Results show that commercial and financial variables, notably the 45Q credit value and duration, ETS allowance prices, and financing terms, dominate NPV outcomes across sectors, frequently shifting capital-intensive projects by hundreds of millions to over a billion dollars. The hybrid policy case (implementing the EU ETS after the 12-year term of the 45Q) yields the largest upside, turning marginal projects positive in LNG and refining, while also expanding downside volatility relative to 45Q alone due to carbon allowance pricing exposure. Operational parameters (capture efficiency, asset life) materially influenc</w:t>
      </w:r>
    </w:p>
    <w:p>
      <w:pPr/>
      <w:r>
        <w:rPr>
          <w:b/>
        </w:rPr>
        <w:t>POSSIBLE 2025:</w:t>
      </w:r>
      <w:r>
        <w:t xml:space="preserve"> Development of Low-Carbon Autoclaved Aerated Concrete Using an Alkali-Activated Ground Granulated Blast Furnace Slag and Calcium Carbide Slag — https://doi.org/10.3390/app15189946</w:t>
      </w:r>
    </w:p>
    <w:p>
      <w:pPr/>
      <w:r>
        <w:rPr>
          <w:b/>
        </w:rPr>
        <w:t>Shared claim-specific concepts:</w:t>
      </w:r>
      <w:r>
        <w:t xml:space="preserve"> ccs, blast, furnace, replacement; EU scope not established. This is a provisional connection, not an outcome finding.</w:t>
      </w:r>
    </w:p>
    <w:p>
      <w:pPr>
        <w:pStyle w:val="SourceNote"/>
      </w:pPr>
      <w:r>
        <w:rPr>
          <w:b/>
        </w:rPr>
        <w:t>Available abstract (not full text):</w:t>
      </w:r>
      <w:r>
        <w:t xml:space="preserve"> The environmental impact of traditional construction materials has led to increasing interest in developing more sustainable alternatives. This study addresses the development of low-carbon autoclaved aerated concrete (AAC) through the complete replacement of ordinary Portland cement (OPC) with ground granulated blast furnace slag (BFS), activated with lime and, in some formulations, supplemented with calcium carbide slag (CCS). Five different AAC mixtures were prepared and evaluated in terms of workability, foaming behavior, compressive strength, phase composition, density, thermal conductivity, and life cycle assessment (LCA). The BFS-based mixtures activated with lime exhibited good workability and foaming stability. After pre-curing, the addition of CCS significantly improved the formation of tobermorite during autoclaving. As a result, the BFS–CCS formulations achieved compressive strengths comparable to the reference OPC-based mix while maintaining low densities (420–441 kg/m3) and thermal conductivities in the range of 0.111–0.119 W/(m·K). These results confirm the technical feasibility of producing structural-grade AAC with a lower environmental footprint.</w:t>
      </w:r>
    </w:p>
    <w:p>
      <w:pPr/>
      <w:r>
        <w:rPr>
          <w:b/>
        </w:rPr>
        <w:t>POSSIBLE 2024:</w:t>
      </w:r>
      <w:r>
        <w:t xml:space="preserve"> Analysis of CCS Technology Applied in Green Building — https://doi.org/10.62051/08xctb54</w:t>
      </w:r>
    </w:p>
    <w:p>
      <w:pPr/>
      <w:r>
        <w:rPr>
          <w:b/>
        </w:rPr>
        <w:t>Shared claim-specific concepts:</w:t>
      </w:r>
      <w:r>
        <w:t xml:space="preserve"> ccs, steel, production, emissions; EU scope not established. This is a provisional connection, not an outcome finding.</w:t>
      </w:r>
    </w:p>
    <w:p>
      <w:pPr>
        <w:pStyle w:val="SourceNote"/>
      </w:pPr>
      <w:r>
        <w:rPr>
          <w:b/>
        </w:rPr>
        <w:t>Available abstract (not full text):</w:t>
      </w:r>
      <w:r>
        <w:t xml:space="preserve"> As the global climate change crisis intensifies, the integration of green building practices with carbon capture and storage (CCS) technology is increasingly emerging as a focal point of research within the architectural domain. Green buildings prioritize resource efficiency, environmental sustainability, and long-term viability, while CCS technology serves as an effective mechanism for mitigating carbon emissions. This paper examined the application of CCS technology in green buildings and identifies its significant potential across various stages of building design, construction, and operation. Firstly, CCS technology can substantially reduce carbon emissions during the production processes of construction materials—particularly in high-emission sectors such as cement and steel manufacturing. Furthermore, by synergizing CCS technology with energy systems utilized in building operations, it becomes feasible to capture carbon emissions generated from routine energy consumption, thereby facilitating a near-zero carbon footprint. Nonetheless, challenges related to integration complexity and elevated costs hinder the deployment of CCS technology within existing structures—especially older buildings where spatial constraints and infrastructural limitations pose considerable obstacles. The lack of clear economic incentives has deterred numerous construction projects from investing i</w:t>
      </w:r>
    </w:p>
    <w:p>
      <w:pPr/>
      <w:r>
        <w:rPr>
          <w:b/>
        </w:rPr>
        <w:t>POSSIBLE 2024:</w:t>
      </w:r>
      <w:r>
        <w:t xml:space="preserve"> Carbon Dioxide Capture and Storage (CCS) in Saline Aquifers versus Depleted Gas Fields — https://doi.org/10.3390/geosciences14060146</w:t>
      </w:r>
    </w:p>
    <w:p>
      <w:pPr/>
      <w:r>
        <w:rPr>
          <w:b/>
        </w:rPr>
        <w:t>Shared claim-specific concepts:</w:t>
      </w:r>
      <w:r>
        <w:t xml:space="preserve"> ccs, production, co2, compared, emissions; EU scope not established. This is a provisional connection, not an outcome finding.</w:t>
      </w:r>
    </w:p>
    <w:p>
      <w:pPr>
        <w:pStyle w:val="SourceNote"/>
      </w:pPr>
      <w:r>
        <w:rPr>
          <w:b/>
        </w:rPr>
        <w:t>Available abstract (not full text):</w:t>
      </w:r>
      <w:r>
        <w:t xml:space="preserve"> Saline aquifers have been used for CO2 storage as a dedicated greenhouse gas mitigation strategy since 1996. Depleted gas fields are now being planned for large-scale CCS projects. Although basalt host reservoirs are also going to be used, saline aquifers and depleted gas fields will make up most of the global geological repositories for CO2. At present, depleted gas fields and saline aquifers seem to be treated as if they are a single entity, but they have distinct differences that are examined here. Depleted gas fields have far more pre-existing information about the reservoir, top-seal caprock, internal architecture of the site, and about fluid flow properties than saline aquifers due to the long history of hydrocarbon project development and fluid production. The fluid pressure evolution paths for saline aquifers and depleted gas fields are distinctly different because, unlike saline aquifers, depleted gas fields are likely to be below hydrostatic pressure before CO2 injection commences. Depressurised depleted gas fields may require an initial injection of gas-phase CO2 instead of dense-phase CO2 typical of saline aquifers, but the greater pressure difference may allow higher initial injection rates in depleted gas fields than saline aquifers. Depressurised depleted gas fields may lead to CO2-injection-related stress paths that are distinct from saline aquifers depending on</w:t>
      </w:r>
    </w:p>
    <w:p>
      <w:pPr/>
      <w:r>
        <w:rPr>
          <w:b/>
        </w:rPr>
        <w:t>POSSIBLE 2024:</w:t>
      </w:r>
      <w:r>
        <w:t xml:space="preserve"> Kickstarting CCS Adoption: Tailoring Subsidies to Emitters' Needs — https://openalex.org/W4400372560</w:t>
      </w:r>
    </w:p>
    <w:p>
      <w:pPr/>
      <w:r>
        <w:rPr>
          <w:b/>
        </w:rPr>
        <w:t>Shared claim-specific concepts:</w:t>
      </w:r>
      <w:r>
        <w:t xml:space="preserve"> ccs, emissions, current; EU scope visible. This is a provisional connection, not an outcome finding.</w:t>
      </w:r>
    </w:p>
    <w:p>
      <w:pPr>
        <w:pStyle w:val="SourceNote"/>
      </w:pPr>
      <w:r>
        <w:rPr>
          <w:b/>
        </w:rPr>
        <w:t>Available abstract (not full text):</w:t>
      </w:r>
      <w:r>
        <w:t xml:space="preserve"> Despite being an essential technology in industrial decarbonization scenarios, Carbon Capture and Storage (CCS) struggles to achieve large-scale deployment.Indeed, emitters face a coordination problem, which prevents them from forming the critical mass the transportation operator needs to develop a network that leverages economies of scale.In response, many public entities have multiplied financing mechanisms to support CCS adoption. However, current subsidy mechanisms overlook the network infrastructure and do not acknowledge the heterogeneity of emitters.This paper introduces a methodology for distributing subsidies among industrial emitters based on their capture costs and network cost contribution while accounting for potential budgetary constraints. Firstly, we evaluate each emitter's contribution to the network cost through the Shapley value. Secondly, we define each emitter's subsidy claim by combining results from the first step with their capture cost.We then distribute the subsidies according to the Proportional bankruptcy solution (i.e., proportionally to each emitter's claim). We justify this solution based on properties (axioms) we desire our subsidy distribution to verify. A key feature of our methodology is its flexibility. Indeed, each step can be adapted to suit the normative framework that a future study or policymaker wishes to posit.We apply our methodology </w:t>
      </w:r>
    </w:p>
    <w:p>
      <w:pPr/>
      <w:r>
        <w:rPr>
          <w:b/>
        </w:rPr>
        <w:t>POSSIBLE 2024:</w:t>
      </w:r>
      <w:r>
        <w:t xml:space="preserve"> Realization of Bio-Coal Injection into the Blast Furnace — https://doi.org/10.3390/met14090969</w:t>
      </w:r>
    </w:p>
    <w:p>
      <w:pPr/>
      <w:r>
        <w:rPr>
          <w:b/>
        </w:rPr>
        <w:t>Shared claim-specific concepts:</w:t>
      </w:r>
      <w:r>
        <w:t xml:space="preserve"> blast, furnace, steel, plant, co2, emissions; EU scope visible. This is a provisional connection, not an outcome finding.</w:t>
      </w:r>
    </w:p>
    <w:p>
      <w:pPr>
        <w:pStyle w:val="SourceNote"/>
      </w:pPr>
      <w:r>
        <w:rPr>
          <w:b/>
        </w:rPr>
        <w:t>Available abstract (not full text):</w:t>
      </w:r>
      <w:r>
        <w:t xml:space="preserve"> The steel industry accounts, according to the International Energy Agency, for ~6.7% of global CO2 emissions, and the major portion of its contribution is from steelmaking via the blast furnace (BF) route. In the short term, a significant reduction in fossil CO2 emissions can be achieved through the introduction of bio-coal into the BF as part of cold bonded briquettes, by injection, or as part of coke. The use of bio-coal-containing residue briquettes was previously demonstrated in industrial trials in Sweden, whereas bio-coal injection was only tested on a pilot scale or in one-tuyere tests. Therefore, industrial trials replacing part of the pulverized coal (PC) were conducted. It was concluded that the grinding, conveying, and injection of up to 10% of charcoal (CC) with PC can be safely achieved without negative impacts on PC injection plant or BF operational conditions and without losses of CC with the dust. From a process point of view, higher addition is possible, but it must be verified that grinding and conveying is feasible. Through an experimentally validated computational fluid flow model, it was shown that a high moisture content and the presence of oversized particles delay devolatilization and ignition, lowering the combustion efficiency. By using CC with similar heating value to PC, compositional variations in the injected blend are not critical.</w:t>
      </w:r>
    </w:p>
    <w:p>
      <w:pPr>
        <w:pStyle w:val="Heading2"/>
      </w:pPr>
      <w:r>
        <w:t>674.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2026:</w:t>
      </w:r>
      <w:r>
        <w:t xml:space="preserve"> Emerging risk of Xylella fastidiosa in Europe under global change — https://doi.org/10.1007/s10530-026-03869-5</w:t>
      </w:r>
    </w:p>
    <w:p>
      <w:pPr/>
      <w:r>
        <w:rPr>
          <w:b/>
        </w:rPr>
        <w:t>Shared claim-specific concepts:</w:t>
      </w:r>
      <w:r>
        <w:t xml:space="preserve"> finally, drawing, discuss, need, climate, across; EU scope visible. This is a provisional connection, not an outcome finding.</w:t>
      </w:r>
    </w:p>
    <w:p>
      <w:pPr>
        <w:pStyle w:val="SourceNote"/>
      </w:pPr>
      <w:r>
        <w:rPr>
          <w:b/>
        </w:rPr>
        <w:t>Available abstract (not full text):</w:t>
      </w:r>
      <w:r>
        <w:t xml:space="preserve"> Abstract The insect-borne bacterium Xylella fastidiosa is one of the most damaging plant pathogens affecting perennial crops in Europe since its first detection in 2013. Although its spread has remained geographically constrained, recent outbreaks and surveillance data suggest that larger areas of southern Europe may be transitioning into a second wave of invasion, shifting from localized outbreaks detected after extensive establishment to the early emergence of epidemics in more connected continental landscapes with coexisting lineages. Here, we examine how global change may reshape the invasion dynamics of X. fastidiosa across Europe. Drawing on evidence from national surveys, epidemiological models, and evolutionary studies, we develop a mechanistic framework linking introduction pressure through trade, the expansion and connectivity of invasion hotspots, strain coexistence, and the role of natural ecosystems as pathogen reservoirs and dispersal corridors. We argue that climate change may increase the likelihood that broader regions exceed the critical thermal thresholds required for sustained transmission following introduction. At the same time, repeated introductions of the bacterium and long-term persistence in heterogeneous landscapes may foster the accumulation of genetic diversity and increase evolutionary risk. Finally, we discuss implications for disease management,</w:t>
      </w:r>
    </w:p>
    <w:p>
      <w:pPr/>
      <w:r>
        <w:rPr>
          <w:b/>
        </w:rPr>
        <w:t>POSSIBLE 2026:</w:t>
      </w:r>
      <w:r>
        <w:t xml:space="preserve"> Europe and the Geopolitics of AGI: The Need for a Preparedness Plan — https://doi.org/10.48550/arxiv.2605.13634</w:t>
      </w:r>
    </w:p>
    <w:p>
      <w:pPr/>
      <w:r>
        <w:rPr>
          <w:b/>
        </w:rPr>
        <w:t>Shared claim-specific concepts:</w:t>
      </w:r>
      <w:r>
        <w:t xml:space="preserve"> drawing, need, questions, capacity; EU scope visible. This is a provisional connection, not an outcome finding.</w:t>
      </w:r>
    </w:p>
    <w:p>
      <w:pPr>
        <w:pStyle w:val="SourceNote"/>
      </w:pPr>
      <w:r>
        <w:rPr>
          <w:b/>
        </w:rPr>
        <w:t>Available abstract (not full text):</w:t>
      </w:r>
      <w:r>
        <w:t xml:space="preserve"> Artificial general intelligence (AGI)--defined here as AI systems that match or exceed humans at most economically useful cognitive work--has moved from speculation to the centre of political and strategic debate. This paper examines three questions: how soon AGI might emerge, how it could reshape geopolitics, and whether Europe is adequately prepared. Drawing on empirical trends in AI capabilities, expert forecasting surveys, and policy analysis, we find that a plausible window for AGI emergence falls between 2030 and 2040, or potentially earlier, though substantial uncertainty remains. Our analysis of the geopolitical implications suggests that AGI could fundamentally alter the global distribution of economic and military power, intensify interstate competition, and strain existing governance frameworks. Assessing Europe's current positioning, we identify critical gaps: limited strategic awareness of frontier AI progress, structural weaknesses in compute infrastructure and talent retention, low rates of industrial AI adoption, and fragmented policy responses at both EU and Member State levels that do not match the potential scale of disruption.These findings point to a need for a coordinated European preparedness agenda. We outline policy options centred on building institutional capacity for AGI situational awareness, strengthening Europe's position in the AI value chain, an</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2023:</w:t>
      </w:r>
      <w:r>
        <w:t xml:space="preserve"> Public Debt and Economic Growth after Covid-19 in Europe: Challenges and Policy Implications — https://doi.org/10.5539/res.v15n4p31</w:t>
      </w:r>
    </w:p>
    <w:p>
      <w:pPr/>
      <w:r>
        <w:rPr>
          <w:b/>
        </w:rPr>
        <w:t>Shared claim-specific concepts:</w:t>
      </w:r>
      <w:r>
        <w:t xml:space="preserve"> finally, drawing, covid-19, pandemic, exploring, sustainability; EU scope visible. This is a provisional connection, not an outcome finding.</w:t>
      </w:r>
    </w:p>
    <w:p>
      <w:pPr>
        <w:pStyle w:val="SourceNote"/>
      </w:pPr>
      <w:r>
        <w:rPr>
          <w:b/>
        </w:rPr>
        <w:t>Available abstract (not full text):</w:t>
      </w:r>
      <w:r>
        <w:t xml:space="preserve">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pPr/>
      <w:r>
        <w:rPr>
          <w:b/>
        </w:rPr>
        <w:t>POSSIBLE 2023:</w:t>
      </w:r>
      <w:r>
        <w:t xml:space="preserve"> Tracing the Origin and Early Progression of COVID-19 in Europe: An Epidemiological Descriptive Study — https://doi.org/10.61186/iem.9.3.249</w:t>
      </w:r>
    </w:p>
    <w:p>
      <w:pPr/>
      <w:r>
        <w:rPr>
          <w:b/>
        </w:rPr>
        <w:t>Shared claim-specific concepts:</w:t>
      </w:r>
      <w:r>
        <w:t xml:space="preserve"> finally, covid-19, pandemic, across; EU scope visible. This is a provisional connection, not an outcome finding.</w:t>
      </w:r>
    </w:p>
    <w:p>
      <w:pPr>
        <w:pStyle w:val="SourceNote"/>
      </w:pPr>
      <w:r>
        <w:rPr>
          <w:b/>
        </w:rPr>
        <w:t>Available abstract (not full text):</w:t>
      </w:r>
      <w:r>
        <w:t xml:space="preserve"> Background: The ongoing global health crisis caused by the infectious coronavirus disease, known as COVID-19, is attributed to the SARS-CoV-2 virus. The pandemic has significantly impacted people of all ages and nationalities and has spread across all continents, with an initial focus on Asia and subsequently reaching Europe. The objective of this study was to analyze the progression of COVID-19 in Europe in contrast to other continents around the world by examining the pandemic's trajectory across different geographic areas, allowing us to gain insights into the effectiveness of containment measures, and identifying potential patterns of virus spread. Materials &amp; Methods: The data source was a curated dataset provided by Our World in Data (OWD), regularly updated during the COVID-19 pandemic. The dataset consisted of 207,316 records with 67 attributes, covering 244 locations, including countries from six continents. These attributes encompassed a wide range of COVID-19-related metrics, such as cases, deaths, testing, vaccinations, and demographic indicators. This comprehensive comparative study specifically focused on the European continent data from January 01, 2020, to August 08, 2022. Findings: The analysis revealed distinct groups of European countries with different experiences with the virus. First, some countries were found to be severely affected by the virus, grapplin</w:t>
      </w:r>
    </w:p>
    <w:p>
      <w:pPr/>
      <w:r>
        <w:rPr>
          <w:b/>
        </w:rPr>
        <w:t>POSSIBLE 2023:</w:t>
      </w:r>
      <w:r>
        <w:t xml:space="preserve"> Did COVID-19 Blur Partisan Boundaries? A Comparison of Partisan Affinity and Source Heterophily in Online Alternative News-Sharing Networks Before and During the COVID-19 Pandemic — https://doi.org/10.1177/20563051231192963</w:t>
      </w:r>
    </w:p>
    <w:p>
      <w:pPr/>
      <w:r>
        <w:rPr>
          <w:b/>
        </w:rPr>
        <w:t>Shared claim-specific concepts:</w:t>
      </w:r>
      <w:r>
        <w:t xml:space="preserve"> finally, drawing, covid-19, pandemic, across; EU scope visible. This is a provisional connection, not an outcome finding.</w:t>
      </w:r>
    </w:p>
    <w:p>
      <w:pPr>
        <w:pStyle w:val="SourceNote"/>
      </w:pPr>
      <w:r>
        <w:rPr>
          <w:b/>
        </w:rPr>
        <w:t>Available abstract (not full text):</w:t>
      </w:r>
      <w:r>
        <w:t xml:space="preserve"> This study explores partisan and group heterophily within cross-platform online communities that share alternative news media content in Denmark, Sweden, Germany, and Austria. The analysis is related to the emergence of anti-systemic cross-partisan counter-publics in Europe that have gained momentum with the outbreak of COVID-19 and the subsequent resistance against government restrictions. Comparing two periods (before and after the outbreak of COVID-19), we investigate whether these developments foster cross-partisan information sharing in online communities that form around right-wing, left-wing, and anti-systemic alternative news media content. Drawing on a network-analytical approach, we study networks formed around URL sharing of alternative news content across Facebook, Instagram, Twitter, Reddit, Telegram, TikTok, YouTube, and VKontakte. Data include 30 million social media posts from January 2019 to September 2021. The results show that overall source heterophily in online alternative news networks increases slightly with the COVID-19 pandemic, mainly due to the increased proliferation of anti-system news. This increase is, however, not an expression of a more profound collapse of bi-partisan, left-right cleavages and is contingent on country contexts. Except for the time of the initial outbreak, the overall sharing of COVID-19-related content tends to increase rather </w:t>
      </w:r>
    </w:p>
    <w:p>
      <w:pPr/>
      <w:r>
        <w:rPr>
          <w:b/>
        </w:rPr>
        <w:t>POSSIBLE 2023:</w:t>
      </w:r>
      <w:r>
        <w:t xml:space="preserve"> Deep learning for studying drawing behavior: A review — https://doi.org/10.3389/fpsyg.2023.992541</w:t>
      </w:r>
    </w:p>
    <w:p>
      <w:pPr/>
      <w:r>
        <w:rPr>
          <w:b/>
        </w:rPr>
        <w:t>Shared claim-specific concepts:</w:t>
      </w:r>
      <w:r>
        <w:t xml:space="preserve"> finally, drawing, explore; EU scope not established. This is a provisional connection, not an outcome finding.</w:t>
      </w:r>
    </w:p>
    <w:p>
      <w:pPr>
        <w:pStyle w:val="SourceNote"/>
      </w:pPr>
      <w:r>
        <w:rPr>
          <w:b/>
        </w:rPr>
        <w:t>Available abstract (not full text):</w:t>
      </w:r>
      <w:r>
        <w:t xml:space="preserve"> In recent years, computer science has made major advances in understanding drawing behavior. Artificial intelligence, and more precisely deep learning, has displayed unprecedented performance in the automatic recognition and classification of large databases of sketches and drawings collected through touchpad devices. Although deep learning can perform these tasks with high accuracy, the way they are performed by the algorithms remains largely unexplored. Improving the interpretability of deep neural networks is a very active research area, with promising recent advances in understanding human cognition. Deep learning thus offers a powerful framework to study drawing behavior and the underlying cognitive processes, particularly in children and non-human animals, on whom knowledge is incomplete. In this literature review, we first explore the history of deep learning as applied to the study of drawing along with the main discoveries in this area, while proposing open challenges. Second, multiple ideas are discussed to understand the inherent structure of deep learning models. A non-exhaustive list of drawing datasets relevant to deep learning approaches is further provided. Finally, the potential benefits of coupling deep learning with comparative cultural analyses are discussed.</w:t>
      </w:r>
    </w:p>
    <w:p>
      <w:pPr/>
      <w:r>
        <w:rPr>
          <w:b/>
        </w:rPr>
        <w:t>POSSIBLE 2022:</w:t>
      </w:r>
      <w:r>
        <w:t xml:space="preserve"> COVID‐19 and European Multi‐Level Democracy — https://doi.org/10.1111/jcms.13417</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The COVID-19 pandemic that hit Europe in early 2020 radically reshaped the political agenda at all levels of Europe's multi-level system within a matter of weeks. It continued to overshadow all other public concerns throughout 2021. The single most important development that distinguished the second year of the pandemic from the first was that, from early 2021, COVID-19 vaccines became widely available and were rolled out throughout Europe. Early hopes that vaccination might offer full protection against infection were soon dashed. However, the availability of vaccines propelled governments to reorient policy from strict containment to approaches that meant 'learning to live with the virus'. This shift was not linear. Partly driven by the emergence of new COVID-19 'variants of interest and concern', policy changes and reversals were frequent. But during 2021, restrictions on individual and civil liberties justified on public health grounds became complemented by the reliance on vaccination as the chief means to combat the pandemic. Vaccination meant that public policies became increasingly differentiated between the (fully) vaccinated and the non-vaccinated (for details, see Hale et al., 2022), often provoking intensive protest. The year 2021 was also when the full political and institutional implications of the pandemic became ever more apparent, as the long-term nature of the</w:t>
      </w:r>
    </w:p>
    <w:p>
      <w:pPr/>
      <w:r>
        <w:rPr>
          <w:b/>
        </w:rPr>
        <w:t>POSSIBLE 2022:</w:t>
      </w:r>
      <w:r>
        <w:t xml:space="preserve"> Children’s representations of the COVID-19 lockdown and pandemic through drawings — https://doi.org/10.3389/fpsyg.2022.960893</w:t>
      </w:r>
    </w:p>
    <w:p>
      <w:pPr/>
      <w:r>
        <w:rPr>
          <w:b/>
        </w:rPr>
        <w:t>Shared claim-specific concepts:</w:t>
      </w:r>
      <w:r>
        <w:t xml:space="preserve"> drawing, covid-19, pandemic, exploring, explore; EU scope visible. This is a provisional connection, not an outcome finding.</w:t>
      </w:r>
    </w:p>
    <w:p>
      <w:pPr>
        <w:pStyle w:val="SourceNote"/>
      </w:pPr>
      <w:r>
        <w:rPr>
          <w:b/>
        </w:rPr>
        <w:t>Available abstract (not full text):</w:t>
      </w:r>
      <w:r>
        <w:t xml:space="preserve"> The COVID-19 pandemic and the measures to face it have placed children and their caregivers in front of many challenges that could represent sources of stress. This work aims to explore the point of view of children through drawing, as a spontaneous means of expression, relating it to parents' perceptions of children's difficulties, strengths, and mentalization skills. The sample consists of 18 children (mean age = 8.22, SD = 1.79). Parents were asked to complete: a socio-demographic questionnaire with information on the impact of COVID-19 on the family, the Strengths and Difficulties Questionnaire, and the Everyday Mindreading Scale. Children were asked to draw three moments: "Before" the pandemic, "During" the lockdown, and "After," when the COVID-19 will be passed. The drawings were coded by constructing a content and expressive analysis grid, adapting coding systems found in the literature. Data were collected at the beginning of the summer of 2020, just after the first lockdown period (from March to May 2020 in Italy). The results of the present work are in line with previous studies that reported experiences of wellbeing and tranquility of children in time spent at home with family during the pandemic. From the drawings emerges that children feel sufficiently able to master the situation, as reflected by including themselves in drawings and providing many details of the h</w:t>
      </w:r>
    </w:p>
    <w:p>
      <w:pPr/>
      <w:r>
        <w:rPr>
          <w:b/>
        </w:rPr>
        <w:t>POSSIBLE 2022:</w:t>
      </w:r>
      <w:r>
        <w:t xml:space="preserve"> Advances in COVID-19 mRNA vaccine development — https://doi.org/10.1038/s41392-022-00950-y</w:t>
      </w:r>
    </w:p>
    <w:p>
      <w:pPr/>
      <w:r>
        <w:rPr>
          <w:b/>
        </w:rPr>
        <w:t>Shared claim-specific concepts:</w:t>
      </w:r>
      <w:r>
        <w:t xml:space="preserve"> drawing, covid-19, pandemic, capacity; EU scope not established. This is a provisional connection, not an outcome finding.</w:t>
      </w:r>
    </w:p>
    <w:p>
      <w:pPr>
        <w:pStyle w:val="SourceNote"/>
      </w:pPr>
      <w:r>
        <w:rPr>
          <w:b/>
        </w:rPr>
        <w:t>Available abstract (not full text):</w:t>
      </w:r>
      <w:r>
        <w:t xml:space="preserve"> To date, the coronavirus disease 2019 (COVID-19) caused by severe acute respiratory syndrome coronavirus 2 (SARS-CoV-2) has determined 399,600,607 cases and 5,757,562 deaths worldwide. COVID-19 is a serious threat to human health globally. The World Health Organization (WHO) has declared COVID-19 pandemic a major public health emergency. Vaccination is the most effective and economical intervention for controlling the spread of epidemics, and consequently saving lives and protecting the health of the population. Various techniques have been employed in the development of COVID-19 vaccines. Among these, the COVID-19 messenger RNA (mRNA) vaccine has been drawing increasing attention owing to its great application prospects and advantages, which include short development cycle, easy industrialization, simple production process, flexibility to respond to new variants, and the capacity to induce better immune response. This review summarizes current knowledge on the structural characteristics, antigen design strategies, delivery systems, industrialization potential, quality control, latest clinical trials and real-world data of COVID-19 mRNA vaccines as well as mRNA technology. Current challenges and future directions in the development of preventive mRNA vaccines for major infectious diseases are also discussed.</w:t>
      </w:r>
    </w:p>
    <w:p>
      <w:pPr/>
      <w:r>
        <w:rPr>
          <w:b/>
        </w:rPr>
        <w:t>POSSIBLE 2022:</w:t>
      </w:r>
      <w:r>
        <w:t xml:space="preserve"> Drawing a Sociocultural Profile of Cyprus by Reviewing Some Key Findings and Discussing Change and Diversity — https://openalex.org/W7215018035</w:t>
      </w:r>
    </w:p>
    <w:p>
      <w:pPr/>
      <w:r>
        <w:rPr>
          <w:b/>
        </w:rPr>
        <w:t>Shared claim-specific concepts:</w:t>
      </w:r>
      <w:r>
        <w:t xml:space="preserve"> finally, drawing, discuss; EU scope visible. This is a provisional connection, not an outcome finding.</w:t>
      </w:r>
    </w:p>
    <w:p>
      <w:pPr>
        <w:pStyle w:val="SourceNote"/>
      </w:pPr>
      <w:r>
        <w:rPr>
          <w:b/>
        </w:rPr>
        <w:t>Available abstract (not full text):</w:t>
      </w:r>
      <w:r>
        <w:t xml:space="preserve"> This paper aims to draw a sociocultural profile of Cyprus and briefly discuss change and diversity in the country. Data relating to family, gender roles, social relations, Hofstede’s dimensions, the World Values Survey, and work-related attitudes are pre­sented, and differences between social groups and how values might be changing are discussed. It is suggested that Cyprus has historically been a relatively conservative society, something which has changed in the last few decades to some extent. On Hof­stede dimensions, Cyprus scores around the average on individualism, medium to high on power distance, masculinity, and long-term orientation, and very high on uncertainty avoidance. In the World Values Survey, the results of Cyprus are close to the centre of the axes that represent the data (but somewhat shifted towards the more conservative end). It is finally argued that the significant numbers of Cypriots who studied abroad contribute to diversity and change within society</w:t>
      </w:r>
    </w:p>
    <w:p>
      <w:pPr>
        <w:pStyle w:val="Heading2"/>
      </w:pPr>
      <w:r>
        <w:t>675.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2024:</w:t>
      </w:r>
      <w:r>
        <w:t xml:space="preserve"> Religion and female labor force participation in India — https://doi.org/10.1111/rode.13154</w:t>
      </w:r>
    </w:p>
    <w:p>
      <w:pPr/>
      <w:r>
        <w:rPr>
          <w:b/>
        </w:rPr>
        <w:t>Shared claim-specific concepts:</w:t>
      </w:r>
      <w:r>
        <w:t xml:space="preserve"> participation, among, improve; EU scope not established. This is a provisional connection, not an outcome finding.</w:t>
      </w:r>
    </w:p>
    <w:p>
      <w:pPr>
        <w:pStyle w:val="SourceNote"/>
      </w:pPr>
      <w:r>
        <w:rPr>
          <w:b/>
        </w:rPr>
        <w:t>Available abstract (not full text):</w:t>
      </w:r>
      <w:r>
        <w:t xml:space="preserve"> Abstract This paper primarily aims to identify the impact of religion on currently working women in India by considering the National Family Health Survey 2015–2016 data. It also incorporates several socioeconomics variables as controls. The models are estimated with aggregate as well as disaggregated urban–rural as well as zonal data. The results suggest that compared to the Hindus, Christian and Buddhist women have higher odds of labor force participation and Muslim and Sikh women have lower odds. Extensive analysis of the data indicates that economic well‐being among the Sikhs and the status of being married among the Muslims could be the primary factors responsible for their lower workforce participation. Additionally, lower age, lower education, better economic well‐being, the status of being married, large family size, having only one child, male household heads, and younger children are associated with lower workforce participation. Furthermore, education seems to be more accessible to women from urban areas and wealthier sections. Based on these observations, the study recommends devising policies for greater provisions for higher education in rural areas and among the poorer sections of society. Also, imparting awareness and developing an understanding of the importance of female labor force participation is crucial to improve women's labor force participation in India</w:t>
      </w:r>
    </w:p>
    <w:p>
      <w:pPr/>
      <w:r>
        <w:rPr>
          <w:b/>
        </w:rPr>
        <w:t>POSSIBLE 2023:</w:t>
      </w:r>
      <w:r>
        <w:t xml:space="preserve"> The Energy Price Shock—Impact, Policy Responses, and Reform Options — https://doi.org/10.5089/9798400246135.018</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The surge in energy prices due to Russia’s war in Ukraine inflicted a sharp terms of trade shock on the UK economy. While energy prices have since declined, the future energy price path remains uncertain, with futures-implied prices substantially above their levels prior to October 2021, when Russian natural gas imports to Europe began to be curtailed. In this context, section I analyzes the impact of the energy price shock on UK households and firms; section II describes the energy support measures introduced by the UK government; and section III provides staff’s assessment of these measures and sets out some options to optimize the policy response to a possible resurgence in energy prices. These include structural measures to ensure energy security and raise resilience to spikes in energy prices, and options to refine, especially the targeting of, support measures that could be introduced in response.</w:t>
      </w:r>
    </w:p>
    <w:p>
      <w:pPr/>
      <w:r>
        <w:rPr>
          <w:b/>
        </w:rPr>
        <w:t>POSSIBLE 2023:</w:t>
      </w:r>
      <w:r>
        <w:t xml:space="preserve"> The Outlook for Women's Employment and Labor Force Participation — https://doi.org/10.3386/w31916</w:t>
      </w:r>
    </w:p>
    <w:p>
      <w:pPr/>
      <w:r>
        <w:rPr>
          <w:b/>
        </w:rPr>
        <w:t>Shared claim-specific concepts:</w:t>
      </w:r>
      <w:r>
        <w:t xml:space="preserve"> options, participation, among, even; EU scope not established. This is a provisional connection, not an outcome finding.</w:t>
      </w:r>
    </w:p>
    <w:p>
      <w:pPr>
        <w:pStyle w:val="SourceNote"/>
      </w:pPr>
      <w:r>
        <w:rPr>
          <w:b/>
        </w:rPr>
        <w:t>Available abstract (not full text):</w:t>
      </w:r>
      <w:r>
        <w:t xml:space="preserve"> Employment and participation rates for US prime age women rose steadily during the second half of the 20th century.In the last 30 years, however, those rates stagnated, even as employment and participation rates for women in other industrialized countries continued to rise.I discuss the role of changes in the earnings structure and persistent institutional barriers, such as limited investment in family policies, that may be holding back employment among American women today.The COVID-19 pandemic reduced employment more for women than for men and raised the barriers to female participation due to the increase in childcare responsibilities during this period.Yet, the diffusion of remote and hybrid work arrangements in its aftermath may be beneficial for women's participation in the long run, even if both men's and women's postpandemic employment growth so far are strongly associated with access to remote work options.</w:t>
      </w:r>
    </w:p>
    <w:p>
      <w:pPr/>
      <w:r>
        <w:rPr>
          <w:b/>
        </w:rPr>
        <w:t>POSSIBLE 2023:</w:t>
      </w:r>
      <w:r>
        <w:t xml:space="preserve"> The Impact of Labor Force Participation on Elderly Health in China — https://doi.org/10.3390/healthcare11020160</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In the context of the deepening of population aging and the trial implementation of a progressive retirement delay policy in China, understanding the relationship between the labor force participation and health status of the elderly will not only enrich relevant research but also help the elderly better achieve their goals of active aging and aging. Using the 2018 China Health and Retirement Longitudinal Study, this paper first established multiple linear regression models to analyze the impact of labor force participation on the health status of elderly people in China and then established simultaneous equation models using households living on minimum living allowances and the community average of labor participation as instrumental variables to deal with the endogeneity caused by two-way causality. The findings confirmed significant positive correlations between labor force participation and physical and mental health, while caring for grandchildren and participating in social activities were found to be negatively moderated the relationship between labor force participation and the physical and mental health of older adults. The impact of labor force participation on the physical health status of older men and the mental health status of older women may be greater. In addition, labor force participation may have a greater impact on the physical health of the rural elderly,</w:t>
      </w:r>
    </w:p>
    <w:p>
      <w:pPr/>
      <w:r>
        <w:rPr>
          <w:b/>
        </w:rPr>
        <w:t>POSSIBLE 2023:</w:t>
      </w:r>
      <w:r>
        <w:t xml:space="preserve"> IMPACT OF FEMALE LABOR FORCE PARTICIPATION IN ECONOMIC DEVELOPMENT OF PAKISTAN — https://doi.org/10.53909/rms.05.01.0213</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Purpose This paper tries to examine whether the labor force participation of the female population affects the growth of the economy. Methodology The sampling data was collected from the World Bank’s website from 1971 to 2018. The Johansen co-integration test and VECM model were used to examine the relationship between female labor force participation and economic development. Findings The result of the Johansen and Juselius Co-integration test showed the long-term relationship between Female Labor Force Participation and Economic Development. The finding also indicated that female labor force participation had a negative impact on GDP. The CUSUM stability test was used for the short-run stability adjustments. Results of the CUSUM stability test showed that the coefficients of ECM (-1) speed of adjustment were stable at a 5 percent significance level, there were no oscillations outside the critical level, and the CUSUM curve was above the origin line, which indicated the significance of our short-run dynamics. Conclusion The study concludes that female labor force participation has a significant negative impact on Pakistan’s GDP, this is due to societal and cultural norms as well as the religious dignity of women.</w:t>
      </w:r>
    </w:p>
    <w:p>
      <w:pPr/>
      <w:r>
        <w:rPr>
          <w:b/>
        </w:rPr>
        <w:t>POSSIBLE 2022:</w:t>
      </w:r>
      <w:r>
        <w:t xml:space="preserve"> European Union criminal procedure policy as part of the European Union's policy in the field of the fight against criminality — https://doi.org/10.24144/2788-6018.2021.03.35</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This article is devoted to finding the term that would be optimal for naming the procedural part of the European Union's policy in the field of the fight against criminality. The terms «EU policy in the field of the fight against criminality», «EU criminal policy», «EU law enforcement policy» are used to refer to a separate type of European Union policy. Adhering to the position of giving preference to the use of the term «policy in the field of the fight against criminality», it is seen that such a construction can be applied in the context of the European Union and, as we see, is in demand. However, it should be recognized that a significant number of European scholars use the term «criminal policy of the European Union». Thus, it is proposed to use the term «European Union policy in the field of the fight against criminality» as a generalized concept that better reflects its non-level, but namely complex structure and relatively independent but interconnected basic elements, parts, first of all, EU criminal policy and EU criminal procedure policy. Of course, we can talk about other parts of the European Union's policy in the field of the fight against criminality, in particular, criminology, but the primary interest in the study is its procedural component. There are various terminologies in the literature that define it. For example, the following options can be identified:</w:t>
      </w:r>
    </w:p>
    <w:p>
      <w:pPr/>
      <w:r>
        <w:rPr>
          <w:b/>
        </w:rPr>
        <w:t>POSSIBLE 2022:</w:t>
      </w:r>
      <w:r>
        <w:t xml:space="preserve"> Ukraine’s Balance Policy between European Union and Russia — https://doi.org/10.18276/ap.2022.54-07</w:t>
      </w:r>
    </w:p>
    <w:p>
      <w:pPr/>
      <w:r>
        <w:rPr>
          <w:b/>
        </w:rPr>
        <w:t>Shared claim-specific concepts:</w:t>
      </w:r>
      <w:r>
        <w:t xml:space="preserve"> terms, options, participation; EU scope visible. This is a provisional connection, not an outcome finding.</w:t>
      </w:r>
    </w:p>
    <w:p>
      <w:pPr>
        <w:pStyle w:val="SourceNote"/>
      </w:pPr>
      <w:r>
        <w:rPr>
          <w:b/>
        </w:rPr>
        <w:t>Available abstract (not full text):</w:t>
      </w:r>
      <w:r>
        <w:t xml:space="preserve"> Having declared independence in 1991, after the dissolution of the Soviet Union, Ukraine gained strategic importance in terms of its geographical location. It is regarded a “buffer zone” for both the European Union (EU) and Russia. There is a division within the country into the pro-Western and pro-Russian options. Ukraine’s aspiration for the UE membership has faced Russia’s objection since time immemorial. In the past, Ukraine preferred to pursue a balance policy between Russia and the EU. Ukraine’s attempt to approach the West with the Orange Revolution, its inclusion in the European Neighbourhood Policy, its participation in the Eastern Partnership program were perceived as a threat by Russia. The Ukrainian crisis, in particular, brought these two countries face to face. This crisis also deeply affected both the EU’s energy policy and its relations with Russia. After all the developments that followed, the issue of Ukraine’s membership in the EU remains uncertain.</w:t>
      </w:r>
    </w:p>
    <w:p>
      <w:pPr/>
      <w:r>
        <w:rPr>
          <w:b/>
        </w:rPr>
        <w:t>POSSIBLE 2022:</w:t>
      </w:r>
      <w:r>
        <w:t xml:space="preserve"> Governing Europe's forests for multiple ecosystem services: Opportunities, challenges, and policy options — https://doi.org/10.1016/j.forpol.2022.102849</w:t>
      </w:r>
    </w:p>
    <w:p>
      <w:pPr/>
      <w:r>
        <w:rPr>
          <w:b/>
        </w:rPr>
        <w:t>Shared claim-specific concepts:</w:t>
      </w:r>
      <w:r>
        <w:t xml:space="preserve"> options, participation, among, integration; EU scope visible. This is a provisional connection, not an outcome finding.</w:t>
      </w:r>
    </w:p>
    <w:p>
      <w:pPr>
        <w:pStyle w:val="SourceNote"/>
      </w:pPr>
      <w:r>
        <w:rPr>
          <w:b/>
        </w:rPr>
        <w:t>Available abstract (not full text):</w:t>
      </w:r>
      <w:r>
        <w:t xml:space="preserve"> Europe's forest provide multiple ecosystem services for societies, ranging from provisioning (e.g. wood) and regulating (e.g. climate mitigation and biodiversity) to cultural (e.g. recreation) services. In this paper, we assess the state and prospects of forest ecosystem services provision in Europe, introducing new data from the European collaborative research projects SINCERE, NOBEL and CLEARING HOUSE, and combining it with findings from the literature. We identify six challenges (1 an insufficient alignment of FES supply and demand, 2 lacking policy integration, 3 ambiguous and conflicting regulatory frameworks, 4 a lack of precise information on FES demand and provision, and innovations to align both, 5 an increasing pressure to adapt to climate change, and 6 a striking diversity constraining European level policy solutions) and three opportunities (1 increasingly heterogenous forest owner objectives potentially matching pluralistic societal demands, 2 diversifying forest enterprises levering innovations in regulating and cultural ecosystem services provision, and 3 the potential of forests to mitigate climate change). Subsequently, we introduce four distinct but complimentary policy pathways for European forest policy to better align forest ecosystem services provision and demand: 1 Better monitoring of FES supply and demand, 2 Enhanced policy integration, 3 Payments for e</w:t>
      </w:r>
    </w:p>
    <w:p>
      <w:pPr/>
      <w:r>
        <w:rPr>
          <w:b/>
        </w:rPr>
        <w:t>POSSIBLE 2022:</w:t>
      </w:r>
      <w:r>
        <w:t xml:space="preserve"> Determinants of female labor force participation: implications for policy in Qatar — https://doi.org/10.1080/23311886.2022.2130223</w:t>
      </w:r>
    </w:p>
    <w:p>
      <w:pPr/>
      <w:r>
        <w:rPr>
          <w:b/>
        </w:rPr>
        <w:t>Shared claim-specific concepts:</w:t>
      </w:r>
      <w:r>
        <w:t xml:space="preserve"> terms, participation; EU scope not established. This is a provisional connection, not an outcome finding.</w:t>
      </w:r>
    </w:p>
    <w:p>
      <w:pPr>
        <w:pStyle w:val="SourceNote"/>
      </w:pPr>
      <w:r>
        <w:rPr>
          <w:b/>
        </w:rPr>
        <w:t>Available abstract (not full text):</w:t>
      </w:r>
      <w:r>
        <w:t xml:space="preserve"> The aim of this study was to examine the microlevel factors affecting women’s participation in the Qatar workforce, as the gender gap in employment is still wide, and addressing this issue remains an essential item on the government’s policy agenda. Data were collected via a national telephonic survey of a representative sample of Qatari nationals, chosen using simple random sampling. A regression analysis was performed with women’s employment, individual-level characteristics (e.g., age, education, and marital status), and household-level factors (e.g., number of children below 18 years of age and household monthly income) as the variables. The analytical model highlighted the microlevel predictors at the individual level as well as the public attitudes toward societal obstacles that have adverse effects on female labor force participation. The results revealed several indicators that affect women’s participation in the labor force, including education level, marital status, and age. These constructs were found to have the strongest (direct or indirect) effects in terms of pushing Qatari women into the labor market. The originality of this study lies in its ability to explain how state-directed initiatives can encourage women to participate in the labor market and thus facilitate a rapid increase in the number of employed women in Qatar. A methodological limitation of the cros</w:t>
      </w:r>
    </w:p>
    <w:p>
      <w:pPr>
        <w:pStyle w:val="Heading2"/>
      </w:pPr>
      <w:r>
        <w:t>676.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2024:</w:t>
      </w:r>
      <w:r>
        <w:t xml:space="preserve"> An anti-money laundering authority for the European Union: a new center of gravity in AML enforcement — https://doi.org/10.1007/s12027-024-00805-9</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Abstract The establishment of an Anti-Money Laundering Authority (AMLA) heralds a milestone in the European Union’s (EU) institutional framework for the enforcement of anti-money laundering and countering the financing of terrorism (AML/CFT) rules. This contribution explores the competence and powers of the new AML/CFT supervisor. While AMLA is a true enforcement actor with investigative and sanctioning powers to address breaches of AML/CFT requirements, the scope of AMLA’s enforcement powers will be limited. AMLA will nevertheless have an important regulatory impact and it will enhance the fight against cross-border financial crime by supporting the work of other bodies and agencies in the field.</w:t>
      </w:r>
    </w:p>
    <w:p>
      <w:pPr/>
      <w:r>
        <w:rPr>
          <w:b/>
        </w:rPr>
        <w:t>POSSIBLE 2024:</w:t>
      </w:r>
      <w:r>
        <w:t xml:space="preserve"> Decolonising Solidarity? — https://doi.org/10.31273/an.v11i1.1491</w:t>
      </w:r>
    </w:p>
    <w:p>
      <w:pPr/>
      <w:r>
        <w:rPr>
          <w:b/>
        </w:rPr>
        <w:t>Shared claim-specific concepts:</w:t>
      </w:r>
      <w:r>
        <w:t xml:space="preserve"> efforts, they, past; EU scope visible. This is a provisional connection, not an outcome finding.</w:t>
      </w:r>
    </w:p>
    <w:p>
      <w:pPr>
        <w:pStyle w:val="SourceNote"/>
      </w:pPr>
      <w:r>
        <w:rPr>
          <w:b/>
        </w:rPr>
        <w:t>Available abstract (not full text):</w:t>
      </w:r>
      <w:r>
        <w:t xml:space="preserve"> While the 50th anniversary of the coup d’état against the government of Salvador Allende in Chile invites to reflect on past and current experiences of solidarity between Latin America and Europe, the present contribution seeks to foreground the rather overlooked international solidarity efforts of and with the indigenous Mapuche. As a result of their forced exile to Europe after 1973, Mapuche activists began to organise themselves as a diasporic community in Europe and to form a transnational advocacy network in support of their people. This contribution aims to showcase how international solidarity of and with the Mapuche in Europe evolved over time, how they relate to non-indigenous, Chilean solidarity networks, and which underlying Mapuche notions of solidarity they reactivate in order to weave their transnational advocacy network.</w:t>
      </w:r>
    </w:p>
    <w:p>
      <w:pPr/>
      <w:r>
        <w:rPr>
          <w:b/>
        </w:rPr>
        <w:t>POSSIBLE 2023:</w:t>
      </w:r>
      <w:r>
        <w:t xml:space="preserve"> THE EUROPEAN UNION: THE HISTORY OF ESTABLISHMENT AND SIGNIFICANCE FOR UKRAINE — https://doi.org/10.30970/vla.2023.76.015</w:t>
      </w:r>
    </w:p>
    <w:p>
      <w:pPr/>
      <w:r>
        <w:rPr>
          <w:b/>
        </w:rPr>
        <w:t>Shared claim-specific concepts:</w:t>
      </w:r>
      <w:r>
        <w:t xml:space="preserve"> establishment, powers, process, role, they, played; EU scope visible. This is a provisional connection, not an outcome finding.</w:t>
      </w:r>
    </w:p>
    <w:p>
      <w:pPr>
        <w:pStyle w:val="SourceNote"/>
      </w:pPr>
      <w:r>
        <w:rPr>
          <w:b/>
        </w:rPr>
        <w:t>Available abstract (not full text):</w:t>
      </w:r>
      <w:r>
        <w:t xml:space="preserve"> The article reveals the prerequisites for the formation and development of European integration, reveals the processes of creating the European Union as a new form of European integration, and analyzes the achievements of Ukraine in European integration processes. It is noted that the idea of uniting the peoples and states of Europe has a long history. In various historical periods, European rulers and politicians sought to implement the idea of European unification. The idea of European unity was developed and defended in their writings by philosophers, scientists, religious figures, etc. This idea is based on the principles of territorial and civilizational kinship and unity of Europeans and runs through the entire history of European nations. The formation and development of European integration institutions was the result of the consistent development of the unification process of the countries of Western Europe, which went through several stages in their development. Integration involved an active search for ways and means of political, legal, economic (and in some cases, social and cultural) unification of European states with the aim of establishing their close, first of all, economic cooperation. An important role in integration processes was and continues to be played by the economic basis of the development of states. European integration is based on economic integrat</w:t>
      </w:r>
    </w:p>
    <w:p>
      <w:pPr/>
      <w:r>
        <w:rPr>
          <w:b/>
        </w:rPr>
        <w:t>POSSIBLE 2023:</w:t>
      </w:r>
      <w:r>
        <w:t xml:space="preserve"> Decolonising Medieval Fennoscandia — https://doi.org/10.1515/9783110784305</w:t>
      </w:r>
    </w:p>
    <w:p>
      <w:pPr/>
      <w:r>
        <w:rPr>
          <w:b/>
        </w:rPr>
        <w:t>Shared claim-specific concepts:</w:t>
      </w:r>
      <w:r>
        <w:t xml:space="preserve"> well, decolonise, relationship, role; EU scope not established. This is a provisional connection, not an outcome finding.</w:t>
      </w:r>
    </w:p>
    <w:p>
      <w:pPr>
        <w:pStyle w:val="SourceNote"/>
      </w:pPr>
      <w:r>
        <w:rPr>
          <w:b/>
        </w:rPr>
        <w:t>Available abstract (not full text):</w:t>
      </w:r>
      <w:r>
        <w:t xml:space="preserve"> The interdisciplinary study investigates the relationship between Norse and Saami peoples in the medieval period and focuses on the multifaceted portrayal of Saami peoples in medieval texts. The investigative analysis is anchored in postcolonial methodologies and argues for the inherent need to decolonise the medieval source-material as well as recent historiography. This is achieved by presenting the historiographic and political background of research into Norse-Saami relations, before introducing an overview of textual sources discussing Saami peoples from the classical period to the late 1400s, an analysis of the textual motifs associated with the Saami in medieval literature (their relevance and prevalence), geo-political affairs, trading relations, personal relations and Saami presence in the south. By using decolonising tools to read Norse-Saami relations in medieval texts, influenced by archaeological material and postcolonial frameworks, the study challenges lingering colonial assumptions about the role of the Saami in Norse society. The current research episteme is re-adjusted to offer alternative readings of Saami characters and emphasis is put on agency, fluidity and the dynamic realities of the Saami medieval pasts.</w:t>
      </w:r>
    </w:p>
    <w:p>
      <w:pPr/>
      <w:r>
        <w:rPr>
          <w:b/>
        </w:rPr>
        <w:t>POSSIBLE 2023:</w:t>
      </w:r>
      <w:r>
        <w:t xml:space="preserve"> Decolonisation in Learning Development — https://doi.org/10.4324/9781003433347-19</w:t>
      </w:r>
    </w:p>
    <w:p>
      <w:pPr/>
      <w:r>
        <w:rPr>
          <w:b/>
        </w:rPr>
        <w:t>Shared claim-specific concepts:</w:t>
      </w:r>
      <w:r>
        <w:t xml:space="preserve"> efforts, decolonise, they; EU scope not established. This is a provisional connection, not an outcome finding.</w:t>
      </w:r>
    </w:p>
    <w:p>
      <w:pPr>
        <w:pStyle w:val="SourceNote"/>
      </w:pPr>
      <w:r>
        <w:rPr>
          <w:b/>
        </w:rPr>
        <w:t>Available abstract (not full text):</w:t>
      </w:r>
      <w:r>
        <w:t xml:space="preserve"> Over the last decade, efforts to ‘decolonise’ Higher Education have gained ground in universities across the world. As Learning Developers, we must keep abreast of subsequent changes to curricula and pedagogy, so that we can help students develop the skills they need to succeed in a decolonised university. We should also consider how we can contribute to this discussion by questioning and re-evaluating our own practices through a decolonial lens. This chapter offers a departure point for exploring these questions, by reflecting on opportunities, barriers, and some early successes, all the while recognising that well-defined answers, for now, may remain elusive.</w:t>
      </w:r>
    </w:p>
    <w:p>
      <w:pPr/>
      <w:r>
        <w:rPr>
          <w:b/>
        </w:rPr>
        <w:t>POSSIBLE 2022:</w:t>
      </w:r>
      <w:r>
        <w:t xml:space="preserve"> The relationship between Willy Brandt and the Norwegian Labor Party, and the process of change and establishment of Brandt’s thoughts seen from the publication of The Purpose of War of Great Powers and a New Europe — https://doi.org/10.17995/kjgs.2022.2.49.93</w:t>
      </w:r>
    </w:p>
    <w:p>
      <w:pPr/>
      <w:r>
        <w:rPr>
          <w:b/>
        </w:rPr>
        <w:t>Shared claim-specific concepts:</w:t>
      </w:r>
      <w:r>
        <w:t xml:space="preserve"> establishment, powers, relationship, process; EU scope visible. This is a provisional connection, not an outcome finding.</w:t>
      </w:r>
    </w:p>
    <w:p>
      <w:pPr>
        <w:pStyle w:val="SourceNote"/>
      </w:pPr>
      <w:r>
        <w:rPr>
          <w:b/>
        </w:rPr>
        <w:t>Available abstract (not full text):</w:t>
      </w:r>
      <w:r>
        <w:t xml:space="preserve"> 노르웨이 노동당은 브란트의 삶과 사상의 궤적에 큰 영향을 끼쳤다. 특히, 브란트가 사회주의, 자유, 민주주의, 유럽연방주의 사상을 정립해 가는 데 있어서 많은 자극과 영감을 주었다. 노르웨이 망명기간 동안 브란트는 그 곳 노동당의 도움을 많이 받았다. 그러면서 노르웨이 노동당의 노선과 실체에 대해 많은 것을 새롭게 느끼고 깨닫게 되었다. 그리하여 이 시기에 대한 연구는 청년 브란트의 사상과 삶, 국제 네트워크를 이해하는데 매우 유익하다. 특히, 코민테른과 소련에 대한 노르웨이 노동당과 빌리 브란트의 이해와 반응의 유사성이 매우 흥미롭다. 이 유사성들이 상호 관계에 크게 작용했음은 매우 주목할 만한 내용이다. 이 과정에서 브란트는 고향 뤼벡 시절에서와는 다르게 자유와 민주주의 그리고 유럽연방주의에 대한 개념을 더욱 깊게 하고 사회주의와의 관계를 체계화하였다. 이러한 과정과 결과들 이 『강대국의 전쟁목적과 새로운 유럽』 책 속에 녹아들어 갔다. 이 책을 통해 노르웨이 노동당과 빌리 브란트의 관계 그리고 그의 활동은 더욱 활 성화 될 것이었다. 그러나 나치 독일의 노르웨이 점령으로 그렇게 되지 못 하고 험난한 운명을 맞이했다.</w:t>
      </w:r>
    </w:p>
    <w:p>
      <w:pPr/>
      <w:r>
        <w:rPr>
          <w:b/>
        </w:rPr>
        <w:t>POSSIBLE 2022:</w:t>
      </w:r>
      <w:r>
        <w:t xml:space="preserve"> The Delegation of Powers to EU Agencies After the Financial Crisis — https://doi.org/10.15166/2499-8249/535</w:t>
      </w:r>
    </w:p>
    <w:p>
      <w:pPr/>
      <w:r>
        <w:rPr>
          <w:b/>
        </w:rPr>
        <w:t>Shared claim-specific concepts:</w:t>
      </w:r>
      <w:r>
        <w:t xml:space="preserve"> establishment, powers, role, they; EU scope visible. This is a provisional connection, not an outcome finding.</w:t>
      </w:r>
    </w:p>
    <w:p>
      <w:pPr>
        <w:pStyle w:val="SourceNote"/>
      </w:pPr>
      <w:r>
        <w:rPr>
          <w:b/>
        </w:rPr>
        <w:t>Available abstract (not full text):</w:t>
      </w:r>
      <w:r>
        <w:t xml:space="preserve"> The financial crisis has set new challenges for European integration, including the revision of priorities, principles and mechanisms of micro-prudential supervision of financial markets. Amongst the significant institutional reforms, the intensification of controls on financial markets has been pursued through the establishment of the European Supervisory Authorities in the financial markets (ESAs). This Article aims to analyse the role that these Authorities have been playing in shaping the EU legal order after the financial crisis. As a result of the EMU-related regulation aimed at enhancing EU financial stability after the crisis, the ESAs institutionalise administrative cooperation in micro-prudential supervision. The combination of agencification and crisis management is not new to the development of European integration nor specific to the case of financial markets. Nevertheless, the ESAs represent a peculiar regulatory experience, which share many characteristics of EU agencies, yet move towards an embryonic model of independent regulators. Compared to other EU agencies, in fact, they enjoy wider powers and a much more autonomous status from the Commission. They have acquired highly relevant competences that enhance their role in the internal market regulation. In addition, the CJEU engaged in a partial revision of the interpretative boundaries of the Meroni doctrine co</w:t>
      </w:r>
    </w:p>
    <w:p>
      <w:pPr/>
      <w:r>
        <w:rPr>
          <w:b/>
        </w:rPr>
        <w:t>POSSIBLE 2022:</w:t>
      </w:r>
      <w:r>
        <w:t xml:space="preserve"> Approaches to decolonising forensic curricula — https://doi.org/10.1016/j.scijus.2022.06.003</w:t>
      </w:r>
    </w:p>
    <w:p>
      <w:pPr/>
      <w:r>
        <w:rPr>
          <w:b/>
        </w:rPr>
        <w:t>Shared claim-specific concepts:</w:t>
      </w:r>
      <w:r>
        <w:t xml:space="preserve"> process, past; EU scope not established. This is a provisional connection, not an outcome finding.</w:t>
      </w:r>
    </w:p>
    <w:p>
      <w:pPr>
        <w:pStyle w:val="SourceNote"/>
      </w:pPr>
      <w:r>
        <w:rPr>
          <w:b/>
        </w:rPr>
        <w:t>Available abstract (not full text):</w:t>
      </w:r>
      <w:r>
        <w:t xml:space="preserve"> Forensic science in UK Higher Education involves a constellation of subdisciplines, each with a biography shaped by a colonial past. Deeper examinations of the structures of curriculum design allow educators to address where colonial assumptions may reside and the impact of these legacies on the present. One process to assist this endeavour is Decolonising the Curriculum (DtC), which seeks to question and dismantle colonial structures of knowledge and support contextualisation to broaden, rather than narrow, the curricula. DtC toolkits, like those developed at the University of Winchester in the south of England, may provide practical support to programme teams to reflect on how colonial attitudes shape new and existing curricula. DtC may be seen as supporting existing quality processes that are part of the reflection cycle and tested through institutional and other accreditation quality procedures. Toolkits support programme teams to identify existing good practices and areas requiring further reflection and development. We offer perspectives on areas that would benefit from critical evaluation when teaching subjects with foundations in race science, colonial attitudes, and social injustice. The paper focuses on three main approaches to support decolonial discourse: sustained historical inquiry, questioning ethnic classifications and identity, and the presentation of internati</w:t>
      </w:r>
    </w:p>
    <w:p>
      <w:pPr/>
      <w:r>
        <w:rPr>
          <w:b/>
        </w:rPr>
        <w:t>POSSIBLE 2021:</w:t>
      </w:r>
      <w:r>
        <w:t xml:space="preserve"> The Emergence of New States in Eastern Europe in 1918—Lessons for All of Europe — https://doi.org/10.2478/bjes-2021-0001</w:t>
      </w:r>
    </w:p>
    <w:p>
      <w:pPr/>
      <w:r>
        <w:rPr>
          <w:b/>
        </w:rPr>
        <w:t>Shared claim-specific concepts:</w:t>
      </w:r>
      <w:r>
        <w:t xml:space="preserve"> establishment, powers, well, efforts, crucial, process; EU scope visible. This is a provisional connection, not an outcome finding.</w:t>
      </w:r>
    </w:p>
    <w:p>
      <w:pPr>
        <w:pStyle w:val="SourceNote"/>
      </w:pPr>
      <w:r>
        <w:rPr>
          <w:b/>
        </w:rPr>
        <w:t>Available abstract (not full text):</w:t>
      </w:r>
      <w:r>
        <w:t xml:space="preserve"> Abstract The year of 1918 was a crucial point in the history of Europe. Its importance does not only stem from the end of World War I, but also from the establishment of new states. Eastern Europe was particularly an arena where many new states emerged after the dissolution of tsarist Russia. The abovementioned process was correlated with the outcome of World War I (the defeat of the Central Powers on the Western Front and their victory on the Eastern Front against the tsarist Russia resulting in imposing their protectorate over Eastern Europe) but simultaneously it was influenced by the 1917 Bolshevik Revolution originating from a structural crisis of Russia. The legacy of nation-building processes, taking place in the period of 1917–1921 in the European part of the tsarist Russia— even when some of the states did not manage to survive— occupies a key role in the historical memories of those countries. The importance of this legacy originates from the fact that these states often constituted the most progressive nation-building efforts in the world. The wider context of these developments and the important interlinkages existing between them are very often unfamiliar to many Europeans today. Despite that, the state-building attempts, undertaken in Eastern Europe between 1917 and 1921, had a huge impact on the trajectory of European history. Contextualising this particular acad</w:t>
      </w:r>
    </w:p>
    <w:p>
      <w:pPr>
        <w:pStyle w:val="Heading2"/>
      </w:pPr>
      <w:r>
        <w:t>677.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2026:</w:t>
      </w:r>
      <w:r>
        <w:t xml:space="preserve"> Stability Rules: Succession Institutions, Conflict, and Divergent Paths of State Development — https://openalex.org/W7164271797</w:t>
      </w:r>
    </w:p>
    <w:p>
      <w:pPr/>
      <w:r>
        <w:rPr>
          <w:b/>
        </w:rPr>
        <w:t>Shared claim-specific concepts:</w:t>
      </w:r>
      <w:r>
        <w:t xml:space="preserve"> show, first, divergent, power, system, over; EU scope visible. This is a provisional connection, not an outcome finding.</w:t>
      </w:r>
    </w:p>
    <w:p>
      <w:pPr>
        <w:pStyle w:val="SourceNote"/>
      </w:pPr>
      <w:r>
        <w:rPr>
          <w:b/>
        </w:rPr>
        <w:t>Available abstract (not full text):</w:t>
      </w:r>
      <w:r>
        <w:t xml:space="preserve"> How do political systems secure stable transfers of power, and what are the long-run consequences of failing to do so? This dissertation argues that the organization of succession is a fundamental determinant of both political stability and state development. Succession institutions matter in two ways. First, clear and impersonal rules reduce uncertainty by coordinating elite expectations over who should rule next. Second, they shape who competes for power in the first place—selecting for claimants with either limited capacity and incentives for rebellion or, alternatively, empowering rivals prone to contest the throne. Where succession institutions fail along these dimensions, transfers of power become focal points for violence, generating recurrent patterns of conflict that shape divergent paths of state development over the long run. The dissertation develops this argument across three chapters. The first examines how variation in succession rules shaped the likelihood of conflict in pre-modern monarchies. I argue that succession institutions differ along three key dimensions: whether successors are identified before or after a ruler’s death, whether succession follows a fixed, rule-based line (e.g., birth-order) or a discretionary process, and whether power transfers vertically across generations or laterally within them. The advanced identification of successors and fixed,</w:t>
      </w:r>
    </w:p>
    <w:p>
      <w:pPr/>
      <w:r>
        <w:rPr>
          <w:b/>
        </w:rPr>
        <w:t>POSSIBLE 2026:</w:t>
      </w:r>
      <w:r>
        <w:t xml:space="preserve"> Understanding Divergent Convergence: — https://doi.org/10.5195/jwsr.2026.1370</w:t>
      </w:r>
    </w:p>
    <w:p>
      <w:pPr/>
      <w:r>
        <w:rPr>
          <w:b/>
        </w:rPr>
        <w:t>Shared claim-specific concepts:</w:t>
      </w:r>
      <w:r>
        <w:t xml:space="preserve"> divergent, system, marked, within; EU scope not established. This is a provisional connection, not an outcome finding.</w:t>
      </w:r>
    </w:p>
    <w:p>
      <w:pPr>
        <w:pStyle w:val="SourceNote"/>
      </w:pPr>
      <w:r>
        <w:rPr>
          <w:b/>
        </w:rPr>
        <w:t>Available abstract (not full text):</w:t>
      </w:r>
      <w:r>
        <w:t xml:space="preserve"> The twenty-first century is marked by a profound transformation of the global capitalist system, characterized by simultaneous convergence between the Global North (GN) and the Global South (GS), alongside increasing divergence within the GS. At the center of this process, the Sino-Asian macro-regional formation has emerged as a new pole of accumulation, reshaping global hierarchies while deepening asymmetries within the GS. This article addresses three interrelated questions: how this transformation has unfolded, why Sino-Asia has become a dynamic center of the global system, and what explains the growing divergence within the GS. To do so, it advances a complementary multilevel framework integrating Arrighian World System Analysis (WSA), Latin American Structuralism (LAS), and Historical Institutionalism (HI). The analysis shows that Arrighian systemic cycles of accumulation—particularly the transition from financial to material phases—account for the conditions underlying the rise of Sino-Asia and a more dynamic GS, but are insufficient to explain intraregional divergence. Prebischian LAS addresses this limitation by highlighting the role of industrialization, technological upgrading, and regional integration in shaping differentiated development trajectories. Integrated within a systemic perspective, HI helps identify state capacity as the key mechanism enabling these proce</w:t>
      </w:r>
    </w:p>
    <w:p>
      <w:pPr/>
      <w:r>
        <w:rPr>
          <w:b/>
        </w:rPr>
        <w:t>POSSIBLE 2026:</w:t>
      </w:r>
      <w:r>
        <w:t xml:space="preserve"> Negotiating Post-Carbon Futures: Divergent Imaginaries in the Redevelopment of Ratcliffe-on Soar Power Station — https://openalex.org/W7163849930</w:t>
      </w:r>
    </w:p>
    <w:p>
      <w:pPr/>
      <w:r>
        <w:rPr>
          <w:b/>
        </w:rPr>
        <w:t>Shared claim-specific concepts:</w:t>
      </w:r>
      <w:r>
        <w:t xml:space="preserve"> first, divergent, power, within; EU scope not established. This is a provisional connection, not an outcome finding.</w:t>
      </w:r>
    </w:p>
    <w:p>
      <w:pPr>
        <w:pStyle w:val="SourceNote"/>
      </w:pPr>
      <w:r>
        <w:rPr>
          <w:b/>
        </w:rPr>
        <w:t>Available abstract (not full text):</w:t>
      </w:r>
      <w:r>
        <w:t xml:space="preserve"> The UK achieved the ambitious goal of becoming the first G7 country to phase out coal-firedelectricity, with its last power station, Ratcliffe-on-Soar closing in 2024. Ensuring thisgeneration of transitioning communities does not follow in the footsteps of ‘left behind’ UKex-mining villages for example, is imperative. This study investigates and compares theimaginaries of place leaders and locals in a region experiencing a post-carbon transition, froma critical realist perspective. The paper addresses the current gap in imaginaries literature tothoroughly engage with subjective theories such as sense of place and value judgments, as wellas understanding the implications of imaginaries on economic processes. A conceptualframework is built to extend Benners (2025) conceptualisation of imaginaries, by delineatingfour key dimensions: spatial, temporal, thematic and tonal. The framework is then applied tothe case study of the redevelopment of Ratcliffe-on-Soar power station in Nottinghamshire, tocompare the imaginaries of place leaders and locals, by conducting six semi-structuredinterviews and document analysis. The findings are then operationalised within an indexdeveloped in this paper, to quantitatively map out the orientation of actors’ imaginaries. Thestudy finds that the two groups diverged, to varying degrees, across all four dimensions ofimaginaries. Additionally, it identi</w:t>
      </w:r>
    </w:p>
    <w:p>
      <w:pPr/>
      <w:r>
        <w:rPr>
          <w:b/>
        </w:rPr>
        <w:t>POSSIBLE 2026:</w:t>
      </w:r>
      <w:r>
        <w:t xml:space="preserve"> Divergent Perceptions, Divergent Pay: Inflation and the Gender Wage Gap — https://doi.org/10.65864/sws4jidg0w</w:t>
      </w:r>
    </w:p>
    <w:p>
      <w:pPr/>
      <w:r>
        <w:rPr>
          <w:b/>
        </w:rPr>
        <w:t>Shared claim-specific concepts:</w:t>
      </w:r>
      <w:r>
        <w:t xml:space="preserve"> first, divergent, lead, within; EU scope not established. This is a provisional connection, not an outcome finding.</w:t>
      </w:r>
    </w:p>
    <w:p>
      <w:pPr>
        <w:pStyle w:val="SourceNote"/>
      </w:pPr>
      <w:r>
        <w:rPr>
          <w:b/>
        </w:rPr>
        <w:t>Available abstract (not full text):</w:t>
      </w:r>
      <w:r>
        <w:t xml:space="preserve"> Inflationary shocks do not affect all workers equally. Comparing men and women, we document two facts. First, both demand- and supply-driven inflationary shocks widen the gender wage gap within industries and occupations. Because these shocks imply opposite business-cycle conditions, their common effect points to inflation as the relevant force. Second, women and men perceive the same inflationary shocks as having different labor-market consequences: women expect conditions to worsen, while men expect them to improve. This asymmetry creates an expectations channel linking inflation to unequal wage growth. We formalize this channel in a New Keynesian search-and-matching model with male and female workers, imperfect information, and gender-specific ambiguity attitudes. Common macroeconomic signals lead ambiguity-averse women to place greater weight on adverse supply-driven states. For inflationary signals, this lowers their perceived outside options and wage demands relative to men's. Divergent perceptions translate common inflationary shocks into divergent pay.</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r>
        <w:rPr>
          <w:b/>
        </w:rPr>
        <w:t>POSSIBLE 2025:</w:t>
      </w:r>
      <w:r>
        <w:t xml:space="preserve"> The spatiotemporal dynamics of COVID-19 in Europe: time-series clustering maps 5 distinct trajectories to spatial patterns — https://doi.org/10.1186/s12963-025-00405-w</w:t>
      </w:r>
    </w:p>
    <w:p>
      <w:pPr/>
      <w:r>
        <w:rPr>
          <w:b/>
        </w:rPr>
        <w:t>Shared claim-specific concepts:</w:t>
      </w:r>
      <w:r>
        <w:t xml:space="preserve"> show, first, time, within; EU scope visible. This is a provisional connection, not an outcome finding.</w:t>
      </w:r>
    </w:p>
    <w:p>
      <w:pPr>
        <w:pStyle w:val="SourceNote"/>
      </w:pPr>
      <w:r>
        <w:rPr>
          <w:b/>
        </w:rPr>
        <w:t>Available abstract (not full text):</w:t>
      </w:r>
      <w:r>
        <w:t xml:space="preserve"> The COVID-19 pandemic affected Europe unevenly, with surges in infections and deaths fluctuating across different regions and time periods. Hyper-localised hotspots and staggered timelines created intense, asynchronous waves of infections and deaths that distort country-level and cumulative data, obscuring the pandemic's spatiotemporal dynamics through aggregation. Despite extensive research comparing states and analysing subnational variance within individual countries, the detailed subnational and transnational dynamics of the COVID-19 pandemic across Europe as a whole have not been comprehensively described. Here we show that time-series clustering, applied to weekly excess mortality estimates for subnational NUTS3 administrative regions of 27 countries in Europe, identifies five distinct pandemic trajectories which map to spatial patterns. The trajectories comprise two subgroups, representing contrasting pandemic dynamics in eastern and western Europe. Western Europe exhibits concentric arrangements of mortality impact, with secondary and tertiary impact zones surrounding outbreak epicenters. Eastern Europe exhibits internally homogeneous spatial dynamics, possibly due to the deferral of the first major mortality wave.</w:t>
      </w:r>
    </w:p>
    <w:p>
      <w:pPr/>
      <w:r>
        <w:rPr>
          <w:b/>
        </w:rPr>
        <w:t>POSSIBLE 2025:</w:t>
      </w:r>
      <w:r>
        <w:t xml:space="preserve"> #154 Time trends in European paediatric kidney transplantation: an ESPN/ERA Registry study — https://doi.org/10.1093/ndt/gfaf116.0876</w:t>
      </w:r>
    </w:p>
    <w:p>
      <w:pPr/>
      <w:r>
        <w:rPr>
          <w:b/>
        </w:rPr>
        <w:t>Shared claim-specific concepts:</w:t>
      </w:r>
      <w:r>
        <w:t xml:space="preserve"> first, time, differences, over; EU scope visible. This is a provisional connection, not an outcome finding.</w:t>
      </w:r>
    </w:p>
    <w:p>
      <w:pPr>
        <w:pStyle w:val="SourceNote"/>
      </w:pPr>
      <w:r>
        <w:rPr>
          <w:b/>
        </w:rPr>
        <w:t>Available abstract (not full text):</w:t>
      </w:r>
      <w:r>
        <w:t xml:space="preserve"> Abstract Background and Aims Kidney transplantation is the optimal treatment modality for most patients with kidney failure particularly in childhood due to survival advantages and improved physical and psychosocial development. While most children initiate kidney replacement therapy (KRT) on dialysis, they are expected to receive a kidney transplant during childhood. We know that in Europe there are substantial differences in the access to kidney transplantation, but information on time trends is lacking. The aim of this study was therefore to report on time trends in paediatric kidney transplantation rates and recipient characteristics between 2010 and 2021 in Europe, overall and by country macro-economic level. Method Thirty-one countries contributing with data to the ESPN/ERA Registry on kidney transplant recipients below 18 years (covering about 90% of Europe) between 2010 and 2021 were included. The main analysis focused on the period of 2010–19. Additionally, the years 2020–21 were analysed separately, because of the potential effect of the COVID-19 pandemic. We reported trends in kidney transplantation per million age related population (pmarp) in Europe, overall and by country groups based on macro-economic level [low, middle or high income countries according to the gross domestic product (GDP) per capita in 2021]. Time trends were reported as annual percentage change</w:t>
      </w:r>
    </w:p>
    <w:p>
      <w:pPr/>
      <w:r>
        <w:rPr>
          <w:b/>
        </w:rPr>
        <w:t>POSSIBLE 2025:</w:t>
      </w:r>
      <w:r>
        <w:t xml:space="preserve"> Evolutionarily distinct lineages of a migratory bird of prey show divergent responses to climate change — https://doi.org/10.1038/s41467-025-58617-5</w:t>
      </w:r>
    </w:p>
    <w:p>
      <w:pPr/>
      <w:r>
        <w:rPr>
          <w:b/>
        </w:rPr>
        <w:t>Shared claim-specific concepts:</w:t>
      </w:r>
      <w:r>
        <w:t xml:space="preserve"> show, divergent, climate; EU scope visible. This is a provisional connection, not an outcome finding.</w:t>
      </w:r>
    </w:p>
    <w:p>
      <w:pPr>
        <w:pStyle w:val="SourceNote"/>
      </w:pPr>
      <w:r>
        <w:rPr>
          <w:b/>
        </w:rPr>
        <w:t>Available abstract (not full text):</w:t>
      </w:r>
      <w:r>
        <w:t xml:space="preserve"> Accurately predicting species' responses to anthropogenic climate change is hampered by limited knowledge of their spatiotemporal ecological and evolutionary dynamics. We combine landscape genomics, demographic reconstructions, and species distribution models to assess the eco-evolutionary responses to past climate fluctuations and to future climate of an Afro-Palaearctic migratory raptor, the lesser kestrel (Falco naumanni). We uncover two evolutionarily and ecologically distinct lineages (European and Asian), whose demographic history, evolutionary divergence, and historical distribution range were profoundly shaped by past climatic fluctuations. Using future climate projections, we find that the Asian lineage is at higher risk of range contraction, increased migration distance, climate maladaptation, and consequently greater extinction risk than the European lineage. Our results emphasise the importance of providing historical context as a baseline for understanding species' responses to contemporary climate change, and illustrate how incorporating intraspecific genetic variation improves the ecological realism of climate change vulnerability assessments.</w:t>
      </w:r>
    </w:p>
    <w:p>
      <w:pPr/>
      <w:r>
        <w:rPr>
          <w:b/>
        </w:rPr>
        <w:t>POSSIBLE 2024:</w:t>
      </w:r>
      <w:r>
        <w:t xml:space="preserve"> “EUROPE”: A Patriotic Ballet for the First World War — https://doi.org/10.1080/19475020.2024.2352853</w:t>
      </w:r>
    </w:p>
    <w:p>
      <w:pPr/>
      <w:r>
        <w:rPr>
          <w:b/>
        </w:rPr>
        <w:t>Shared claim-specific concepts:</w:t>
      </w:r>
      <w:r>
        <w:t xml:space="preserve"> show, first, time, associated, however, within; EU scope visible. This is a provisional connection, not an outcome finding.</w:t>
      </w:r>
    </w:p>
    <w:p>
      <w:pPr>
        <w:pStyle w:val="SourceNote"/>
      </w:pPr>
      <w:r>
        <w:rPr>
          <w:b/>
        </w:rPr>
        <w:t>Available abstract (not full text):</w:t>
      </w:r>
      <w:r>
        <w:t xml:space="preserve"> From September 1914 to January 1915, the Empire Theatre in London staged what was billed as a patriotic ballet called Europe. In addition to its lengthy run in the capital, a second version of the show toured the country, appearing at theatres in Manchester, Newcastle, Glasgow, Sheffield, Liverpool, Bradford, Nottingham and Portsmouth. The show received unanimous praise in both national and regional newspapers. However, despite its reach, popularity and impact, Europe has been mostly forgotten. Since it was a dance-based performance, no script was submitted to the Lord Chamberlain’s office. Although the piece did include music, it produced no hit songs captured on gramophone records or sheet music. Moreover, once the reality of the First World War began to hit home, the manner in which the show trivialised and glorified the conflict quickly fell out of step with public opinion. Therefore, when Europe’s run ended, it was permanently shelved and assigned to the passing of time. Nevertheless, the show left an archival imprint scattered through newspapers, theatre programmes, magazines and autobiographies. The following article draws these fragments together to form a blueprint of this hitherto discarded piece of popular culture. This reconstruction reveals a strikingly complex and rich piece of theatre, both in terms of its technical construction and how cultural conventions were </w:t>
      </w:r>
    </w:p>
    <w:p>
      <w:pPr/>
      <w:r>
        <w:rPr>
          <w:b/>
        </w:rPr>
        <w:t>POSSIBLE 2024:</w:t>
      </w:r>
      <w:r>
        <w:t xml:space="preserve"> Divergent Market Reactions to Abstract Language: A Multicountry Event Study of European Central Bank Communications — https://doi.org/10.5465/amj.2022.0814</w:t>
      </w:r>
    </w:p>
    <w:p>
      <w:pPr/>
      <w:r>
        <w:rPr>
          <w:b/>
        </w:rPr>
        <w:t>Shared claim-specific concepts:</w:t>
      </w:r>
      <w:r>
        <w:t xml:space="preserve"> show, divergent, power; EU scope visible. This is a provisional connection, not an outcome finding.</w:t>
      </w:r>
    </w:p>
    <w:p>
      <w:pPr>
        <w:pStyle w:val="SourceNote"/>
      </w:pPr>
      <w:r>
        <w:rPr>
          <w:b/>
        </w:rPr>
        <w:t>Available abstract (not full text):</w:t>
      </w:r>
      <w:r>
        <w:t xml:space="preserve"> Prominent leaders regularly communicate with multiple markets around the world, but we know little about the challenges that can arise when trying to effectively convey one’s message in a global setting. In this paper, we develop a theory about how language abstraction—a dominant strategy used to create common ground among diverse audiences—can become problematic when used in a global environment where market actors have divergent interests. Employing a multicountry event study, we analyze how the stock markets in 11 eurozone countries react to the abstract language in public speeches delivered by the European Central Bank president. We find that abstract language, rather than creating common ground, produces divergent market reactions across core and peripheral countries, such that market actors in core countries react more favorably to abstract communication, while those in peripheral countries prefer concrete communication. We also show that this divergent reaction is stronger when the economic interests of the core and the periphery are made more salient. This study contributes new insights to research on strategic communication in market settings, expands our understanding of audience heterogeneity and market power, and highlights the growing challenges of communicating in a globalized society.</w:t>
      </w:r>
    </w:p>
    <w:p>
      <w:pPr/>
      <w:r>
        <w:rPr>
          <w:b/>
        </w:rPr>
        <w:t>POSSIBLE 2023:</w:t>
      </w:r>
      <w:r>
        <w:t xml:space="preserve"> “The first difficulty is time”: The impact of gestational age limits on reproductive health and justice in the context of cross-border travel for abortion care in Europe — https://doi.org/10.1016/j.socscimed.2023.115760</w:t>
      </w:r>
    </w:p>
    <w:p>
      <w:pPr/>
      <w:r>
        <w:rPr>
          <w:b/>
        </w:rPr>
        <w:t>Shared claim-specific concepts:</w:t>
      </w:r>
      <w:r>
        <w:t xml:space="preserve"> show, first, time; EU scope visible. This is a provisional connection, not an outcome finding.</w:t>
      </w:r>
    </w:p>
    <w:p>
      <w:pPr>
        <w:pStyle w:val="SourceNote"/>
      </w:pPr>
      <w:r>
        <w:rPr>
          <w:b/>
        </w:rPr>
        <w:t>Available abstract (not full text):</w:t>
      </w:r>
      <w:r>
        <w:t xml:space="preserve"> Drawing on qualitative and quantitative data collected during a 5-year multi-disciplinary European research project, in this article we show how restrictions on access to legal abortion, and particularly gestational age (GA) limits at the end of the first trimester of pregnancy, negatively affect women and pregnant people living in European countries where abortion is legal on request or on broad grounds. First, we examine why most European legislations establish GA limits, and illustrate how abortion is framed in national laws and in the current national and international legal and political debates on abortion rights. We then show, based on research data we collected during our 5-year project and contextualized with existing data and statistics, how these restrictions force thousands of people to travel across borders from European countries where abortion is legal, delaying access to care, and increasing pregnant people's health risks. Finally, we explore, from an anthropological perspective, how pregnant people who travel across borders for abortion care conceptualize abortion access, and the relationship between the right to abortion care and the GA restrictions that limit this right. Our study participants criticize the time restrictions established by the laws in their countries of residence as failing to meet pregnant people's needs, highlight the crucial importance of </w:t>
      </w:r>
    </w:p>
    <w:p>
      <w:pPr/>
      <w:r>
        <w:rPr>
          <w:b/>
        </w:rPr>
        <w:t>POSSIBLE 2023:</w:t>
      </w:r>
      <w:r>
        <w:t xml:space="preserve"> Historical institutionalism and institutional design: divergent pathways to regime complexes in Asia and Europe — https://doi.org/10.1177/13540661231170717</w:t>
      </w:r>
    </w:p>
    <w:p>
      <w:pPr/>
      <w:r>
        <w:rPr>
          <w:b/>
        </w:rPr>
        <w:t>Shared claim-specific concepts:</w:t>
      </w:r>
      <w:r>
        <w:t xml:space="preserve"> first, divergent, associated, within; EU scope visible. This is a provisional connection, not an outcome finding.</w:t>
      </w:r>
    </w:p>
    <w:p>
      <w:pPr>
        <w:pStyle w:val="SourceNote"/>
      </w:pPr>
      <w:r>
        <w:rPr>
          <w:b/>
        </w:rPr>
        <w:t>Available abstract (not full text):</w:t>
      </w:r>
      <w:r>
        <w:t xml:space="preserve"> Why and how do pathways to regime complexes diverge? Building on insights from the literatures on institutional design and historical institutionalism, we argue that early institutional design choices produce long-term variation in the pace, density, and composition of institutional layers within a regime complex. In a first step, we argue that if an institution becomes focal, this increases the exit costs for member-states to leave. Additional institutional layers become a more likely outcome. In a second step, we argue that depending on the focal organization’s formal or informal design, variegated sovereignty costs inform the additional layering pathways. If a focal organization is formal , sovereignty costs are high for member-states. Consequently, creating additional institutional layers becomes cumbersome, leading to a slow pace of “negotiated layering” and a regime complex characterized by low density and composed of formal and informal institutions. In contrast, low sovereignty costs associated with informal focal organizations enable a rapid process of “breakout layering” resulting in a high density of mostly informal institutions. We develop our argument by examining the evolution of security institutions in Europe and Asia through diplomatic cables, treaty texts, personal memoirs, and policy memos.</w:t>
      </w:r>
    </w:p>
    <w:p>
      <w:pPr>
        <w:pStyle w:val="Heading2"/>
      </w:pPr>
      <w:r>
        <w:t>678.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2026:</w:t>
      </w:r>
      <w:r>
        <w:t xml:space="preserve"> Cash Flow Associations of European Investment Funds in Times of High Uncertainty — https://doi.org/10.5709/ce.1897-9254.593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This study explores the associations between cash flows among various types of investment funds in Europe from 2020 to 2022, a period marked by unprecedented economic and geopolitical uncertainty due to the COVID-19 pandemic, the Russian invasion of Ukraine, as well as rising interest rates and inflation. Using the Apriori algorithm, a data mining technique typically applied in marketing research, we analyze fund-level net sales data across 28 European countries to identify patterns in investor behavior. The results indicate that investors did not systematically shift capital from equity funds to bond or money market funds during periods of heightened market volatility, challenging the traditional flight-to-safety hypothesis. Instead, fund cash flows showed a tendency for concurrent purchases and sales across different fund types, suggesting that portfolio adjustments were driven by broader investment strategies rather than short-term risk aversion. The most frequent association observed was between equity UCITS and multi-asset UCITS, with positive net sales in both fund types occurring in over 52% of cases. The findings have important implications for fund managers and policymakers seeking to anticipate investor behavior, manage liquidity risks, and design investment products that align with investor preferences during periods of financial instability.</w:t>
      </w:r>
    </w:p>
    <w:p>
      <w:pPr/>
      <w:r>
        <w:rPr>
          <w:b/>
        </w:rPr>
        <w:t>POSSIBLE 2026:</w:t>
      </w:r>
      <w:r>
        <w:t xml:space="preserve"> Does Economic Policy Uncertainty Influence ESG Performance? Evidence from European Banking Sector — https://doi.org/10.5539/ijbm.v21n5p163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The purpose of this paper is to investigate the impact of economic policy uncertainty (EPU) on environmental, social and governance (ESG) performance in the European banking sector and then to investigate the moderating influence of board gender diversity (BGD) on this relationship. We analyzed a sample of 113 European Union banks for the period 2016-2024 and we developed an econometric model applying a dynamic panel data regression analysis (generalized Method of Moments – GMM System) on 1,017 bank-year observations. To test research hypotheses, we considered BGD in terms of female participation on the board of directors and we measured ESG dimensions by using the ESG score provided by LSEG Refinitiv. The results highlight that EPU affects the ESG performance of European banks and specifically, demonstrate that EPU reduces the overall ESG score. EPU also declines governance and environmental engagements but enhances the social activities to dampen uncertainty during periods of high EPU. This study also suggests that the presence of women on board mitigate these negative effects since the influence of EPU on overall ESG performance is positive in this circumstance. The investigation is highly relevant for regulators, policymakers, potential investors, managers and other stakeholders who are interested in improving the ESG performance of banks under different uncertainties. In t</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r>
        <w:rPr>
          <w:b/>
        </w:rPr>
        <w:t>POSSIBLE 2025:</w:t>
      </w:r>
      <w:r>
        <w:t xml:space="preserve"> Data Uncertainty of Flood Susceptibility Using Non-Flood Samples — https://doi.org/10.3390/rs17030375</w:t>
      </w:r>
    </w:p>
    <w:p>
      <w:pPr/>
      <w:r>
        <w:rPr>
          <w:b/>
        </w:rPr>
        <w:t>Shared claim-specific concepts:</w:t>
      </w:r>
      <w:r>
        <w:t xml:space="preserve"> data, uncertainty, three, high, low, factors; EU scope not established. This is a provisional connection, not an outcome finding.</w:t>
      </w:r>
    </w:p>
    <w:p>
      <w:pPr>
        <w:pStyle w:val="SourceNote"/>
      </w:pPr>
      <w:r>
        <w:rPr>
          <w:b/>
        </w:rPr>
        <w:t>Available abstract (not full text):</w:t>
      </w:r>
      <w:r>
        <w:t xml:space="preserve"> Flood susceptibility provides scientific support for flood prevention planning and infrastructure development by identifying and assessing flood-prone areas. The uncertainty posed by non-flood sample datasets remains a key challenge in flood susceptibility mapping. Therefore, this study proposes a novel sampling method for non-flood points. A flood susceptibility model is constructed using a machine learning algorithm to examine the uncertainty in flood susceptibility due to non-flood point selection. The influencing factors of flood susceptibility are analyzed through interpretable models. Compared to non-flood datasets generated by random sampling with the buffer method, the non-flood dataset constructed using the spatial range identified by the frequency ratio model and sampling method of one-class support vector machine achieves higher accuracy. This significantly improves the simulation accuracy of the flood susceptibility model, with an accuracy increase of 24% in the ENSEMBLE model. (2) In constructing the flood susceptibility model using the optimal non-flood dataset, the ENSEMBLE learning algorithm demonstrates higher accuracy than other machine learning methods, with an AUC of 0.95. (3) The northern and southeastern regions of the Zijiang River Basin have extremely high flood susceptibility. Elevation and drainage density are identified as key factors causing high flo</w:t>
      </w:r>
    </w:p>
    <w:p>
      <w:pPr/>
      <w:r>
        <w:rPr>
          <w:b/>
        </w:rPr>
        <w:t>POSSIBLE 2024:</w:t>
      </w:r>
      <w:r>
        <w:t xml:space="preserve"> Uncertainty Estimation of Lake Ice Cover Maps From a Random Forest Classifier Using MODIS TOA Reflectance Data — https://doi.org/10.1109/jstars.2024.3518306</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This article presents a method to improve the usability of lake ice cover (LIC) maps generated from moderate resolution imaging spectroradiometer (MODIS) top-of-atmosphere reflectance data by providing estimates of aleatoric and epistemic uncertainty. We used a random forest (RF) classifier, which has been shown to have superior performance in classifying lake ice, open water, and clouds, to generate daily LIC maps with inherent (aleatoric) and model (epistemic) uncertainties. RF allows for the learning of different hypotheses (trees), producing diverse predictions that can be utilized to quantify aleatoric and epistemic uncertainty. We use a decomposition of Shannon entropy to quantify these uncertainties and apply pixel-based uncertainty estimation. Our results show that using uncertainty values to reject the classification of uncertain pixels significantly improves recall and precision. The method presented herein is under consideration for integration into the processing chain implemented for the production of daily LIC maps as part of the European Space Agency's Climate Change Initiative (CCI+) Lakes project.</w:t>
      </w:r>
    </w:p>
    <w:p>
      <w:pPr/>
      <w:r>
        <w:rPr>
          <w:b/>
        </w:rPr>
        <w:t>POSSIBLE 2024:</w:t>
      </w:r>
      <w:r>
        <w:t xml:space="preserve"> Voicing Uncertainty: How Speech, Text, and Visualizations Influence Decisions with Data Uncertainty — https://doi.org/10.1109/uncertaintyvisualization63963.2024.00007</w:t>
      </w:r>
    </w:p>
    <w:p>
      <w:pPr/>
      <w:r>
        <w:rPr>
          <w:b/>
        </w:rPr>
        <w:t>Shared claim-specific concepts:</w:t>
      </w:r>
      <w:r>
        <w:t xml:space="preserve"> data, uncertainty, factors; EU scope not established. This is a provisional connection, not an outcome finding.</w:t>
      </w:r>
    </w:p>
    <w:p>
      <w:pPr>
        <w:pStyle w:val="SourceNote"/>
      </w:pPr>
      <w:r>
        <w:rPr>
          <w:b/>
        </w:rPr>
        <w:t>Available abstract (not full text):</w:t>
      </w:r>
      <w:r>
        <w:t xml:space="preserve"> Understanding and communicating data uncertainty is crucial for informed decision-making across various domains, including finance, healthcare, and public policy. This study investigates the impact of gender and acoustic variables on decision-making, confidence, and trust through a crowdsourced experiment. We compared visualization-only representations of uncertainty to text-forward and speech-forward bimodal representations, including multiple synthetic voices across gender. Speech-forward representations led to an increase in risky decisions, and text-forward representations led to lower confidence. Contrary to prior work, speech-forward forecasts did not receive higher ratings of trust. Higher normalized pitch led to a slight increase in decision confidence, but other voice characteristics had minimal impact on decisions and trust. An exploratory analysis of accented speech showed consistent results with the main experiment and additionally indicated lower trust ratings for information presented in Indian and Kenyan accents. The results underscore the importance of considering acoustic and contextual factors in presentation of data uncertainty.</w:t>
      </w:r>
    </w:p>
    <w:p>
      <w:pPr/>
      <w:r>
        <w:rPr>
          <w:b/>
        </w:rPr>
        <w:t>POSSIBLE 2023:</w:t>
      </w:r>
      <w:r>
        <w:t xml:space="preserve"> Uncertainty of atmospheric scattering functions relevant for Satellite Ocean Colour Radiometry in European Seas — https://doi.org/10.1080/01431161.2023.2247531</w:t>
      </w:r>
    </w:p>
    <w:p>
      <w:pPr/>
      <w:r>
        <w:rPr>
          <w:b/>
        </w:rPr>
        <w:t>Shared claim-specific concepts:</w:t>
      </w:r>
      <w:r>
        <w:t xml:space="preserve"> data, uncertainty, three, ocean; EU scope visible. This is a provisional connection, not an outcome finding.</w:t>
      </w:r>
    </w:p>
    <w:p>
      <w:pPr>
        <w:pStyle w:val="SourceNote"/>
      </w:pPr>
      <w:r>
        <w:rPr>
          <w:b/>
        </w:rPr>
        <w:t>Available abstract (not full text):</w:t>
      </w:r>
      <w:r>
        <w:t xml:space="preserve"> Uncertainty assessment of Ocean Colour Radiometry (OCR) usually relies on the comparison between satellite marine reflectance and concurrent in situ radiometric measurements. However, when dealing with the standard atmospheric correction (AC), uncertainty of marine reflectance originates fundamentally from two sources: (i) uncertainty of the Level-1 calibration at top of the atmosphere, and (ii) uncertainty of the atmospheric scattering functions computed by the AC (atmospheric path reflectance and transmittance). The aim of this alternative work is thus to assess the uncertainty of these scattering functions, thanks to inherent optical properties of aerosols extracted from the AErosol Robotic NETwork (AERONET) and ingested in a radiative transfer code. The study is conducted for the MEdium Resolution Imaging Spectrometer (MERIS), over three AERONET sites selected in European seas (Aqua Alta Oceanographic Tower, AAOT; Gustav Dalen Tower, GDT; Lampedusa) and Lanai in the Pacific Ocean as a reference. We develop an uncertainty budget based on the statistical analysis of the errors between MERIS and AERONET-derived data. At 443 nm, uncertainty of MERIS atmospheric path reflectance due to random effects is estimated around 2%, while that of total atmospheric transmittance is between 0.6% and 1%. Propagation of these uncertainties to OCR is achieved following metrological principles</w:t>
      </w:r>
    </w:p>
    <w:p>
      <w:pPr/>
      <w:r>
        <w:rPr>
          <w:b/>
        </w:rPr>
        <w:t>POSSIBLE 2023:</w:t>
      </w:r>
      <w:r>
        <w:t xml:space="preserve"> Data for paper "Magnetohydrodynamic Equilibrium Reconstruction with Consistent Uncertainties" — https://doi.org/10.5281/zenodo.8063360</w:t>
      </w:r>
    </w:p>
    <w:p>
      <w:pPr/>
      <w:r>
        <w:rPr>
          <w:b/>
        </w:rPr>
        <w:t>Shared claim-specific concepts:</w:t>
      </w:r>
      <w:r>
        <w:t xml:space="preserve"> data, uncertainty, low; EU scope visible. This is a provisional connection, not an outcome finding.</w:t>
      </w:r>
    </w:p>
    <w:p>
      <w:pPr>
        <w:pStyle w:val="SourceNote"/>
      </w:pPr>
      <w:r>
        <w:rPr>
          <w:b/>
        </w:rPr>
        <w:t>Available abstract (not full text):</w:t>
      </w:r>
      <w:r>
        <w:t xml:space="preserve"> Data and scripts for the conference paper "Magnetohydrodynamic Equilibrium Reconstruction with Consistent Uncertainties" for the 42nd International Workshop on Bayesian Inference and Maximum Entropy Methods in Science and Engineering. Abstract: We report on progress towards a probabilistic framework for consistent uncertainty quantification and propagation in analysis and numerical modeling of physics in magnetically confined plasmas with stellarator symmetry. A frequent starting point in this process is the calculation of a magnetohydrodynamic equilibrium from plasma profiles. Equilibrium and profiles are typically reconstructed from experimental data. What sets equilibrium reconstruction apart from usual inverse problems is that profiles are given as functions over a magnetic flux derived from the magnetic field, rather than spatial coordinates. This makes it a fixed-point problem that is traditionally left inconsistent or solved iteratively in a least-squares sense[1–3]. The aim here is towards a straightforward and transparent process to quantify and propagate uncertainties and their correlations for function-valued fields and profiles in this setting. We propose a framework that utilizes a low dimensional prior distribution of equilibria, constructed with principal component analysis. A surrogate of the forward model[4] is trained to enable faster sampling. Funding: The pr</w:t>
      </w:r>
    </w:p>
    <w:p>
      <w:pPr/>
      <w:r>
        <w:rPr>
          <w:b/>
        </w:rPr>
        <w:t>POSSIBLE 2023:</w:t>
      </w:r>
      <w:r>
        <w:t xml:space="preserve"> Phytoplankton pigment in situ measurements uncertainty evaluation: an HPLC interlaboratory comparison with a European-scale dataset — https://doi.org/10.3389/fmars.2023.1197311</w:t>
      </w:r>
    </w:p>
    <w:p>
      <w:pPr/>
      <w:r>
        <w:rPr>
          <w:b/>
        </w:rPr>
        <w:t>Shared claim-specific concepts:</w:t>
      </w:r>
      <w:r>
        <w:t xml:space="preserve"> data, uncertainty, representing, different; EU scope visible. This is a provisional connection, not an outcome finding.</w:t>
      </w:r>
    </w:p>
    <w:p>
      <w:pPr>
        <w:pStyle w:val="SourceNote"/>
      </w:pPr>
      <w:r>
        <w:rPr>
          <w:b/>
        </w:rPr>
        <w:t>Available abstract (not full text):</w:t>
      </w:r>
      <w:r>
        <w:t xml:space="preserve"> Phytoplankton pigment data play a crucial role in ecological studies, enabling the identification of algal groups and estimation of primary production rates. Accurate measurements of chlorophyll a (TChl a) and other marine pigments are essential for the development of bio-optical algorithms and the validation of satellite data products. High-performance liquid chromatography (HPLC) is the gold standard method for quantifying multiple pigments in a single water sample. This study aims to investigate the uncertainties associated with phytoplankton pigment quantification by comparing duplicate sample analyses conducted by two laboratories, the Joint Research Centre of the European Commission (J) and the DHI Group, Denmark (D). The analyses were performed using the same HPLC method. The dataset comprised 957 natural samples collected between 2012 and 2017 from various European seas, representing different trophic conditions with TChl a concentrations ranging from 0.083 to 27.35 mg/m3. The study compared the results of the two independent analyses for TChl a and primary phytoplankton pigments, including chlorophyll b, chlorophyll c, carotens, fucoxanthin, 19′-butanoyloxyfucoxanthin, diadinoxanthin, diatoxanthin, 19′-hexanoyloxyfucoxanthin, peridin, and zeaxanthin. The percent difference between the two analyses was calculated to assess the uncertainties associated with pigment quant</w:t>
      </w:r>
    </w:p>
    <w:p>
      <w:pPr/>
      <w:r>
        <w:rPr>
          <w:b/>
        </w:rPr>
        <w:t>POSSIBLE 2022:</w:t>
      </w:r>
      <w:r>
        <w:t xml:space="preserve"> Validation of ocean color remote sensing reflectance data: Analysis of results at European coastal sites — https://doi.org/10.1016/j.rse.2022.113153</w:t>
      </w:r>
    </w:p>
    <w:p>
      <w:pPr/>
      <w:r>
        <w:rPr>
          <w:b/>
        </w:rPr>
        <w:t>Shared claim-specific concepts:</w:t>
      </w:r>
      <w:r>
        <w:t xml:space="preserve"> data, uncertainty, high, ocean; EU scope visible. This is a provisional connection, not an outcome finding.</w:t>
      </w:r>
    </w:p>
    <w:p>
      <w:pPr>
        <w:pStyle w:val="SourceNote"/>
      </w:pPr>
      <w:r>
        <w:rPr>
          <w:b/>
        </w:rPr>
        <w:t>Available abstract (not full text):</w:t>
      </w:r>
      <w:r>
        <w:t xml:space="preserve"> From its initial measurements 20 years ago, the Ocean Color component of the Aerosol Robotic Network (AERONET-OC) has produced large validation data sets to assess the ocean color satellite data records. This study, applied to the standard atmospheric correction algorithm l2gen of the National Aeronautics and Space Administration, analyses the populations of residuals (differences between matching satellite and field data) of remote sensing reflectance RRS and, secondarily, aerosol optical thickness τa, and their validation statistics associated with data collected at seven AERONET-OC sites located in European coastal regions for six satellite missions. Validation statistics do not appear particularly sensitive to observation conditions, represented by viewing and solar geometry, aerosol optical thickness τa, Ångström exponent or water properties indexed by RRS, the most obvious exceptions being a systematic increase of the residuals for high solar zenith angles for all missions and sites. Residuals of RRS and τa tend to be inversely correlated as deviations in aerosol radiance and water-leaving radiance compensate each other. The spectra of a RRS uncertainty estimate σ decrease in a monotonous manner from 0.7 to 1.5 10−3 sr−1 for wavelengths around 412 nm to 0.1–0.35 10−3 sr−1 around 667 nm, with σ usually relatively high for waters associated with high amplitudes of RRS. At 4</w:t>
      </w:r>
    </w:p>
    <w:p>
      <w:pPr/>
      <w:r>
        <w:rPr>
          <w:b/>
        </w:rPr>
        <w:t>POSSIBLE 2022:</w:t>
      </w:r>
      <w:r>
        <w:t xml:space="preserve"> Climate Change and Renewable Energy Generation in Europe—Long-Term Impact Assessment on Solar and Wind Energy Using High-Resolution Future Climate Data and Considering Climate Uncertainties — https://doi.org/10.3390/en15010302</w:t>
      </w:r>
    </w:p>
    <w:p>
      <w:pPr/>
      <w:r>
        <w:rPr>
          <w:b/>
        </w:rPr>
        <w:t>Shared claim-specific concepts:</w:t>
      </w:r>
      <w:r>
        <w:t xml:space="preserve"> data, uncertainty, three; EU scope visible. This is a provisional connection, not an outcome finding.</w:t>
      </w:r>
    </w:p>
    <w:p>
      <w:pPr>
        <w:pStyle w:val="SourceNote"/>
      </w:pPr>
      <w:r>
        <w:rPr>
          <w:b/>
        </w:rPr>
        <w:t>Available abstract (not full text):</w:t>
      </w:r>
      <w:r>
        <w:t xml:space="preserve"> Climate change can strongly affect renewable energy production. The state of the art in projecting future renewable energy generation has focused on using regional climate prediction. However, regional climate prediction is characterized by inherent uncertainty due to the complexity of climate models. This work provides a comprehensive study to quantify the impact of climate uncertainties in projecting future renewable energy potential over five climate zones of Europe. Thirteen future climate scenarios, including five global climate models (GCMs) and three representative concentration pathways (RCPs), are downscaled by the RCA4 regional climate model (RCM) over 90 years (2010–2099), divided into three 30-year periods. Solar and wind energy production is projected considering short-/long-term climate variations and uncertainties in seven representative cities (Narvik, Gothenburg, Munich, Antwerp, Salzburg, Valencia, and Athens). The results showed that the uncertainty caused by GCMs has the most substantial impact on projecting renewable energy generation. The variations due to GCM selection can become even larger than long-term climate change variations over time. Climate change uncertainties lead to over 23% and 45% projection differences for solar PV and wind energy potential, respectively. While the signal of climate change in solar radiation is weak between scenarios and o</w:t>
      </w:r>
    </w:p>
    <w:p>
      <w:pPr>
        <w:pStyle w:val="Heading2"/>
      </w:pPr>
      <w:r>
        <w:t>679.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2026:</w:t>
      </w:r>
      <w:r>
        <w:t xml:space="preserve"> A Global Benchmark of the Vector-Based Routing Model MizuRoute: Similarities and Divergent Patterns in Simulated River Discharge — https://doi.org/10.3390/w18040485</w:t>
      </w:r>
    </w:p>
    <w:p>
      <w:pPr/>
      <w:r>
        <w:rPr>
          <w:b/>
        </w:rPr>
        <w:t>Shared claim-specific concepts:</w:t>
      </w:r>
      <w:r>
        <w:t xml:space="preserve"> divergent, simulated, generation; EU scope not established. This is a provisional connection, not an outcome finding.</w:t>
      </w:r>
    </w:p>
    <w:p>
      <w:pPr>
        <w:pStyle w:val="SourceNote"/>
      </w:pPr>
      <w:r>
        <w:rPr>
          <w:b/>
        </w:rPr>
        <w:t>Available abstract (not full text):</w:t>
      </w:r>
      <w:r>
        <w:t xml:space="preserve"> Large-scale river modeling has transitioned toward vector-based routing, yet the global fidelity of standalone frameworks like mizuRoute remains poorly characterized due to fragmented observation networks and unquantified systematic biases. This study addresses this gap by establishing a comprehensive global benchmark using a harmonized database of 12,115 in situ gauging stations integrated with multi-dimensional catchment attributes. Simulations utilize the 5 km MERIT-Hydro network driven by ERA5-Land runoff from 1980 to 2024. Our results reveal a robust global median Pearson correlation of 0.53, though simulation efficiency is highly bifurcated with a median Kling–Gupta Efficiency (KGE) of 0.17. High fidelity is concentrated in humid temperate and cold regions, whereas performance collapses in arid zones (median KGE = −0.15) due to the structural omission of channel transmission losses. Attribution analysis identifies the aridity–moisture gradient and vegetation density as primary drivers of model skill, while topographic complexity is well-preserved by the vector framework. Furthermore, anthropogenic regulation significantly degrades accuracy; in basins with high reservoir density, naturalized routing fails to capture regulated flow signatures, leading to a sharp decline in efficiency. This work provides the first global appraisal of the mizuRoute framework and highlights th</w:t>
      </w:r>
    </w:p>
    <w:p>
      <w:pPr/>
      <w:r>
        <w:rPr>
          <w:b/>
        </w:rPr>
        <w:t>POSSIBLE 2026:</w:t>
      </w:r>
      <w:r>
        <w:t xml:space="preserve"> Metabolic rate measurements of two benthic invertebrates under simulated climate change conditions — https://doi.org/10.3897/bdj.14.e187026</w:t>
      </w:r>
    </w:p>
    <w:p>
      <w:pPr/>
      <w:r>
        <w:rPr>
          <w:b/>
        </w:rPr>
        <w:t>Shared claim-specific concepts:</w:t>
      </w:r>
      <w:r>
        <w:t xml:space="preserve"> two, simulated, increasing; EU scope not established. This is a provisional connection, not an outcome finding.</w:t>
      </w:r>
    </w:p>
    <w:p>
      <w:pPr>
        <w:pStyle w:val="SourceNote"/>
      </w:pPr>
      <w:r>
        <w:rPr>
          <w:b/>
        </w:rPr>
        <w:t>Available abstract (not full text):</w:t>
      </w:r>
      <w:r>
        <w:t xml:space="preserve"> Background: Climate change is profoundly altering marine ecosystems through ocean warming and acidification. These stressors are especially pronounced in the Mediterranean Sea, a climate change hotspot projected to warm faster than the global average. Increased temperatures and reduced pH directly affect metabolic processes in marine invertebrates by elevating respiration rates up to species-specific thermal limits, beyond which physiological performance declines. Ocean acidification further disrupts metabolic processes by increasing energetic maintenance costs. Sessile and sedentary marine invertebrates, such as sponges and benthic gastropods, are particularly exposed to such environmental shifts due to their limited ability to escape unfavorable conditions, making physiological plasticity and local adaptation crucial for persistence. New information: . Using a common garden experiment, individuals from North and South Aegean populations were exposed for three months to simulated climate change conditions combining increased temperature and reduced pH. The dataset documents respiration measurements obtained using metabolic chambers after three months of exposure, allowing comparisons across species, geographic origin, and experimental treatments.The dataset accounts for intraspecific variation in these responses, providing insight into potential adaptive differences among geog</w:t>
      </w:r>
    </w:p>
    <w:p>
      <w:pPr/>
      <w:r>
        <w:rPr>
          <w:b/>
        </w:rPr>
        <w:t>POSSIBLE 2025:</w:t>
      </w:r>
      <w:r>
        <w:t xml:space="preserve"> Decarbonisation efforts — https://doi.org/10.4337/9781035356249.00008</w:t>
      </w:r>
    </w:p>
    <w:p>
      <w:pPr/>
      <w:r>
        <w:rPr>
          <w:b/>
        </w:rPr>
        <w:t>Shared claim-specific concepts:</w:t>
      </w:r>
      <w:r>
        <w:t xml:space="preserve"> decarbonisation, key, renewable, energy, carbon; EU scope not established. This is a provisional connection, not an outcome finding.</w:t>
      </w:r>
    </w:p>
    <w:p>
      <w:pPr>
        <w:pStyle w:val="SourceNote"/>
      </w:pPr>
      <w:r>
        <w:rPr>
          <w:b/>
        </w:rPr>
        <w:t>Available abstract (not full text):</w:t>
      </w:r>
      <w:r>
        <w:t xml:space="preserve"> This chapter explores the escalating global challenge of carbon emissions and highlights the urgent need for coordinated action. The chapter begins by examining the magnitude of global carbon emissions and the imperative for rapid decarbonisation to mitigate climate change. It highlights international efforts, showcasing progress and achievements made to date. A key focus is the critical role of decarbonisation in the energy sector and energy-intensive industries, emphasising sectors like cement, iron and steel, petroleum refining, glass production, and manufacturing, which are significant contributors to greenhouse gas emissions. The necessity of transitioning to clean energy alternatives is emphasised, comparing the benefits of renewable energy sources to the drawbacks of continued fossil fuel reliance. The chapter concludes by reinforcing the urgent need for innovative strategies and clean energy technologies to combat climate change and achieve a sustainable energy future.</w:t>
      </w:r>
    </w:p>
    <w:p>
      <w:pPr/>
      <w:r>
        <w:rPr>
          <w:b/>
        </w:rPr>
        <w:t>POSSIBLE 2025:</w:t>
      </w:r>
      <w:r>
        <w:t xml:space="preserve"> Do Energy Security Crises Accelerate Decarbonisation? The Case of REPowerEU — https://doi.org/10.3390/en19010200</w:t>
      </w:r>
    </w:p>
    <w:p>
      <w:pPr/>
      <w:r>
        <w:rPr>
          <w:b/>
        </w:rPr>
        <w:t>Shared claim-specific concepts:</w:t>
      </w:r>
      <w:r>
        <w:t xml:space="preserve"> decarbonisation, renewable, energy; EU scope visible. This is a provisional connection, not an outcome finding.</w:t>
      </w:r>
    </w:p>
    <w:p>
      <w:pPr>
        <w:pStyle w:val="SourceNote"/>
      </w:pPr>
      <w:r>
        <w:rPr>
          <w:b/>
        </w:rPr>
        <w:t>Available abstract (not full text):</w:t>
      </w:r>
      <w:r>
        <w:t xml:space="preserve"> Energy security crises have historically been turning points for energy systems, exposing vulnerabilities, reshaping policy priorities, and boosting technological change. However, whether—and to what extent—such crises accelerate low-carbon transitions remains contested. This paper examines the effects of the 2022 energy crisis on the European Union (EU)’s energy transition, using policy analysis combined with a quantitative assessment of renewable energy trends, forecasts, and targets. We analyse the ambition, implementation, and outcomes of the REPowerEU plan, the main response to the crisis. In an unprecedented move, REPowerEU securitised renewable energy as a means to reduce dependence on Russian energy imports. However, the plan only moderately increased earlier renewable energy targets and did not reverse declining subsidies despite more forceful implementation measures. Its effects have been uneven across technologies. Already accelerating solar may overshoot its targets, onshore wind might only slightly accelerate beyond its current steady growth, and offshore wind remains constrained by economic and institutional uncertainties. Despite increased subsidies for fossil fuels, coal continued declining, oil remained stable, and natural gas dropped. Overall, REPowerEU sustained rather than transformed the EU’s low-carbon transition, illustrating both the potential and limits</w:t>
      </w:r>
    </w:p>
    <w:p>
      <w:pPr/>
      <w:r>
        <w:rPr>
          <w:b/>
        </w:rPr>
        <w:t>POSSIBLE 2025:</w:t>
      </w:r>
      <w:r>
        <w:t xml:space="preserve"> Decarbonisation and specialisation downgrading: The double harm of GVC integration — https://doi.org/10.1016/j.worlddev.2025.107047</w:t>
      </w:r>
    </w:p>
    <w:p>
      <w:pPr/>
      <w:r>
        <w:rPr>
          <w:b/>
        </w:rPr>
        <w:t>Shared claim-specific concepts:</w:t>
      </w:r>
      <w:r>
        <w:t xml:space="preserve"> decarbonisation, findings; EU scope not established. This is a provisional connection, not an outcome finding.</w:t>
      </w:r>
    </w:p>
    <w:p>
      <w:pPr>
        <w:pStyle w:val="SourceNote"/>
      </w:pPr>
      <w:r>
        <w:rPr>
          <w:b/>
        </w:rPr>
        <w:t>Available abstract (not full text):</w:t>
      </w:r>
      <w:r>
        <w:t xml:space="preserve"> This study explores the double harm of Global Value Chain (GVC) integration by analysing the link between the international division of productive activities and emissions. Methodologically, we propose a framework to disentangle the developmental and sectoral origins of CO 2 emissions within GVCs. By providing a granular decomposition of domestic and foreign contributions, we identify foreign backward linkages as the primary carriers of CO 2 emissions along GVCs, surpassing domestic inputs in their CO 2 footprint. From a within-country perspective, we examine how a country’s internal production structure shapes CO 2 emission profiles across development stages, shedding light on the interplay between economic growth and environmental sustainability. At the cross-country level, we analyse how the changing geography of production, and the ensuing sectoral specialisation, impacts global emissions. The relocation of low-tech and natural resources-based productions to developing countries via GVCs has jointly amplified worldwide emissions and reinforced patterns of industrial and ecological downgrading for developing nations. Implications of our findings entail the coupling of environmental, trade and industrial policies.</w:t>
      </w:r>
    </w:p>
    <w:p>
      <w:pPr/>
      <w:r>
        <w:rPr>
          <w:b/>
        </w:rPr>
        <w:t>POSSIBLE 2025:</w:t>
      </w:r>
      <w:r>
        <w:t xml:space="preserve"> The de-politicisation of decarbonisation through climate rent: a Marxist critique of the EU emissions trading system — https://doi.org/10.1017/elo.2024.41</w:t>
      </w:r>
    </w:p>
    <w:p>
      <w:pPr/>
      <w:r>
        <w:rPr>
          <w:b/>
        </w:rPr>
        <w:t>Shared claim-specific concepts:</w:t>
      </w:r>
      <w:r>
        <w:t xml:space="preserve"> two, decarbonisation; EU scope visible. This is a provisional connection, not an outcome finding.</w:t>
      </w:r>
    </w:p>
    <w:p>
      <w:pPr>
        <w:pStyle w:val="SourceNote"/>
      </w:pPr>
      <w:r>
        <w:rPr>
          <w:b/>
        </w:rPr>
        <w:t>Available abstract (not full text):</w:t>
      </w:r>
      <w:r>
        <w:t xml:space="preserve"> Abstract The European Union (EU) Emissions Trading System (ETS) is the cornerstone of the EU’s attempt to decarbonise economic production in Europe. This paper questions the power and class relations that are built into the EU’s choice to address the climate crisis through the legal construction of emissions trading. Drawing on Marxist theory, the paper argues that the cost of emission allowances imposed by the ETS is a form of climate rent . In both the choice of this system and its implementation, the EU prioritises capital accumulation in order to protect the competitiveness of EU firms on the global market. This paper argues that the ETS thus jeopardises the progress of decarbonisation on two grounds. First, the EU’s implementation of the ETS has tended to increase the economic wealth of capital by redistributing economic value away from workers and towards the capitalist class. By raising the cost of essential goods, the ETS will likely damage the reputation of climate action and thus jeopardise public support for decarbonisation. Second, the ETS is part of the EU’s indirect approach to climate policy, which seeks to shape the actions of private capital in the direction of climate objectives. However, the severity of climate change calls instead for the use of law and public power to directly and consciously shape the rapid decarbonisation of society.</w:t>
      </w:r>
    </w:p>
    <w:p>
      <w:pPr/>
      <w:r>
        <w:rPr>
          <w:b/>
        </w:rPr>
        <w:t>POSSIBLE 2025:</w:t>
      </w:r>
      <w:r>
        <w:t xml:space="preserve"> Discourse vs. Decarbonisation: Tracking the Alignment Between EU Climate Rhetoric and National Energy Patterns — https://doi.org/10.3390/en18195304</w:t>
      </w:r>
    </w:p>
    <w:p>
      <w:pPr/>
      <w:r>
        <w:rPr>
          <w:b/>
        </w:rPr>
        <w:t>Shared claim-specific concepts:</w:t>
      </w:r>
      <w:r>
        <w:t xml:space="preserve"> decarbonisation, key, show, energy; EU scope visible. This is a provisional connection, not an outcome finding.</w:t>
      </w:r>
    </w:p>
    <w:p>
      <w:pPr>
        <w:pStyle w:val="SourceNote"/>
      </w:pPr>
      <w:r>
        <w:rPr>
          <w:b/>
        </w:rPr>
        <w:t>Available abstract (not full text):</w:t>
      </w:r>
      <w:r>
        <w:t xml:space="preserve"> This study examines the alignment between the European Union’s climate policy rhetoric and the actual fossil fuel consumption behaviours of its Member States. By combining long-term and short-term time-series data with machine learning classification techniques, the analysis captures dynamic national energy trends and decarbonisation signals. Key innovations include the use of slope acceleration metrics and the identification of label reversals to detect volatility, acceleration, or stagnation in transition trajectories. The results show that, while some countries such as France and Denmark demonstrate consistent structural progress, others show deceleration or reversal, particularly in the use of gas and liquid fuels. This indicates that the relationship between EU-level policy ambition and national implementation is asymmetric and conditionally aligned. This study concludes that ongoing empirical monitoring and targeted diagnostics are essential to prevent conflating symbolic commitments with material change, and provides practical insights for improving climate policy accountability and adaptability across the EU.</w:t>
      </w:r>
    </w:p>
    <w:p>
      <w:pPr/>
      <w:r>
        <w:rPr>
          <w:b/>
        </w:rPr>
        <w:t>POSSIBLE 2025:</w:t>
      </w:r>
      <w:r>
        <w:t xml:space="preserve"> Divergent water balance trajectories under two dominant tree species in montane forest catchment shifting from energy- to water-limitation — https://doi.org/10.5194/hess-29-6003-2025</w:t>
      </w:r>
    </w:p>
    <w:p>
      <w:pPr/>
      <w:r>
        <w:rPr>
          <w:b/>
        </w:rPr>
        <w:t>Shared claim-specific concepts:</w:t>
      </w:r>
      <w:r>
        <w:t xml:space="preserve"> two, divergent; EU scope visible. This is a provisional connection, not an outcome finding.</w:t>
      </w:r>
    </w:p>
    <w:p>
      <w:pPr>
        <w:pStyle w:val="SourceNote"/>
      </w:pPr>
      <w:r>
        <w:rPr>
          <w:b/>
        </w:rPr>
        <w:t>Available abstract (not full text):</w:t>
      </w:r>
      <w:r>
        <w:t xml:space="preserve"> Abstract. Vegetation interacts with both soil moisture and atmospheric conditions, contributing to water flow partitioning at the land surface. Therefore, both climate and land cover changes impact water resource availability. This study aimed to determine the differential effects of climate change on the soil water regime of two common Central European forest types: Norway spruce (Picea abies L.) and European beech (Fagus sylvatica L.) stands. A unique dataset, including 22 years (2000–2021) of measured soil water potentials, was used with a bucket-type soil water balance model to investigate differences in evapotranspiration and groundwater recharge both between the forest types and across years. While long-term column-averaged pressure head indicated drier soil at the spruce site overall, this was driven by the wettest years in the dataset. Seasonal and interannual variability of meteorological conditions drove complex but robust differences in flow partitioning between the forest types. Higher snow interception by spruce (27 mm season-1) resulted in drier soil below the spruce canopy in the cold season. Higher transpiration by beech (70 mm season-1) led to increasingly drier soils over the warm seasons. Low summer precipitation inputs exacerbated soil drying under beech as compared to spruce. Estimated summer recharge was lower under beech (25 mm season-1) due to its lower </w:t>
      </w:r>
    </w:p>
    <w:p>
      <w:pPr/>
      <w:r>
        <w:rPr>
          <w:b/>
        </w:rPr>
        <w:t>POSSIBLE 2024:</w:t>
      </w:r>
      <w:r>
        <w:t xml:space="preserve"> Decarbonisation scenarios for the European residential sector — https://doi.org/10.1016/j.buildenv.2024.112408</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The urgency to combat global climate change has prompted the implementation of many regional and national policies, with the European Green Deal standing out as one of the most significant initiatives. We use the recently developed TIMES-Europe energy system model to study the pivotal role of the residential sector in achieving the ambitious energy savings goal formulated by the EU in the broad framework of its Fit-for-55 policy package. We observe improved energy efficiency in households across a set of scenarios that differ in terms of climate policy ambition and level of collaboration between European countries. We find that, by 2030, residential buildings can realize up to 3000 PJ in overall energy savings. Cross-country collaboration may yield an additional 11% reduction in residential energy consumption, which could increase to 18% when combined with dwelling retrofitting subsidies. Our analysis of the transformation of the residential fuel mix, particularly the interplay between biomass and natural gas usage, reveals a trade-off between short-term energy efficiency gains and long-term CO 2 reduction goals. In the short run, scenarios lacking stringent climate control measures exhibit higher energy savings in comparison to those embracing ambitious climate targets. This initial difference, however, diminishes over time: energy savings from climate-compliant scenarios near</w:t>
      </w:r>
    </w:p>
    <w:p>
      <w:pPr>
        <w:pStyle w:val="Heading2"/>
      </w:pPr>
      <w:r>
        <w:t>680.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project, three, across, approach;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Revisiting the factor structure of the EURO-D, a depressive symptomatology scale: An exploratory graph analysis in 26 European countries — https://doi.org/10.1017/gmh.2026.10204</w:t>
      </w:r>
    </w:p>
    <w:p>
      <w:pPr/>
      <w:r>
        <w:rPr>
          <w:b/>
        </w:rPr>
        <w:t>Shared claim-specific concepts:</w:t>
      </w:r>
      <w:r>
        <w:t xml:space="preserve"> across, approach, applied; EU scope visible. This is a provisional connection, not an outcome finding.</w:t>
      </w:r>
    </w:p>
    <w:p>
      <w:pPr>
        <w:pStyle w:val="SourceNote"/>
      </w:pPr>
      <w:r>
        <w:rPr>
          <w:b/>
        </w:rPr>
        <w:t>Available abstract (not full text):</w:t>
      </w:r>
      <w:r>
        <w:t xml:space="preserve"> Despite the widely use and multiple validations of the EURO-D scale, its factor structure is still under debate. Exploratory Graph Analysis (EGA), a novel network psychometric method, offers a promising approach to examining dimensionality. METHODOLOGY: = 22,567). EGA was applied to the derivation sample to determine the structure of the EURO-D scale, utilizing two estimation methods: Graphical Least Absolute Shrinkage and Selection Operator (GLASSO) and Triangulated Maximally Filtered Graph (TMFG). The identified factor structures were then tested via Confirmatory Factor Analysis (CFA) in the cross-validation sample for model fit. RESULTS: EGA consistently revealed a two-factor structure with minor differences in the placement of suicidality and fatigue items across estimation methods. CFA results confirmed an adequate model fit for both solutions. CONCLUSION: This study combines exploratory (EGA) and confirmatory (CFA) approaches, supporting a two-factor structure for the EU-RO-D scale with alternative placements for fatigue and suicidality items. Results are discussed in contrast to previous studies reporting two and three-factor solutions with different assignments of these items.</w:t>
      </w:r>
    </w:p>
    <w:p>
      <w:pPr/>
      <w:r>
        <w:rPr>
          <w:b/>
        </w:rPr>
        <w:t>POSSIBLE 2024:</w:t>
      </w:r>
      <w:r>
        <w:t xml:space="preserve"> A multi-level and multi-scale design approach supporting sustainable mobility and healthier living: AIR BREAK project in Ferrara, Italy — https://doi.org/10.1080/23748834.2024.2349862</w:t>
      </w:r>
    </w:p>
    <w:p>
      <w:pPr/>
      <w:r>
        <w:rPr>
          <w:b/>
        </w:rPr>
        <w:t>Shared claim-specific concepts:</w:t>
      </w:r>
      <w:r>
        <w:t xml:space="preserve"> project, funded, key, affect, approach; EU scope visible. This is a provisional connection, not an outcome finding.</w:t>
      </w:r>
    </w:p>
    <w:p>
      <w:pPr>
        <w:pStyle w:val="SourceNote"/>
      </w:pPr>
      <w:r>
        <w:rPr>
          <w:b/>
        </w:rPr>
        <w:t>Available abstract (not full text):</w:t>
      </w:r>
      <w:r>
        <w:t xml:space="preserve"> The city of Ferrara, also known as the Italian city of bikes, records alarming levels of air pollutants, primarily from private motorized traffic, despite its cycling rates are amongst the highest in Europe. Local authority, in its commitment to driving improvements to air quality and taking care of citizens’ wellbeing, submitted an ambitious project proposal to European Union program Urban Innovative Actions, AIR BREAK - Co-producing healthy clean commuting air spots in town, which was selected amid hundreds submissions and funded with a total budget of 5 million euros. AIR BREAK tackles urban air pollution through several actions, very different from one another, encompassing multiple scales and domains: from sensor monitoring systems to greenery and street furniture design. The project described in this paper adopted a multi-level design approach acting on both physical and cultural environments, that greatly affect citizens’ behaviour and their everyday choices. Community involvement in mapping air quality as well as public spaces intervention that support sustainable mobility and extend the range of activities that can be carried out in the outdoors are here presented and discussed, as key points for successful implementation and replication in other cities, for a healthier and more attractive public realm.</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project, funded, horizon,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2023:</w:t>
      </w:r>
      <w:r>
        <w:t xml:space="preserve"> Forty years of soil research funded by the European Commission: Trends and future. A systematic review of research projects — https://doi.org/10.1111/ejss.13423</w:t>
      </w:r>
    </w:p>
    <w:p>
      <w:pPr/>
      <w:r>
        <w:rPr>
          <w:b/>
        </w:rPr>
        <w:t>Shared claim-specific concepts:</w:t>
      </w:r>
      <w:r>
        <w:t xml:space="preserve"> funded, horizon, three, key, affect; EU scope visible. This is a provisional connection, not an outcome finding.</w:t>
      </w:r>
    </w:p>
    <w:p>
      <w:pPr>
        <w:pStyle w:val="SourceNote"/>
      </w:pPr>
      <w:r>
        <w:rPr>
          <w:b/>
        </w:rPr>
        <w:t>Available abstract (not full text):</w:t>
      </w:r>
      <w:r>
        <w:t xml:space="preserve"> Abstract The European Green Deal with its high ambition has set the European Union (EU) on a promising path towards greater soil protection. The EU Soil Strategy 2030, the Biodiversity Strategy 2030, the Farm to Fork Strategy, the Zero Pollution, the Nature Restoration Law and the European Climate Law, among others, include actions to protect our soils. Research and Innovation (R&amp;I) will play a key role in developing new knowledge and tools enabling the transition to healthy soils. The main aim of this paper is to analyse past and near‐future trends in EU's funding for R&amp;I on soil‐related issues. For this purpose, a review of EU‐funded soil projects was conducted based on the data available in the Community Research and Development Information Service and the official portal for European data. Our analysis shows that over the past 40 years, the EU has invested significantly in developing integrated knowledge about the relationships between soil functions and ecosystem services and how human‐induced pressures affect soil health. Following the adoption of the EU Soil Thematic Strategy in 2006, there was an increase in research funding for soil‐related research. Furthermore, our analysis also illustrates an interesting interplay of permanent and changing soil themes. The Horizon Europe Mission ‘A Soil Deal for Europe’, which aims to establish a network of 100 living labs and light</w:t>
      </w:r>
    </w:p>
    <w:p>
      <w:pPr/>
      <w:r>
        <w:rPr>
          <w:b/>
        </w:rPr>
        <w:t>POSSIBLE 2023:</w:t>
      </w:r>
      <w:r>
        <w:t xml:space="preserve"> Changes in Temperature and Precipitation Trends in Selected Polish Cities Based on the Results of Regional EURO-CORDEX Climate Models in the 2030–2050 Horizon — https://doi.org/10.3390/app14010009</w:t>
      </w:r>
    </w:p>
    <w:p>
      <w:pPr/>
      <w:r>
        <w:rPr>
          <w:b/>
        </w:rPr>
        <w:t>Shared claim-specific concepts:</w:t>
      </w:r>
      <w:r>
        <w:t xml:space="preserve"> horizon, three, key, approach; EU scope not established. This is a provisional connection, not an outcome finding.</w:t>
      </w:r>
    </w:p>
    <w:p>
      <w:pPr>
        <w:pStyle w:val="SourceNote"/>
      </w:pPr>
      <w:r>
        <w:rPr>
          <w:b/>
        </w:rPr>
        <w:t>Available abstract (not full text):</w:t>
      </w:r>
      <w:r>
        <w:t xml:space="preserve"> This study presents the potential impacts of climate change in 49 Polish cities by analyzing seven climate indicators. The analysis was carried out for the following three horizons: the current climate conditions (an average period spanning 2006 to 2015), near-future conditions (an average period spanning 2026 to 2035), and future conditions (an average period spanning 2046 to 2055). Climate indices were computed with bias-corrected EURO-CORDEX model ensembles from two Representative Concentration Pathway scenarios, RCP4.5 and RCP8.5. The systematic error was reduced using the quantile mapping method with a non-parametric approach of robust empirical quantiles (RQUANT). Data were used as references in the period of current climate conditions, and those required for bias correction consisted of historical ground-based observations provided by the Institute of Meteorology and Water Management. The analysis encompassed various key climate indices, including the annual average temperature, the count of hot days, cold days, and frost days, the cumulative annual precipitation, the frequency of days with precipitation, and instances of extreme precipitation (defined as the days with precipitation exceeding 10 mm/day). These findings reveal a noteworthy rise in the average annual temperature of approximately 1 °C and an uptick in the number of hot days by 3.7 days. Conversely, a declin</w:t>
      </w:r>
    </w:p>
    <w:p>
      <w:pPr/>
      <w:r>
        <w:rPr>
          <w:b/>
        </w:rPr>
        <w:t>POSSIBLE 2023:</w:t>
      </w:r>
      <w:r>
        <w:t xml:space="preserve"> New Horizons in artificial intelligence in the healthcare of older people — https://doi.org/10.1093/ageing/afad219</w:t>
      </w:r>
    </w:p>
    <w:p>
      <w:pPr/>
      <w:r>
        <w:rPr>
          <w:b/>
        </w:rPr>
        <w:t>Shared claim-specific concepts:</w:t>
      </w:r>
      <w:r>
        <w:t xml:space="preserve"> three, approach, identification; EU scope not established. This is a provisional connection, not an outcome finding.</w:t>
      </w:r>
    </w:p>
    <w:p>
      <w:pPr>
        <w:pStyle w:val="SourceNote"/>
      </w:pPr>
      <w:r>
        <w:rPr>
          <w:b/>
        </w:rPr>
        <w:t>Available abstract (not full text):</w:t>
      </w:r>
      <w:r>
        <w:t xml:space="preserve"> Artificial intelligence (AI) in healthcare describes algorithm-based computational techniques which manage and analyse large datasets to make inferences and predictions. There are many potential applications of AI in the care of older people, from clinical decision support systems that can support identification of delirium from clinical records to wearable devices that can predict the risk of a fall. We held four meetings of older people, clinicians and AI researchers. Three priority areas were identified for AI application in the care of older people. These included: monitoring and early diagnosis of disease, stratified care and care coordination between healthcare providers. However, the meetings also highlighted concerns that AI may exacerbate health inequity for older people through bias within AI models, lack of external validation amongst older people, infringements on privacy and autonomy, insufficient transparency of AI models and lack of safeguarding for errors. Creating effective interventions for older people requires a person-centred approach to account for the needs of older people, as well as sufficient clinical and technological governance to meet standards of generalisability, transparency and effectiveness. Education of clinicians and patients is also needed to ensure appropriate use of AI technologies, with investment in technological infrastructure required </w:t>
      </w:r>
    </w:p>
    <w:p>
      <w:pPr/>
      <w:r>
        <w:rPr>
          <w:b/>
        </w:rPr>
        <w:t>POSSIBLE 2022:</w:t>
      </w:r>
      <w:r>
        <w:t xml:space="preserve"> The effectiveness of the sports management system in Europe: High achievements, public funding and a healthy lifestyle — https://doi.org/10.14254/2071-789x.2022/15-4/13</w:t>
      </w:r>
    </w:p>
    <w:p>
      <w:pPr/>
      <w:r>
        <w:rPr>
          <w:b/>
        </w:rPr>
        <w:t>Shared claim-specific concepts:</w:t>
      </w:r>
      <w:r>
        <w:t xml:space="preserve"> three, approach, engaged; EU scope visible. This is a provisional connection, not an outcome finding.</w:t>
      </w:r>
    </w:p>
    <w:p>
      <w:pPr>
        <w:pStyle w:val="SourceNote"/>
      </w:pPr>
      <w:r>
        <w:rPr>
          <w:b/>
        </w:rPr>
        <w:t>Available abstract (not full text):</w:t>
      </w:r>
      <w:r>
        <w:t xml:space="preserve"> The article proposes an original approach to evaluating the effectiveness of the sports management system, which differs from the classical linear and non-linear optimization methods due to its use of quantile regression models. Three main indicators were chosen for creating the quantile regressions: (i) number of participants in the Olympic Games - as a feature of the effectiveness of the high-achievement sports; (ii) total number of people engaged in sports - as a feature of an effective mass sports system, which ensures a healthy lifestyle of the population; and (iii) state expenses on recreational and sports services. The quality of quantile regressions was validated by the Fisher test and the two-factor variance analysis. The research focused on the data of 30 European countries, which officially and publicly provide access to statistical reports on these issues. The countries were divided into two groups with above-average and below-average effectiveness of the sports management system. Two hypotheses were proposed and tested in the study. Hypothesis H1 was that the effectiveness of high-achievement sports depends on the amount of state funding for developing the sports industry. Research results confirmed this hypothesis for countries with an above-average level of sports management system effectiveness, but refuted it for the other group. Hypothesis H2 stated that the m</w:t>
      </w:r>
    </w:p>
    <w:p>
      <w:pPr/>
      <w:r>
        <w:rPr>
          <w:b/>
        </w:rPr>
        <w:t>POSSIBLE 2022:</w:t>
      </w:r>
      <w:r>
        <w:t xml:space="preserve"> Collaborative development of composite indices from qualitative value judgements: The EURO-HEALTHY Population Health Index model — https://doi.org/10.1016/j.ejor.2022.05.037</w:t>
      </w:r>
    </w:p>
    <w:p>
      <w:pPr/>
      <w:r>
        <w:rPr>
          <w:b/>
        </w:rPr>
        <w:t>Shared claim-specific concepts:</w:t>
      </w:r>
      <w:r>
        <w:t xml:space="preserve"> euro-healthy, project, developed, key, inequalities, across; EU scope visible. This is a provisional connection, not an outcome finding.</w:t>
      </w:r>
    </w:p>
    <w:p>
      <w:pPr>
        <w:pStyle w:val="SourceNote"/>
      </w:pPr>
      <w:r>
        <w:rPr>
          <w:b/>
        </w:rPr>
        <w:t>Available abstract (not full text):</w:t>
      </w:r>
      <w:r>
        <w:t xml:space="preserve"> Promoting participation and combining evidence with expert knowledge in constructing composite indices that can be meaningfully interpreted are key open challenges identified in performance measurement literature. To address them, this article proposes a sociotechnical decision-aid process, under a collaborative value-modelling framework, rooted in both process consultation and multicriteria value measurement principles. It consists of two phases (structuring and model building), each one developed in a sequence of non-face-to-face (Web-Delphi) and face-to-face (decision conferencing) group processes, designed to allow for increased participation. Performance indicators are selected and structured in a value-tree (phase one), upon which a group hierarchical additive value-function model is built (phase two), supported by the MACBETH multicriteria decision-support system. Collaborative questioning protocols allow to elicit and reconcile individual qualitative value judgements, in a Web-Delphi platform. The collective knowledge thus acquired is used in decision conferencing with a core group to define value functions and weights. Extensive sensitivity and robustness analyses serve to test the requisiteness of the model, giving rise to a shared structure of composite indices. The proposed approach was shaped within the EURO-HEALTHY project, to create a Population Health Index inte</w:t>
      </w:r>
    </w:p>
    <w:p>
      <w:pPr/>
      <w:r>
        <w:rPr>
          <w:b/>
        </w:rPr>
        <w:t>POSSIBLE 2022:</w:t>
      </w:r>
      <w:r>
        <w:t xml:space="preserve"> (Healthy) Aging Patterns in Europe: A Multistate Health Transition Approach — https://doi.org/10.1007/s12062-022-09403-4</w:t>
      </w:r>
    </w:p>
    <w:p>
      <w:pPr/>
      <w:r>
        <w:rPr>
          <w:b/>
        </w:rPr>
        <w:t>Shared claim-specific concepts:</w:t>
      </w:r>
      <w:r>
        <w:t xml:space="preserve"> factors, across, approach; EU scope visible. This is a provisional connection, not an outcome finding.</w:t>
      </w:r>
    </w:p>
    <w:p>
      <w:pPr>
        <w:pStyle w:val="SourceNote"/>
      </w:pPr>
      <w:r>
        <w:rPr>
          <w:b/>
        </w:rPr>
        <w:t>Available abstract (not full text):</w:t>
      </w:r>
      <w:r>
        <w:t xml:space="preserve"> We explore patterns and determinants of health transition probabilities by combining outcomes of morbidity and mortality to examine different aging patterns across Europe, and to ascertain how individual socio-demographic characteristics modify these patterns. We use panel data from the Survey of Health, Ageing and Retirement in Europe (2004- 2017) for 76,536 individuals aged 50 + in 20 European countries who participated in at least two waves. All transition probabilities were calculated applying a multistate analytical approach. Our findings show significant gender, education, and cohort differences in health transition probabilities and marked cross-country group differences. Central and Northern European countries present lower probabilities of health deterioration than Southern and, especially, Eastern European countries. Having a high level of education, living in Central Europe, and being younger are associated with lower probabilities of health deterioration and, if any, a higher probability of being restored to good health. We found less evidence of differences when transitions end in death. Our study contributes to this line of research by implementing a multistate approach using European harmonized panel dataset, to examine the effects of birth cohort, educational attainment and gender differences on health transitions. Our findings point to the need to consider the </w:t>
      </w:r>
    </w:p>
    <w:p>
      <w:pPr/>
      <w:r>
        <w:rPr>
          <w:b/>
        </w:rPr>
        <w:t>POSSIBLE 2022:</w:t>
      </w:r>
      <w:r>
        <w:t xml:space="preserve"> Challenges in the implementation of responsible research and innovation across Horizon 2020 — https://doi.org/10.1080/23299460.2022.2101211</w:t>
      </w:r>
    </w:p>
    <w:p>
      <w:pPr/>
      <w:r>
        <w:rPr>
          <w:b/>
        </w:rPr>
        <w:t>Shared claim-specific concepts:</w:t>
      </w:r>
      <w:r>
        <w:t xml:space="preserve"> horizon, developed, across; EU scope visible. This is a provisional connection, not an outcome finding.</w:t>
      </w:r>
    </w:p>
    <w:p>
      <w:pPr>
        <w:pStyle w:val="SourceNote"/>
      </w:pPr>
      <w:r>
        <w:rPr>
          <w:b/>
        </w:rPr>
        <w:t>Available abstract (not full text):</w:t>
      </w:r>
      <w:r>
        <w:t xml:space="preserve"> In the last decade, the European Commission (EC) developed an ambitious strategy to promote RRI across the Horizon 2020 Framework Programme for Research and Innovation (H2020). This effort resulted in a significant number of European-funded projects that substantially expanded the available knowledge of the theory, methods and implementation of RRI. However, various evaluations and studies revealed a limited and diffuse implementation of the concept. In this article, we aim to shed some light on this matter with a study covering eight programme lines of H2020 (ERC, MSCA, LEIT, FOOD, ENV, SEC, WIDENING and EURATOM). We employ an extensive policy document analysis and 112 semi-structured interviews carried out with various stakeholders. We argue that the limited implementation of RRI in H2020 is the result of conflicts with existing values, science cultures, economic objectives, restricted resources for its implementation and a lack of clarification around what RRI means.</w:t>
      </w:r>
    </w:p>
    <w:p>
      <w:pPr>
        <w:pStyle w:val="Heading2"/>
      </w:pPr>
      <w:r>
        <w:t>681.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2026:</w:t>
      </w:r>
      <w:r>
        <w:t xml:space="preserve"> Factors determining digitalization in Polish companies in the context of the European industrial strategy — https://doi.org/10.29119/1641-3466.2026.246.5</w:t>
      </w:r>
    </w:p>
    <w:p>
      <w:pPr/>
      <w:r>
        <w:rPr>
          <w:b/>
        </w:rPr>
        <w:t>Shared claim-specific concepts:</w:t>
      </w:r>
      <w:r>
        <w:t xml:space="preserve"> purpose, identify, factors, determining, within; EU scope visible. This is a provisional connection, not an outcome finding.</w:t>
      </w:r>
    </w:p>
    <w:p>
      <w:pPr>
        <w:pStyle w:val="SourceNote"/>
      </w:pPr>
      <w:r>
        <w:rPr>
          <w:b/>
        </w:rPr>
        <w:t>Available abstract (not full text):</w:t>
      </w:r>
      <w:r>
        <w:t xml:space="preserve"> Purpose: The purpose of this study was to identify and analyse the key factors that shape and drive the digitalisation processes of Polish enterprises within the broader framework of the European Industrial Strategy. More specifically, the study aimed to determine the significance of individual entrepreneurial ecosystem components—particularly government policy, institutional support, relational networks, and human‑capital capacities—in influencing firms’ progress toward digital transformation. Design/methodology/approach: The starting point for the research discussed in this article was to determine the degree of identification, significance, and comparison of the elements of the ecosystem, with a particular focus on the role of higher education institutions. Higher education institutions are a significant component considered in most economic development policies, as they play a crucial role in transferring knowledge and scientific achievements to businesses and are vital in building national, sectoral, and technological ecosystems. To achieve this goal, data was collected using the CATI method in a nationwide study of enterprises (n = 302). Findings: The research findings indicated a weak identification of the elements of the entrepreneurial ecosystem within the processes of digitalisation. Furthermore, it revealed that government policy is the best-identified element of the</w:t>
      </w:r>
    </w:p>
    <w:p>
      <w:pPr/>
      <w:r>
        <w:rPr>
          <w:b/>
        </w:rPr>
        <w:t>POSSIBLE 2025:</w:t>
      </w:r>
      <w:r>
        <w:t xml:space="preserve"> Pedoclimatic, knowledge and management factors drive European soybean and faba bean yields — https://doi.org/10.1007/s13593-025-01056-9</w:t>
      </w:r>
    </w:p>
    <w:p>
      <w:pPr/>
      <w:r>
        <w:rPr>
          <w:b/>
        </w:rPr>
        <w:t>Shared claim-specific concepts:</w:t>
      </w:r>
      <w:r>
        <w:t xml:space="preserve"> therefore, purpose, identify, factors; EU scope visible. This is a provisional connection, not an outcome finding.</w:t>
      </w:r>
    </w:p>
    <w:p>
      <w:pPr>
        <w:pStyle w:val="SourceNote"/>
      </w:pPr>
      <w:r>
        <w:rPr>
          <w:b/>
        </w:rPr>
        <w:t>Available abstract (not full text):</w:t>
      </w:r>
      <w:r>
        <w:t xml:space="preserve"> Abstract The low usage of grain legumes in European cropping systems is often attributed to yield gaps due to limiting pedoclimatic conditions, sub-optimal management practices, and farmers’ limited experience and knowledge in growing these crops. The relative contributions of these factors to current grain legume yield gaps at European scale and, in particular, the difference between yields achieved by experienced farmers and those achieved by novices remain unknown. We therefore explored the relationship between yields and these different factors, to identify areas where farmers require more support to close the yield gaps in grain legume production. To this purpose, we conducted a large-scale online farmer survey in nine European countries with a focus on soybean and faba bean. For both crops, classification and regression tree analysis identified country of production as the primary explanatory variable of yield variation and confirmed the hypothesis that greater experience and knowledge is associated with higher yields. However, the effect of several factors differed between the crops, showing the need for legume-specific strategies. Experience and knowledge were particularly important for soybean, although also relevant for faba bean in low-yielding environments. Other important factors identified to determine yield for soybean included farm specialization, agroclimatic z</w:t>
      </w:r>
    </w:p>
    <w:p>
      <w:pPr/>
      <w:r>
        <w:rPr>
          <w:b/>
        </w:rPr>
        <w:t>POSSIBLE 2024:</w:t>
      </w:r>
      <w:r>
        <w:t xml:space="preserve"> FACTOR ANALYSIS OF DEMAND FOR INDONESIAN NICKEL EXPORTS IN EUROPE — https://openalex.org/W7218287029</w:t>
      </w:r>
    </w:p>
    <w:p>
      <w:pPr/>
      <w:r>
        <w:rPr>
          <w:b/>
        </w:rPr>
        <w:t>Shared claim-specific concepts:</w:t>
      </w:r>
      <w:r>
        <w:t xml:space="preserve"> therefore, purpose, factors, four; EU scope visible. This is a provisional connection, not an outcome finding.</w:t>
      </w:r>
    </w:p>
    <w:p>
      <w:pPr>
        <w:pStyle w:val="SourceNote"/>
      </w:pPr>
      <w:r>
        <w:rPr>
          <w:b/>
        </w:rPr>
        <w:t>Available abstract (not full text):</w:t>
      </w:r>
      <w:r>
        <w:t xml:space="preserve"> The purpose of this study is to determine the demand factors for Indonesian nickel exports in Europe. Regarding the formulation of the problem in this study, what are the factors for the demand for Indonesian nickel by Europe. Although the research method used is qualitative. Based on the results of this study it can be concluded that Nickel is a silvery-white hard metal with a slight luster of gold pattern. Nickel itself is a metal that is strong, dense, durable, heat and corrosion resistant. In addition, nickel is also a metal with good conductors of electricity and heat and one of the four very important metal elements because this metal is ferromagnetic or can be said to be easily magnetized at certain room temperatures. Therefore, nickel has a variety of uses that can be utilized in a variety of products. One of them is the raw material for making cables. Nickel is a scarce natural resource, therefore countries that do not have this natural resource must import it from producing countries. At the same time, producing countries must ensure that there are no shortages.</w:t>
      </w:r>
    </w:p>
    <w:p>
      <w:pPr/>
      <w:r>
        <w:rPr>
          <w:b/>
        </w:rPr>
        <w:t>POSSIBLE 2024:</w:t>
      </w:r>
      <w:r>
        <w:t xml:space="preserve"> Factors of Credit Ratings for Transfer Pricing of Loans in European Conditions — https://doi.org/10.18267/j.polek.1421</w:t>
      </w:r>
    </w:p>
    <w:p>
      <w:pPr/>
      <w:r>
        <w:rPr>
          <w:b/>
        </w:rPr>
        <w:t>Shared claim-specific concepts:</w:t>
      </w:r>
      <w:r>
        <w:t xml:space="preserve"> therefore, purpose, identify, factors, cross-border; EU scope visible. This is a provisional connection, not an outcome finding.</w:t>
      </w:r>
    </w:p>
    <w:p>
      <w:pPr>
        <w:pStyle w:val="SourceNote"/>
      </w:pPr>
      <w:r>
        <w:rPr>
          <w:b/>
        </w:rPr>
        <w:t>Available abstract (not full text):</w:t>
      </w:r>
      <w:r>
        <w:t xml:space="preserve"> In accord with international transfer pricing regulations, the borrower's creditworthiness is the main factor to be reflected in valuation of cross-border loan transactions between associated enterprises. However, trouble invariably arises for small and medium-sized enterprises that do not have an assigned credit rating. The aim of this paper is to determine the most reliable predictors of a company's credit rating for European entities facing missing rating coverage for the purpose of transfer pricing. Based on 2015-2019 data sourced from the Orbis database, the study examines key financial ratios and non-financial information that could be instrumental in reconstructing a long-term rating category of a company assigned by Moody's Investors Service. The results identify interest coverage as the most useful predictor. Therefore, a law-approved and tax-acceptable approach to pricing of financial transactions between unrated parties (i.e., without credit rating) should preferably exploit interest coverage as a link to the otherwise missing ratings.</w:t>
      </w:r>
    </w:p>
    <w:p>
      <w:pPr/>
      <w:r>
        <w:rPr>
          <w:b/>
        </w:rPr>
        <w:t>POSSIBLE 2024:</w:t>
      </w:r>
      <w:r>
        <w:t xml:space="preserve"> The Devil in the details: The factors determining the selection of intrazonal congestion management methods across Europe — https://doi.org/10.1016/j.heliyon.2024.e26610</w:t>
      </w:r>
    </w:p>
    <w:p>
      <w:pPr/>
      <w:r>
        <w:rPr>
          <w:b/>
        </w:rPr>
        <w:t>Shared claim-specific concepts:</w:t>
      </w:r>
      <w:r>
        <w:t xml:space="preserve"> identify, factors, determining; EU scope visible. This is a provisional connection, not an outcome finding.</w:t>
      </w:r>
    </w:p>
    <w:p>
      <w:pPr>
        <w:pStyle w:val="SourceNote"/>
      </w:pPr>
      <w:r>
        <w:rPr>
          <w:b/>
        </w:rPr>
        <w:t>Available abstract (not full text):</w:t>
      </w:r>
      <w:r>
        <w:t xml:space="preserve"> The European electricity market is becoming increasingly interconnected, raising questions about how intrazonal congestion management, typically governed by national regulations, interacts with the coupled cross-zonal markets. A major concern is the lack of information regarding intrazonal congestion management methods. This paper addresses this issue by examining different ways in which European transmission system operators (TSOs) use third-party resources to manage congestion in short-term electricity markets. We create a decision-tree-based classification to represent all identified congestion management methods and select three cases for comprehensive evaluation using predefined assessment criteria. While doing so, we identify a trade-off between efficiency and ease of implementation. The balance between these two factors is determined by the severity of the congestion. In a severely congested grid, locational signals are critical, requiring a better alignment between the network representation in the market clearing and the physical network constraints. When the congestion is less severe, TSOs can choose other congestion management methods based on factors such as the predictability of congestion and resource availability. These findings shed light on the complexities of congestion management in an integrated European market and can inform future policy decisions.</w:t>
      </w:r>
    </w:p>
    <w:p>
      <w:pPr/>
      <w:r>
        <w:rPr>
          <w:b/>
        </w:rPr>
        <w:t>POSSIBLE 2023:</w:t>
      </w:r>
      <w:r>
        <w:t xml:space="preserve"> The European health data space: Too big to succeed? — https://doi.org/10.1016/j.healthpol.2023.104861</w:t>
      </w:r>
    </w:p>
    <w:p>
      <w:pPr/>
      <w:r>
        <w:rPr>
          <w:b/>
        </w:rPr>
        <w:t>Shared claim-specific concepts:</w:t>
      </w:r>
      <w:r>
        <w:t xml:space="preserve"> therefore, region; EU scope visible. This is a provisional connection, not an outcome finding.</w:t>
      </w:r>
    </w:p>
    <w:p>
      <w:pPr>
        <w:pStyle w:val="SourceNote"/>
      </w:pPr>
      <w:r>
        <w:rPr>
          <w:b/>
        </w:rPr>
        <w:t>Available abstract (not full text):</w:t>
      </w:r>
      <w:r>
        <w:t xml:space="preserve"> In May 2022, the European Commission issued the Proposal for a Regulation on the European Health Data Space (EHDS), with the aims of granting citizens increased access to and control of their (electronic) health data across the EU, and facilitating health data re-use for research, innovation, and policymaking. As the first in a series of European domain-specific "data spaces", the EHDS is a high-stakes development that will transform health data governance in the EU region. As an international consortium of experts from health policy, law, ethics and the social sciences, we are concerned that the EHDS Proposal will detract from, rather than lead to the achievement of, its stated aims. We are in no doubt on the benefits of using health data for secondary purposes, and we appreciate attempts to facilitate such uses across borders in a carefully curated manner. Based on the current draft Regulation, however, the EHDS risks undermining rather than enhancing patient control over data; hindering rather than facilitating the work of health professionals and researchers; and eroding rather than increasing the public value generated through health data sharing. Therefore, significant adjustments are needed if the EHDS is to realize its promised benefits. Besides analyzing the implications for key groups and European societies at large who will be affected by the implementation of the EH</w:t>
      </w:r>
    </w:p>
    <w:p>
      <w:pPr/>
      <w:r>
        <w:rPr>
          <w:b/>
        </w:rPr>
        <w:t>POSSIBLE 2023:</w:t>
      </w:r>
      <w:r>
        <w:t xml:space="preserve"> Determining a Worldwide Prevalence of Oculocutaneous Albinism: A Systematic Review — https://doi.org/10.1167/iovs.64.10.14</w:t>
      </w:r>
    </w:p>
    <w:p>
      <w:pPr/>
      <w:r>
        <w:rPr>
          <w:b/>
        </w:rPr>
        <w:t>Shared claim-specific concepts:</w:t>
      </w:r>
      <w:r>
        <w:t xml:space="preserve"> therefore, purpose, factors, determining, four; EU scope visible. This is a provisional connection, not an outcome finding.</w:t>
      </w:r>
    </w:p>
    <w:p>
      <w:pPr>
        <w:pStyle w:val="SourceNote"/>
      </w:pPr>
      <w:r>
        <w:rPr>
          <w:b/>
        </w:rPr>
        <w:t>Available abstract (not full text):</w:t>
      </w:r>
      <w:r>
        <w:t xml:space="preserve"> Purpose: The aim of this systematic review was to investigate the available data on the epidemiology of oculocutaneous albinism (OCA) around the world, and to determine whether a generalizable, worldwide prevalence figure could be proposed. Methods: Extensive literature search strategies were conducted, interrogating PubMed, Scopus, and Web of Science, to locate relevant literature. Ultimately 34 studies reporting original data were included for analysis. Results: Findings showed that most data were outdated, and only 6 of 34 articles (18%) were published after 2010. There were few good studies with sound methodology and large, clearly defined population samples. Only a small proportion of countries worldwide (26/193 [13%]) have produced prevalence figures for OCA. By continent, African studies were disproportionately represented (15/34 [44%]). The highest prevalence rates (range, 1 in 22 to 1 in 1300; mean, 1 in 464) were reported in population isolates. The mean prevalence from four African countries was 1 in 4264 (range, 1 in 1755 to 1 in 7900). Prevalence for three countries in Europe (mean, 1 in 12,000; range, 1 in 10,000 to 1 in 15,000) may be underestimated, as the phenotype, in fair-skinned populations, may be missed or misdiagnosed as ocular albinism or isolated visual impairment. Population rates may vary depending on local cultural factors (e.g., consanguineous matin</w:t>
      </w:r>
    </w:p>
    <w:p>
      <w:pPr/>
      <w:r>
        <w:rPr>
          <w:b/>
        </w:rPr>
        <w:t>POSSIBLE 2022:</w:t>
      </w:r>
      <w:r>
        <w:t xml:space="preserve"> The Regional Development Trap in Europe — https://doi.org/10.1080/00130095.2022.2080655</w:t>
      </w:r>
    </w:p>
    <w:p>
      <w:pPr/>
      <w:r>
        <w:rPr>
          <w:b/>
        </w:rPr>
        <w:t>Shared claim-specific concepts:</w:t>
      </w:r>
      <w:r>
        <w:t xml:space="preserve"> identify, regional;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Nature-Based Solutions in Urban Areas: A European Analysis — https://doi.org/10.3390/app13010168</w:t>
      </w:r>
    </w:p>
    <w:p>
      <w:pPr/>
      <w:r>
        <w:rPr>
          <w:b/>
        </w:rPr>
        <w:t>Shared claim-specific concepts:</w:t>
      </w:r>
      <w:r>
        <w:t xml:space="preserve"> therefore, purpose, identify, within;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r>
        <w:rPr>
          <w:b/>
        </w:rPr>
        <w:t>POSSIBLE 2022:</w:t>
      </w:r>
      <w:r>
        <w:t xml:space="preserve"> Soil Governance in current European Union Law and in the European Green Deal — https://doi.org/10.1016/j.soisec.2022.100053</w:t>
      </w:r>
    </w:p>
    <w:p>
      <w:pPr/>
      <w:r>
        <w:rPr>
          <w:b/>
        </w:rPr>
        <w:t>Shared claim-specific concepts:</w:t>
      </w:r>
      <w:r>
        <w:t xml:space="preserve"> therefore, purpose, set; EU scope visible. This is a provisional connection, not an outcome finding.</w:t>
      </w:r>
    </w:p>
    <w:p>
      <w:pPr>
        <w:pStyle w:val="SourceNote"/>
      </w:pPr>
      <w:r>
        <w:rPr>
          <w:b/>
        </w:rPr>
        <w:t>Available abstract (not full text):</w:t>
      </w:r>
      <w:r>
        <w:t xml:space="preserve"> The chapter deals with the system of soil governance in the European Union and focuses on legal instruments for the protection and sustainable use of soil. In addition, other aspects of soil governance, like the policies, strategies, and the processes of decision-making, are addressed. Reference points for this assessment are the identified soil threats in the EU and the need for soil protection, based on the results of scientific studies, especially of the Intergovernmental Platform on Climate Change ( IPCC 2019 ) and the Intergovernmental Science-Policy Platform on Biodiversity and Ecosystem Services ( IP-BES 2018 ). Currently, there is no comprehensive directive to address soil threats and soil-related issues in a coherent way in the European Union, although several legal instruments refer to certain soil threats, mainly in the field of soil pollution. The European Union has the competence for soil legislation and, on the basis of the principle of subsidiarity, would be legally able to enact it. Therefore, the current mosaic of approaches can be overcome and replaced by an overall harmonised and comprehensive EU soil protection framework. This is all the more true as the United Nations' 2030 Agenda has set in motion a process that will have far-reaching implications for connected thinking: Sustainable Development Goal 15 and its target 15.3 stipulate that land degradation ne</w:t>
      </w:r>
    </w:p>
    <w:p>
      <w:pPr/>
      <w:r>
        <w:rPr>
          <w:b/>
        </w:rPr>
        <w:t>POSSIBLE 2022:</w:t>
      </w:r>
      <w:r>
        <w:t xml:space="preserve"> Econometric analysis of influence by the factors on the volume of shadow economy in the countries of Europe — https://doi.org/10.1108/jfc-08-2022-0176</w:t>
      </w:r>
    </w:p>
    <w:p>
      <w:pPr/>
      <w:r>
        <w:rPr>
          <w:b/>
        </w:rPr>
        <w:t>Shared claim-specific concepts:</w:t>
      </w:r>
      <w:r>
        <w:t xml:space="preserve"> therefore, purpose, identify, factors, within; EU scope visible. This is a provisional connection, not an outcome finding.</w:t>
      </w:r>
    </w:p>
    <w:p>
      <w:pPr>
        <w:pStyle w:val="SourceNote"/>
      </w:pPr>
      <w:r>
        <w:rPr>
          <w:b/>
        </w:rPr>
        <w:t>Available abstract (not full text):</w:t>
      </w:r>
      <w:r>
        <w:t xml:space="preserve"> Purpose This study aims to identify the factors which influence the change in the volume of shadow economy in the countries of Europe to explain its growth or reduction through the change in the identified factors. This would help to determine which factors are worth impacting to reduce the volume of shadow economy in the countries of Europe. Design/methodology/approach This work sets out an econometric analysis. For the purpose of making research calculations, MS Excel software package has been chosen. It has been decided to use linear multiple regression and several auxiliary tools allowing research accuracy to be increased. Findings Final model has shown that the levels of corruption and inflation have a positive effect on the volume of shadow economy. Also, with the low level of significance it has been proved that foreign direct investments have a negative impact on the volume of shadow economy. From the hypotheses, it has also been ascertained that the rule of law and gross domestic product influence the volume of shadow economy negatively. Therefore, the results of this study indicate that the magnitude of shadow economy can be controlled by increasing the efficiency of the rule of law and the economy’s growth. Research limitations/implications Because of the limited data on such an indicator as the shadow economy, in this work, this study used data for only one year – 2</w:t>
      </w:r>
    </w:p>
    <w:p>
      <w:pPr/>
      <w:r>
        <w:rPr>
          <w:b/>
        </w:rPr>
        <w:t>POSSIBLE 2022:</w:t>
      </w:r>
      <w:r>
        <w:t xml:space="preserve"> Differences in Civic and Citizenship Education Between Latin American and European Countries — https://doi.org/10.20944/preprints202212.0389.v1</w:t>
      </w:r>
    </w:p>
    <w:p>
      <w:pPr/>
      <w:r>
        <w:rPr>
          <w:b/>
        </w:rPr>
        <w:t>Shared claim-specific concepts:</w:t>
      </w:r>
      <w:r>
        <w:t xml:space="preserve"> therefore, purpose, factors; EU scope visible. This is a provisional connection, not an outcome finding.</w:t>
      </w:r>
    </w:p>
    <w:p>
      <w:pPr>
        <w:pStyle w:val="SourceNote"/>
      </w:pPr>
      <w:r>
        <w:rPr>
          <w:b/>
        </w:rPr>
        <w:t>Available abstract (not full text):</w:t>
      </w:r>
      <w:r>
        <w:t xml:space="preserve"> The objective of this research article is to determine if social and cultural capital are factors that cause inequalities in the level of knowledge in civic and citizenship education, between Latin American and European countries. To achieve this purpose, information from the National Study of Civic and Citizen Education -ICCS-, of the International Association for the Evaluation of Educational Achievement -IEA-, of the year 2016, is used. Methodologically speaking, the Educational Production Function -EPF- is estimated and subsequently, the Oaxaca-Blinder decomposition technique is applied to quantify the differences in civic and citizenship education and see how much they are explained by the characteristics of the student and their family. the school, the social and cultural capital. As a main result, educational inequalities were found in favor of European countries, and are due to a greater extent to differences in school resources, between Latin American and European countries, followed by differences in social and cultural capital, therefore, it is the European students who make the best use of and benefit from the differences in school endowments and in social and cultural capital.</w:t>
      </w:r>
    </w:p>
    <w:p>
      <w:pPr>
        <w:pStyle w:val="Heading2"/>
      </w:pPr>
      <w:r>
        <w:t>682.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2023:</w:t>
      </w:r>
      <w:r>
        <w:t xml:space="preserve"> An intelligent extension of the training set for the Persian n-gram language model: an enrichment algorithm — https://doi.org/10.7764/onomazein.61.09</w:t>
      </w:r>
    </w:p>
    <w:p>
      <w:pPr/>
      <w:r>
        <w:rPr>
          <w:b/>
        </w:rPr>
        <w:t>Shared claim-specific concepts:</w:t>
      </w:r>
      <w:r>
        <w:t xml:space="preserve"> extend, set, approach; EU scope not established. This is a provisional connection, not an outcome finding.</w:t>
      </w:r>
    </w:p>
    <w:p>
      <w:pPr>
        <w:pStyle w:val="SourceNote"/>
      </w:pPr>
      <w:r>
        <w:rPr>
          <w:b/>
        </w:rPr>
        <w:t>Available abstract (not full text):</w:t>
      </w:r>
      <w:r>
        <w:t xml:space="preserve"> In this article, we are going to introduce an automatic mechanism to intelligently extend the training set to improve the n-gram language model of Persian. Given the free word-order property in Persian, our enrichment algorithm diversifies n-gram combinations in baseline training data through dependency reordering, adding permissible sentences and filtering ungrammatical sentences using a hybrid empirical (heuristic) and linguistic approach. Experiments performed on baseline training set (taken from a standard Persian corpus) and the resulting enriched training set indicate a declining trend in average relative perplexity (between 34% to 73%) for informal/spoken vs. formal/written Persian test data.</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pStyle w:val="Heading2"/>
      </w:pPr>
      <w:r>
        <w:t>683.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2026:</w:t>
      </w:r>
      <w:r>
        <w:t xml:space="preserve"> The Kynurenine Pathway in Tuberculosis: Focus on Immunometabolic Regulation, Compartment-Specific Biology, and Therapeutic Potential — https://doi.org/10.3390/life16081350</w:t>
      </w:r>
    </w:p>
    <w:p>
      <w:pPr/>
      <w:r>
        <w:rPr>
          <w:b/>
        </w:rPr>
        <w:t>Shared claim-specific concepts:</w:t>
      </w:r>
      <w:r>
        <w:t xml:space="preserve"> pathways, focus, including, potential, assessment; EU scope not established. This is a provisional connection, not an outcome finding.</w:t>
      </w:r>
    </w:p>
    <w:p>
      <w:pPr>
        <w:pStyle w:val="SourceNote"/>
      </w:pPr>
      <w:r>
        <w:rPr>
          <w:b/>
        </w:rPr>
        <w:t>Available abstract (not full text):</w:t>
      </w:r>
      <w:r>
        <w:t xml:space="preserve"> Tuberculosis (TB) remains a global health problem, and attention is focused on host immunometabolic pathways influencing antimicrobial immunity, tissue injury, and treatment response. This comprehensive review integrates evidence on the kynurenine pathway (KP) of tryptophan (TRP) metabolism in TB and evaluates its potential as a host-directed therapeutic target. Evidence from human cohorts, in vitro systems, animal models, and non-human primates indicates that Mycobacterium tuberculosis activates the KP across myeloid, antigen-presenting, non-hematopoietic lung, granulomatous, pleural, and central nervous system compartments. KP activation is shaped by interferon-γ signaling, mycobacterial burden, infection duration, strain virulence, and host regulatory mechanisms. Increased indoleamine 2,3-dioxygenase-related (IDO) activity, TRP depletion, kynurenine accumulation, and kynurenine–aryl hydrocarbon receptor (AhR) signaling are associated with impaired T-cell proliferation and recruitment, suppressive myeloid phenotypes, and spatially restricted immunoregulatory niches within granulomas. Accumulated data indicate context-dependent protective effects of the KP manipulations, through restriction of excessive inflammation. Furthermore, the KP-related changes may have biomarker value. Integrated assessment of enzyme expression, kynurenine-to-tryptophan ratio (K/T ratio), downstream m</w:t>
      </w:r>
    </w:p>
    <w:p>
      <w:pPr/>
      <w:r>
        <w:rPr>
          <w:b/>
        </w:rPr>
        <w:t>POSSIBLE 2025:</w:t>
      </w:r>
      <w:r>
        <w:t xml:space="preserve"> Pathways to Power — https://doi.org/10.4324/9781003413820-25</w:t>
      </w:r>
    </w:p>
    <w:p>
      <w:pPr/>
      <w:r>
        <w:rPr>
          <w:b/>
        </w:rPr>
        <w:t>Shared claim-specific concepts:</w:t>
      </w:r>
      <w:r>
        <w:t xml:space="preserve"> pathways, power, potential, increasing; EU scope not established. This is a provisional connection, not an outcome finding.</w:t>
      </w:r>
    </w:p>
    <w:p>
      <w:pPr>
        <w:pStyle w:val="SourceNote"/>
      </w:pPr>
      <w:r>
        <w:rPr>
          <w:b/>
        </w:rPr>
        <w:t>Available abstract (not full text):</w:t>
      </w:r>
      <w:r>
        <w:t xml:space="preserve">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pPr/>
      <w:r>
        <w:rPr>
          <w:b/>
        </w:rPr>
        <w:t>POSSIBLE 2025:</w:t>
      </w:r>
      <w:r>
        <w:t xml:space="preserve"> Wide-bandgap semiconductors and power electronics as pathways to carbon neutrality — https://doi.org/10.1038/s44287-024-00135-5</w:t>
      </w:r>
    </w:p>
    <w:p>
      <w:pPr/>
      <w:r>
        <w:rPr>
          <w:b/>
        </w:rPr>
        <w:t>Shared claim-specific concepts:</w:t>
      </w:r>
      <w:r>
        <w:t xml:space="preserve"> pathways, power;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Biomass power generation: A pathway to carbon neutrality — https://doi.org/10.1016/j.scitotenv.2024.173080</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Therapeutic Potential of Targeting the JAK/STAT Pathway in Psoriasis: Focus on TYK2 Inhibition — https://doi.org/10.3390/jcm13113091</w:t>
      </w:r>
    </w:p>
    <w:p>
      <w:pPr/>
      <w:r>
        <w:rPr>
          <w:b/>
        </w:rPr>
        <w:t>Shared claim-specific concepts:</w:t>
      </w:r>
      <w:r>
        <w:t xml:space="preserve"> pathways, focus, including, potential, use; EU scope not established. This is a provisional connection, not an outcome finding.</w:t>
      </w:r>
    </w:p>
    <w:p>
      <w:pPr>
        <w:pStyle w:val="SourceNote"/>
      </w:pPr>
      <w:r>
        <w:rPr>
          <w:b/>
        </w:rPr>
        <w:t>Available abstract (not full text):</w:t>
      </w:r>
      <w:r>
        <w:t xml:space="preserve"> Psoriasis is an inflammatory skin disease with a chronic relapsing course and an often-detrimental impact on patients' quality of life. Thanks to incredible advances in research over the past few decades, the therapeutic armamentarium of psoriasis is now reasonably broad and structured, with several therapeutic agents that have demonstrated successful long-term control of this condition. However, there are still unfulfilled gaps resulting from the inherent limitations of existing therapies, which have paved the way for the identification of new therapeutic strategies or the improvement of existing ones. A great deal of attention has recently been paid to the JAK/STAT pathway, playing a crucial role in chronic inflammatory skin diseases, including psoriasis. Indeed, in a disease with such a complex pathogenesis, the possibility to antagonize multiple molecular pathways via JAK/STAT inhibition offers an undeniable therapeutic advantage. However, data from clinical trials evaluating the use of oral JAK inhibitors in immune-mediated disorders, such as RA, have arisen safety concerns, suggesting a potentially increased risk of class-specific AEs such as infections, venous thromboembolism, and malignancies. New molecules are currently under investigation for the treatment of psoriasis, such as deucravacitinib, an oral selective inhibitor that binds to the regulatory domain of TYK2, b</w:t>
      </w:r>
    </w:p>
    <w:p>
      <w:pPr/>
      <w:r>
        <w:rPr>
          <w:b/>
        </w:rPr>
        <w:t>POSSIBLE 2024:</w:t>
      </w:r>
      <w:r>
        <w:t xml:space="preserve"> Potential therapies for HCC involving targeting the ferroptosis pathway — https://doi.org/10.62347/sigp9279</w:t>
      </w:r>
    </w:p>
    <w:p>
      <w:pPr/>
      <w:r>
        <w:rPr>
          <w:b/>
        </w:rPr>
        <w:t>Shared claim-specific concepts:</w:t>
      </w:r>
      <w:r>
        <w:t xml:space="preserve"> pathways, focus, including, potential, increasing; EU scope not established. This is a provisional connection, not an outcome finding.</w:t>
      </w:r>
    </w:p>
    <w:p>
      <w:pPr>
        <w:pStyle w:val="SourceNote"/>
      </w:pPr>
      <w:r>
        <w:rPr>
          <w:b/>
        </w:rPr>
        <w:t>Available abstract (not full text):</w:t>
      </w:r>
      <w:r>
        <w:t xml:space="preserve"> Liver cancer ranks as the third leading cause of cancer-related mortality worldwide, predominantly in the form of hepatocellular carcinoma (HCC). Conventional detection and treatment approaches have proven inadequate for addressing the elevated incidence and mortality rates associated with HCC. However, a significant body of research suggests that combating HCC through the induction of ferroptosis is possible. Ferroptosis is a regulated cell death process characterized by elevated levels of reactive oxygen species (ROS) and lipid peroxide accumulation, both of which are dependent on iron levels. In recent years, there has been an increasing focus on investigating ferroptosis, revealing its potential as an inhibitory mechanism against various diseases, including tumors. Therefore, ferroptosis induction holds great promise for treating multiple types of cancers, including HCC. This article provides a review of the key mechanisms involved in ferroptosis and explores the potential application of multiple targets and pathways associated with ferroptosis in HCC treatment to improve therapeutic outcomes.</w:t>
      </w:r>
    </w:p>
    <w:p>
      <w:pPr/>
      <w:r>
        <w:rPr>
          <w:b/>
        </w:rPr>
        <w:t>POSSIBLE 2024:</w:t>
      </w:r>
      <w:r>
        <w:t xml:space="preserve"> The Role of Curcumin in Cancer: A Focus on the PI3K/Akt Pathway — https://doi.org/10.3390/cancers16081554</w:t>
      </w:r>
    </w:p>
    <w:p>
      <w:pPr/>
      <w:r>
        <w:rPr>
          <w:b/>
        </w:rPr>
        <w:t>Shared claim-specific concepts:</w:t>
      </w:r>
      <w:r>
        <w:t xml:space="preserve"> focus, including, potential; EU scope not established. This is a provisional connection, not an outcome finding.</w:t>
      </w:r>
    </w:p>
    <w:p>
      <w:pPr>
        <w:pStyle w:val="SourceNote"/>
      </w:pPr>
      <w:r>
        <w:rPr>
          <w:b/>
        </w:rPr>
        <w:t>Available abstract (not full text):</w:t>
      </w:r>
      <w:r>
        <w:t xml:space="preserve"> Cancer is a life-threatening disease and one of the leading causes of death worldwide. Despite significant advancements in therapeutic options, most available anti-cancer agents have limited efficacy. In this context, natural compounds with diverse chemical structures have been investigated for their multimodal anti-cancer properties. Curcumin is a polyphenol isolated from the rhizomes of Curcuma longa and has been widely studied for its anti-inflammatory, anti-oxidant, and anti-cancer effects. Curcumin acts on the regulation of different aspects of cancer development, including initiation, metastasis, angiogenesis, and progression. The phosphatidylinositol-3-kinase (PI3K)/protein kinase B (AKT) pathway is a key target in cancer therapy, since it is implicated in initiation, proliferation, and cancer cell survival. Curcumin has been found to inhibit the PI3K/Akt pathway in tumor cells, primarily via the regulation of different key mediators, including growth factors, protein kinases, and cytokines. This review presents the therapeutic potential of curcumin in different malignancies, such as glioblastoma, prostate and breast cancer, and head and neck cancers, through the targeting of the PI3K/Akt signaling pathway.</w:t>
      </w:r>
    </w:p>
    <w:p>
      <w:pPr/>
      <w:r>
        <w:rPr>
          <w:b/>
        </w:rPr>
        <w:t>POSSIBLE 2024:</w:t>
      </w:r>
      <w:r>
        <w:t xml:space="preserve"> Targeting cytokine and chemokine signaling pathways for cancer therapy — https://doi.org/10.1038/s41392-024-01868-3</w:t>
      </w:r>
    </w:p>
    <w:p>
      <w:pPr/>
      <w:r>
        <w:rPr>
          <w:b/>
        </w:rPr>
        <w:t>Shared claim-specific concepts:</w:t>
      </w:r>
      <w:r>
        <w:t xml:space="preserve"> pathways, including, potential; EU scope not established. This is a provisional connection, not an outcome finding.</w:t>
      </w:r>
    </w:p>
    <w:p>
      <w:pPr>
        <w:pStyle w:val="SourceNote"/>
      </w:pPr>
      <w:r>
        <w:rPr>
          <w:b/>
        </w:rPr>
        <w:t>Available abstract (not full text):</w:t>
      </w:r>
      <w:r>
        <w:t xml:space="preserve"> Cytokines are critical in regulating immune responses and cellular behavior, playing dual roles in both normal physiology and the pathology of diseases such as cancer. These molecules, including interleukins, interferons, tumor necrosis factors, chemokines, and growth factors like TGF-β, VEGF, and EGF, can promote or inhibit tumor growth, influence the tumor microenvironment, and impact the efficacy of cancer treatments. Recent advances in targeting these pathways have shown promising therapeutic potential, offering new strategies to modulate the immune system, inhibit tumor progression, and overcome resistance to conventional therapies. In this review, we summarized the current understanding and therapeutic implications of targeting cytokine and chemokine signaling pathways in cancer. By exploring the roles of these molecules in tumor biology and the immune response, we highlighted the development of novel therapeutic agents aimed at modulating these pathways to combat cancer. The review elaborated on the dual nature of cytokines as both promoters and suppressors of tumorigenesis, depending on the context, and discussed the challenges and opportunities this presents for therapeutic intervention. We also examined the latest advancements in targeted therapies, including monoclonal antibodies, bispecific antibodies, receptor inhibitors, fusion proteins, engineered cytokine varian</w:t>
      </w:r>
    </w:p>
    <w:p>
      <w:pPr/>
      <w:r>
        <w:rPr>
          <w:b/>
        </w:rPr>
        <w:t>POSSIBLE 2023:</w:t>
      </w:r>
      <w:r>
        <w:t xml:space="preserve"> Carbon Peaking and Neutrality Pathways for Beijing’s Power Sector — https://doi.org/10.54097/hset.v50i.8464</w:t>
      </w:r>
    </w:p>
    <w:p>
      <w:pPr/>
      <w:r>
        <w:rPr>
          <w:b/>
        </w:rPr>
        <w:t>Shared claim-specific concepts:</w:t>
      </w:r>
      <w:r>
        <w:t xml:space="preserve"> pathways, power, sector, potential, electricity, transport; EU scope not established. This is a provisional connection, not an outcome finding.</w:t>
      </w:r>
    </w:p>
    <w:p>
      <w:pPr>
        <w:pStyle w:val="SourceNote"/>
      </w:pPr>
      <w:r>
        <w:rPr>
          <w:b/>
        </w:rPr>
        <w:t>Available abstract (not full text):</w:t>
      </w:r>
      <w:r>
        <w:t xml:space="preserve"> The power sector is an important area for achieving the 'double carbon' target.To achieve the "double carbon target" in Beijing as early as possible, this thesis is based on the LEAP model, which is a bottom-up study of the carbon peaking and carbon neutral pathways in the power sector from the perspective of the whole chain of source, grid, load and storage. It also combines scenario analysis, taking into account emission reduction targets, electricity demand and resource deployment, to design four comparison scenarios. These are the basic scenario, the energy efficiency improvement scenario, the transport electrification scenario and the renewable energy development scenario. The study focuses on the potential for emission reduction and feasible paths for the energy transition in Beijing's power sector. Finally, policy recommendations are made to promote the energy transition in Beijing.</w:t>
      </w:r>
    </w:p>
    <w:p>
      <w:pPr/>
      <w:r>
        <w:rPr>
          <w:b/>
        </w:rPr>
        <w:t>POSSIBLE 2023:</w:t>
      </w:r>
      <w:r>
        <w:t xml:space="preserve"> Therapeutic potentials of cannabidiol: Focus on the Nrf2 signaling pathway — https://doi.org/10.1016/j.biopha.2023.115805</w:t>
      </w:r>
    </w:p>
    <w:p>
      <w:pPr/>
      <w:r>
        <w:rPr>
          <w:b/>
        </w:rPr>
        <w:t>Shared claim-specific concepts:</w:t>
      </w:r>
      <w:r>
        <w:t xml:space="preserve"> focus, including, potential; EU scope not established. This is a provisional connection, not an outcome finding.</w:t>
      </w:r>
    </w:p>
    <w:p>
      <w:pPr>
        <w:pStyle w:val="SourceNote"/>
      </w:pPr>
      <w:r>
        <w:rPr>
          <w:b/>
        </w:rPr>
        <w:t>Available abstract (not full text):</w:t>
      </w:r>
      <w:r>
        <w:t xml:space="preserve"> Cannabidiol (CBD), a cannabinoid that does not create psychoactive activities, has been identified as having a multitude of therapeutic benefits. This study delves into the chemical properties, pharmacokinetics, safety and toxicity, pharmacological effects, and most importantly, the association between the therapeutic potential of CBD and the nuclear factor erythroid 2-related factor 2 (Nrf2) signaling pathway. The relationship between Nrf2 and CBD is closely linked to certain proteins that are associated with cardiovascular dysfunctions, cancers, and neurodegenerative conditions. Specifically, Nrf2 is connected to the initiation and progression of diverse health issues, including nephrotoxicity, bladder-related diseases, oral mucositis, cancers, obesity, myocardial injury and angiogenesis, skin-related inflammations, psychotic disorders, neuropathic pain, Huntington's disease, Alzheimer's disease, Parkinson's disease, neuroinflammation, Amyotrophic Lateral Sclerosis, and Multiple Sclerosis. The association between CBD and Nrf2 is a zone of great interest in the medical field, as it has the potential to significantly impact the treatment and prevention of wide-ranging health conditions. Additional investigation is necessary to entirely apprehend the mechanisms underlying this crucial interplay and to develop effective therapeutic interventions.</w:t>
      </w:r>
    </w:p>
    <w:p>
      <w:pPr>
        <w:pStyle w:val="Heading2"/>
      </w:pPr>
      <w:r>
        <w:t>684.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2026:</w:t>
      </w:r>
      <w:r>
        <w:t xml:space="preserve"> A Scientist Just Like Me — https://doi.org/10.5539/hes.v16n3p586</w:t>
      </w:r>
    </w:p>
    <w:p>
      <w:pPr/>
      <w:r>
        <w:rPr>
          <w:b/>
        </w:rPr>
        <w:t>Shared claim-specific concepts:</w:t>
      </w:r>
      <w:r>
        <w:t xml:space="preserve"> help, scientists, often, resource; EU scope not established. This is a provisional connection, not an outcome finding.</w:t>
      </w:r>
    </w:p>
    <w:p>
      <w:pPr>
        <w:pStyle w:val="SourceNote"/>
      </w:pPr>
      <w:r>
        <w:rPr>
          <w:b/>
        </w:rPr>
        <w:t>Available abstract (not full text):</w:t>
      </w:r>
      <w:r>
        <w:t xml:space="preserve"> Children’s perceptions of science and scientists are formed at an early age and could influence engagement and confidence in science and future career choices. Unfortunately, these perceptions often remain narrow and stereotyped, particularly portraying scientists as white, male, laboratory‑based and historically distant figures. This paper presents a resource and preliminary evaluation of A Scientist Just Like Me (ASJLM), that aimed to address these misconceptions using diverse, contemporary and relatable science role models. ASJLM seeks to help pupils connect science to their own lives, experiences and values. 64 scientist profiles were developed, representing diversity in gender, ethnicity, disability, discipline, career route and sector. Profile narratives highlight personal interests, career journeys, challenges faced and transferable skills such as curiosity, collaboration and resilience. Preliminary classroom workshops conducted in six UK primary schools with approximately 500 pupils indicate that children initially held strongly gendered and limited views of scientists. Engagement with this resource broadened pupils’ understanding of who scientists are, what they do, and the skills required to work in science, with teachers reporting increased participation and confidence, particularly among girls. Findings suggest that intentional exposure to diverse role models in pri</w:t>
      </w:r>
    </w:p>
    <w:p>
      <w:pPr/>
      <w:r>
        <w:rPr>
          <w:b/>
        </w:rPr>
        <w:t>POSSIBLE 2026:</w:t>
      </w:r>
      <w:r>
        <w:t xml:space="preserve"> Blue Justice: diverging perceptions between coastal planners and fishers in the blue economy — https://doi.org/10.1007/s11625-026-01868-y</w:t>
      </w:r>
    </w:p>
    <w:p>
      <w:pPr/>
      <w:r>
        <w:rPr>
          <w:b/>
        </w:rPr>
        <w:t>Shared claim-specific concepts:</w:t>
      </w:r>
      <w:r>
        <w:t xml:space="preserve"> abstract, planners, often, local; EU scope visible. This is a provisional connection, not an outcome finding.</w:t>
      </w:r>
    </w:p>
    <w:p>
      <w:pPr>
        <w:pStyle w:val="SourceNote"/>
      </w:pPr>
      <w:r>
        <w:rPr>
          <w:b/>
        </w:rPr>
        <w:t>Available abstract (not full text):</w:t>
      </w:r>
      <w:r>
        <w:t xml:space="preserve"> Abstract Growth in blue industries require heightened attention to justice in coastal governance. However, our understanding of different societal groups’ perceptions of justice in the context of the blue economy and coastal governance is limited. To address this gap, we developed a survey instrument to assess justice perceptions for local fisheries and subsequently used this instrument to elicit justice perceptions among coastal planners and three groups of fishers (Indigenous Sami, the Kven national minority and other non-Indigenous). Specifically, we examined perceptions about coastal zone use and decision-making with respect to three key dimensions of justice: distribution (how costs and benefits are distributed), procedure (how decisions are made), and recognition (whether sociocultural diversity is recognised and respected). Based on data from 705 fishers from the three groups and 41 planners across 69 coastal municipalities in Northern Norway, we found significant differences in perceptions of justice between planners and fishers, while the groups of fishers had relatively similar perceptions. Overall, planners tended to have more favorable justice evaluations than fishers. Moreover, planners report knowledge gaps pertaining to how changes in the use of the coastal zone have impacted local fisheries. Our quantitative analysis shows that fishers’ perceptions of injustice </w:t>
      </w:r>
    </w:p>
    <w:p>
      <w:pPr/>
      <w:r>
        <w:rPr>
          <w:b/>
        </w:rPr>
        <w:t>POSSIBLE 2026:</w:t>
      </w:r>
      <w:r>
        <w:t xml:space="preserve"> Can AI Scientists Coordinate at Runtime? — https://doi.org/10.48550/arxiv.2610.00980</w:t>
      </w:r>
    </w:p>
    <w:p>
      <w:pPr/>
      <w:r>
        <w:rPr>
          <w:b/>
        </w:rPr>
        <w:t>Shared claim-specific concepts:</w:t>
      </w:r>
      <w:r>
        <w:t xml:space="preserve"> scientists, four, conditions; EU scope not established. This is a provisional connection, not an outcome finding.</w:t>
      </w:r>
    </w:p>
    <w:p>
      <w:pPr>
        <w:pStyle w:val="SourceNote"/>
      </w:pPr>
      <w:r>
        <w:rPr>
          <w:b/>
        </w:rPr>
        <w:t>Available abstract (not full text):</w:t>
      </w:r>
      <w:r>
        <w:t xml:space="preserve"> Multi-agent AI scientists have shown improving performance across a diverse range of tasks. Yet a common approach is design-time agentic orchestration, which typically relies on fixed workflows. In contrast, human scientists coordinate and adjust their division of labor at runtime. We therefore ask: can AI scientists also coordinate at runtime? To this end, we introduce Runtime Agent Coordination (RAC), which selects agents from existing AI-scientist hosts during execution, assigns scoped work contracts, and provides artifact-grounded verification. Verification informs subsequent agents without blocking transitions or discarding artifacts. We conduct a single-seed exploratory evaluation across Agent Laboratory, EvoScientist, and ARK on ResearchClawBench, preserving host models, tools, and permissions under host-calibrated budgets. Four cumulative conditions separate native execution, runtime communication, runtime selection, and the combined addition of contracts and verification. Runtime selection yields the highest observed mean score for each host; adding contracts and verification reduces these means, with host-dependent outcomes relative to native execution. These results motivate runtime coordination while exposing the limits of additional coordination mechanisms under constrained budgets. Code is available at https://github.com/systemind-team/Runtime-AI-Scientist.</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r>
        <w:rPr>
          <w:b/>
        </w:rPr>
        <w:t>POSSIBLE 2025:</w:t>
      </w:r>
      <w:r>
        <w:t xml:space="preserve"> Prepare Your Lessons — https://doi.org/10.1093/oso/9780197631430.003.0005</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In elementary music class, students learn musical skills, not just facts. Teachers build these skills by modeling, communicating clearly, and assessing student progress. This chapter explores how to organize lesson plans, prepare lessons for different age groups, and ensure smooth delivery. It emphasizes the importance of practicing lessons before teaching and reflecting on what worked afterward. The chapter introduces a structured approach to lesson planning, balancing engaging activities with clear learning objectives. Strategies for effective transitions, classroom management, and student engagement are discussed, helping teachers create lessons that flow smoothly. The importance of using concise instruction, modeling rather than overexplaining, and listening more than speaking is also highlighted. By focusing on well-prepared and thoughtful instruction, teachers can maximize student learning and create a positive, productive classroom environment. Checklists and practical suggestions help teachers refine their approach and continuously improve their teaching.</w:t>
      </w:r>
    </w:p>
    <w:p>
      <w:pPr/>
      <w:r>
        <w:rPr>
          <w:b/>
        </w:rPr>
        <w:t>POSSIBLE 2025:</w:t>
      </w:r>
      <w:r>
        <w:t xml:space="preserve"> Can AI help authors prepare better risk science manuscripts? — https://doi.org/10.1111/risa.70055</w:t>
      </w:r>
    </w:p>
    <w:p>
      <w:pPr/>
      <w:r>
        <w:rPr>
          <w:b/>
        </w:rPr>
        <w:t>Shared claim-specific concepts:</w:t>
      </w:r>
      <w:r>
        <w:t xml:space="preserve"> abstract, help, prepare, scientists, four; EU scope not established. This is a provisional connection, not an outcome finding.</w:t>
      </w:r>
    </w:p>
    <w:p>
      <w:pPr>
        <w:pStyle w:val="SourceNote"/>
      </w:pPr>
      <w:r>
        <w:rPr>
          <w:b/>
        </w:rPr>
        <w:t>Available abstract (not full text):</w:t>
      </w:r>
      <w:r>
        <w:t xml:space="preserve"> Scientists, publishers, and journal editors are wondering how, whether, and to what extent artificial intelligence (AI) tools might soon help to advance the rigor, efficiency, and value of scientific peer review. Will AI provide timely, useful feedback that helps authors improve their manuscripts while avoiding the biases and inconsistencies of human reviewers? Or might it instead generate low-quality verbiage, add noise and errors, reinforce flawed reasoning, and erode trust in the review process? This perspective reports on evaluations of two experimental AI systems: (i) a "Screener" available at http://screener.riskanalysis.cloud/ that gives authors feedback on whether a draft paper (or abstract, proposal, etc.) appears to be a fit for the journal Risk Analysis, based on the guidance to authors provided by the journal (https://www.sra.org/journal/what-makes-a-good-risk-analysis-article/); and (ii) a more ambitious "Reviewer" (http://aia1.moirai-solutions.com/) that gives substantive technical feedback and recommends how to improve the clarity of methodology and the interpretation of results. The evaluations were conducted by a convenience sample of Risk Analysis Area Editors (AEs) and authors, including two authors of manuscripts in progress and four authors of papers that had already been published. The Screener was generally rated as useful. It has been deployed at Risk An</w:t>
      </w:r>
    </w:p>
    <w:p>
      <w:pPr/>
      <w:r>
        <w:rPr>
          <w:b/>
        </w:rPr>
        <w:t>POSSIBLE 2024:</w:t>
      </w:r>
      <w:r>
        <w:t xml:space="preserve"> Preparing conservatoire students for the music education workforce: conversations with alumni — https://doi.org/10.1017/s0265051724000111</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Higher music education institutions should continually review their curricula to ensure that their graduates are best equipped to support musical learning for children and young people. Perspectives on early careers in instrumental teaching were obtained via an alumni-led workshop and focus group at a UK conservatoire. Findings revealed that whilst extensive pedagogical training was offered, its value was not fully acknowledged across the institution and that more could be done to alleviate students’ anxieties about their developing musician identities and future stability. As new teachers, alumni are well placed to help prepare students for the professional realities of joining the music education workforce.</w:t>
      </w:r>
    </w:p>
    <w:p>
      <w:pPr/>
      <w:r>
        <w:rPr>
          <w:b/>
        </w:rPr>
        <w:t>POSSIBLE 2024:</w:t>
      </w:r>
      <w:r>
        <w:t xml:space="preserve"> What is the role of architects and urban planners in crime prevention? — https://doi.org/10.1057/s41284-024-00442-4</w:t>
      </w:r>
    </w:p>
    <w:p>
      <w:pPr/>
      <w:r>
        <w:rPr>
          <w:b/>
        </w:rPr>
        <w:t>Shared claim-specific concepts:</w:t>
      </w:r>
      <w:r>
        <w:t xml:space="preserve"> abstract, planners, planning; EU scope not established. This is a provisional connection, not an outcome finding.</w:t>
      </w:r>
    </w:p>
    <w:p>
      <w:pPr>
        <w:pStyle w:val="SourceNote"/>
      </w:pPr>
      <w:r>
        <w:rPr>
          <w:b/>
        </w:rPr>
        <w:t>Available abstract (not full text):</w:t>
      </w:r>
      <w:r>
        <w:t xml:space="preserve"> Abstract In this article, we discuss the role of urban planning professionals in situational crime prevention. We begin by examining their role as city “shapers” and the reasons behind their frequent neglect of crime-related factors in their decision-making process. We also explore why criminology tends to underestimate the influence of urban planning professionals on the urban environment, a factor crucial for effective crime prevention. To highlight the disconnection between urban planning and crime prevention, we present findings from a survey conducted with urban planners and safety experts in 290 Swedish municipalities. The article concludes with future research and practice recommendations, stressing the urgent need for improved communication and collaboration between urban shapers and environmental criminologists and a more comprehensive understanding from all parties involved.</w:t>
      </w:r>
    </w:p>
    <w:p>
      <w:pPr/>
      <w:r>
        <w:rPr>
          <w:b/>
        </w:rPr>
        <w:t>POSSIBLE 2023:</w:t>
      </w:r>
      <w:r>
        <w:t xml:space="preserve"> Preparing for Our Futures — https://doi.org/10.1093/med-psych/9780197609286.003.0015</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This chapter covers Session 14 of the Juvenile Justice Anger Management (JJAM) Treatment for Girls. In this session the participants learn how they can prepare for their future after treatment. The session focuses on synthesizing the various skills and tools that the girls have learned during the program. The facilitators encourage the girls to practice applying these skills to real-life situations and to enlist others to help them use these skills in the future. The participants will identify their goals beyond the treatment. An activity is provided to help the girls feel more comfortable using the support systems that they have previously identified.</w:t>
      </w:r>
    </w:p>
    <w:p>
      <w:pPr/>
      <w:r>
        <w:rPr>
          <w:b/>
        </w:rPr>
        <w:t>POSSIBLE 2023:</w:t>
      </w:r>
      <w:r>
        <w:t xml:space="preserve"> Preparing for Our Futures — https://doi.org/10.1093/med-psych/9780197609286.003.0047</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This chapter provides the participant materials for Session 14 of the Juvenile Justice Anger Management (JJAM) Treatment for Girls. In this session the girls learn how to prepare plans for the future. This includes the process of figuring out how to tell important people about the anger management tools they learned and how to ask for help. Planning ahead means thinking about one’s goals and writing them down. An example of a goal is to get better grades in school by the end of the year. When a participant is angry and needs help remembering these tools, it is useful for her to talk to her building block support people.</w:t>
      </w:r>
    </w:p>
    <w:p>
      <w:pPr/>
      <w:r>
        <w:rPr>
          <w:b/>
        </w:rPr>
        <w:t>POSSIBLE 2023:</w:t>
      </w:r>
      <w:r>
        <w:t xml:space="preserve"> Big data can help prepare nurses and improve patient outcomes by improving quality, safety, and outcomes — https://doi.org/10.2478/fon-2023-0026</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Objectives Big data has revolutionized nursing and health care and raised concerns. This research aims to help nurses understand big data sets to provide better patient care. Methods This study used big data in nursing to improve patient care. Big data in nursing has sparked a global revolution and raised concerns, but few studies have focused on helping nurses understand big data to provide the best patient care. This systematic review was conducted based on PRISMA guidelines. PubMed, MEDLINE, CINAHL, Google Scholar, and ResearchGate were used for 2010–2020 studies. Results The most common use of big data in nursing was investigated in eight papers between 2015 and 2018. All research showed improvements in patient outcomes and healthcare delivery when big data was used in the medical-surgical, emergency department, critical care unit, community, systems biology, and leadership applications. Big data is not taught to nurses. Conclusions Big data applications in nursing and health care improve early intervention and decision-making. Big data provides a comprehensive view of a patient’s status and social determinants of health, allowing treatment using all metaparadigms and avoiding a singular focus. Big data can help prepare nurses and improve patient outcomes by improving quality, safety, and outcomes.</w:t>
      </w:r>
    </w:p>
    <w:p>
      <w:pPr>
        <w:pStyle w:val="Heading2"/>
      </w:pPr>
      <w:r>
        <w:t>685.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r>
        <w:rPr>
          <w:b/>
        </w:rPr>
        <w:t>POSSIBLE 2024:</w:t>
      </w:r>
      <w:r>
        <w:t xml:space="preserve"> Circular economy in the manufacturing sector: Digital transformation and sustainable practices — https://doi.org/10.30574/ijsra.2024.12.2.1217</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The transition from a linear economy to a circular economy (CE) represents a profound shift in resource management practices, emphasizing sustainability and waste reduction as core principles. This review paper explores how digital transformation technologies, including Internet of Things (IoT), artificial intelligence (AI), blockchain, and big data, are integrated with circular economy principles within the manufacturing sector. It examines their roles in promoting sustainable manufacturing practices by optimizing resource use, improving efficiency, and reducing environmental impact. Through a comprehensive review of current literature and case studies, this paper elucidates the benefits, challenges, and future directions of adopting a circular economy approach in manufacturing, highlighting opportunities for innovation and sustainable growth.</w:t>
      </w:r>
    </w:p>
    <w:p>
      <w:pPr/>
      <w:r>
        <w:rPr>
          <w:b/>
        </w:rPr>
        <w:t>POSSIBLE 2024:</w:t>
      </w:r>
      <w:r>
        <w:t xml:space="preserve"> ECONOMIC MONITORING OF THE CIRCULAR TRANSFORMATION AS A CHALLENGE FOR MECHANICAL ENGINEERING — https://openalex.org/W7215135237</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This paper critically evaluates the role of mechanical engineering in the economic monitoring of the circular economy transformation. The transition from a linear "take-make-dispose" model to a circular one is imperative for sustainability, requiring significant adaptation in mechanical engineering practices. The research investigates the methodologies and institutional frameworks that underpin this transformation, assessing their efficacy and identifying areas for enhancement. By examining the latest scientific literature and employing various indicators and evaluation methods, the study outlines the practical and strategic benefits of embracing circular economy principles. It underscores the necessity of robust monitoring mechanisms and the crucial role of institutions in fostering the transition, with a particular focus on the European Union's regulatory approach. This paper provides a comprehensive understanding of the state of circular economy implementation in mechanical engineering and suggests future directions for its development, monitoring, and integration into policy and educational frameworks.</w:t>
      </w:r>
    </w:p>
    <w:p>
      <w:pPr/>
      <w:r>
        <w:rPr>
          <w:b/>
        </w:rPr>
        <w:t>POSSIBLE 2024:</w:t>
      </w:r>
      <w:r>
        <w:t xml:space="preserve"> Twenty Years of Land Accounts in Europe — https://doi.org/10.3390/land13091350</w:t>
      </w:r>
    </w:p>
    <w:p>
      <w:pPr/>
      <w:r>
        <w:rPr>
          <w:b/>
        </w:rPr>
        <w:t>Shared claim-specific concepts:</w:t>
      </w:r>
      <w:r>
        <w:t xml:space="preserve"> economy, upcoming;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AI ‐driven adaptive learning for sustainable educational transformation — https://doi.org/10.1002/sd.3221</w:t>
      </w:r>
    </w:p>
    <w:p>
      <w:pPr/>
      <w:r>
        <w:rPr>
          <w:b/>
        </w:rPr>
        <w:t>Shared claim-specific concepts:</w:t>
      </w:r>
      <w:r>
        <w:t xml:space="preserve"> transformation, driven, innovative; EU scope not established. This is a provisional connection, not an outcome finding.</w:t>
      </w:r>
    </w:p>
    <w:p>
      <w:pPr>
        <w:pStyle w:val="SourceNote"/>
      </w:pPr>
      <w:r>
        <w:rPr>
          <w:b/>
        </w:rPr>
        <w:t>Available abstract (not full text):</w:t>
      </w:r>
      <w:r>
        <w:t xml:space="preserve"> Abstract This paper scrutinizes how adaptive learning technologies and artificial intelligence (AI) are transforming today's education by making it personalized, accessible, and efficient as well as leading people to accepting, addressing, and mitigating sustainable development. Recently, education witnessed a remarkable technological surge driven by various advances in technology, which can be demonstrated by the increase of the number of scientific publications on this topic from just 1 in 1990 to 636 in 2023. Ongoing digitalization and technological revolution in education together with the novel approach to respect each student's unique learning style and abilities paved the way for adaptive learning technologies represented by the innovative tools that personalize educational experiences to cater to individual learners. All of that contributes to preparing more educated and informed citizens, drives innovation, and supports economic growth necessary for achieving a sustainable future. Our bibliographic study employs VOSviewer to conduct a bibliometric analysis of a total number of 3518 selected publications using the keywords “adaptive learning” and “AI” (represented by articles, proceeding papers, and book chapters) indexed in the Web of Science (WoS) database from 1990 to 2024. Our results demonstrate that recent technological changes played a key role in transforming ad</w:t>
      </w:r>
    </w:p>
    <w:p>
      <w:pPr/>
      <w:r>
        <w:rPr>
          <w:b/>
        </w:rPr>
        <w:t>POSSIBLE 2023:</w:t>
      </w:r>
      <w:r>
        <w:t xml:space="preserve"> Income inequality and circular materials use: an analysis of European Union economies and implications for circular economy development — https://doi.org/10.1108/md-11-2022-1620</w:t>
      </w:r>
    </w:p>
    <w:p>
      <w:pPr/>
      <w:r>
        <w:rPr>
          <w:b/>
        </w:rPr>
        <w:t>Shared claim-specific concepts:</w:t>
      </w:r>
      <w:r>
        <w:t xml:space="preserve"> vast, circular, economy, occur, design, processes; EU scope visible. This is a provisional connection, not an outcome finding.</w:t>
      </w:r>
    </w:p>
    <w:p>
      <w:pPr>
        <w:pStyle w:val="SourceNote"/>
      </w:pPr>
      <w:r>
        <w:rPr>
          <w:b/>
        </w:rPr>
        <w:t>Available abstract (not full text):</w:t>
      </w:r>
      <w:r>
        <w:t xml:space="preserve"> Purpose The purpose of the research was to evaluate the relationship between income and the recycled materials used in order to rate the business related to circular repair services under the burden of economic development in the countries of the European Union. Design/methodology/approach The analytical processes explore data from 2010 to 2020. The countries were divided into clusters according to economic maturity (Human Development Index (HDI), real Gross domestic product (GDP) per capita). Subsequently, the relationships were evaluated through the income indicators (for the 13 population groups), and the circular materials use rate indicator. The three indicators decomposed into five specific metrics were employed. The commonly applied characteristics of the descriptive analysis, Pearson's correlation coefficient and the panel regression analysis were engaged in the investigation. Findings The results demonstrated the vast disparities between income and circular materials use. In the more economically developed countries, their levels were twice higher as the less-developed countries. However, there is a meaningful positive relationship between them. The greatest attention was paid to the panel regression analysis applied to the relationship between income and circular economy (CE) use. The results showed that in a majority of the cases (different income categories), there </w:t>
      </w:r>
    </w:p>
    <w:p>
      <w:pPr/>
      <w:r>
        <w:rPr>
          <w:b/>
        </w:rPr>
        <w:t>POSSIBLE 2023:</w:t>
      </w:r>
      <w:r>
        <w:t xml:space="preserve"> The Circular Economy Transformation of Airports: An Alternative Model for Retail Waste Management — https://doi.org/10.3390/su15043860</w:t>
      </w:r>
    </w:p>
    <w:p>
      <w:pPr/>
      <w:r>
        <w:rPr>
          <w:b/>
        </w:rPr>
        <w:t>Shared claim-specific concepts:</w:t>
      </w:r>
      <w:r>
        <w:t xml:space="preserve"> transformation, circular, economy, design, processes; EU scope not established. This is a provisional connection, not an outcome finding.</w:t>
      </w:r>
    </w:p>
    <w:p>
      <w:pPr>
        <w:pStyle w:val="SourceNote"/>
      </w:pPr>
      <w:r>
        <w:rPr>
          <w:b/>
        </w:rPr>
        <w:t>Available abstract (not full text):</w:t>
      </w:r>
      <w:r>
        <w:t xml:space="preserve"> Airport terminals worldwide generate approximately 6 million tons of passenger waste annually. Increased awareness of climate change and global interventions for environmental sustainability requires a reassessment of airports’ current methods of waste management. This paper proposes a new design concept solution called circular airport retail waste management (CAWM) for airport terminal retail waste processing, which aims to reduce and ideally eliminate airport waste ending up in landfill or incineration. Given the need for novelty and challenging the status-quo, the double diamond design process was adopted as the research method. The research began by collating the current practices of retail waste processing in airports via a literature review and field observations. Secondly, a critical analysis of the current processes was conducted to identify the intervention points. Thirdly, a concept solution was developed based on the circular economy (CE) 9R framework. Finally, the CAWM concept was delivered to airport waste management personnel for review. CAWM offers a structured way of airport retail waste management practices, including the segregation of nonrecyclable and recyclable waste (i.e., different bin designs, color coding, harmonization of waste colors, improved instructions and signage, various bin locations, training, and installing more liquid disposal and donation </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circular, economy;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r>
        <w:rPr>
          <w:b/>
        </w:rPr>
        <w:t>POSSIBLE 2023:</w:t>
      </w:r>
      <w:r>
        <w:t xml:space="preserve"> The European Polysaccharide Network of Excellence (EPNOE) research roadmap 2040: Advanced strategies for exploiting the vast potential of polysaccharides as renewable bioresources — https://doi.org/10.1016/j.carbpol.2023.121633</w:t>
      </w:r>
    </w:p>
    <w:p>
      <w:pPr/>
      <w:r>
        <w:rPr>
          <w:b/>
        </w:rPr>
        <w:t>Shared claim-specific concepts:</w:t>
      </w:r>
      <w:r>
        <w:t xml:space="preserve"> vast, upcoming; EU scope visible. This is a provisional connection, not an outcome finding.</w:t>
      </w:r>
    </w:p>
    <w:p>
      <w:pPr>
        <w:pStyle w:val="SourceNote"/>
      </w:pPr>
      <w:r>
        <w:rPr>
          <w:b/>
        </w:rPr>
        <w:t>Available abstract (not full text):</w:t>
      </w:r>
      <w:r>
        <w:t xml:space="preserve"> Polysaccharides are among the most abundant bioresources on earth and consequently need to play a pivotal role when addressing existential scientific challenges like climate change and the shift from fossil-based to sustainable biobased materials. The Research Roadmap 2040 of the European Polysaccharide Network of Excellence (EPNOE) provides an expert's view on how future research and development strategies need to evolve to fully exploit the vast potential of polysaccharides as renewable bioresources. It is addressed to academic researchers, companies, as well as policymakers and covers five strategic areas that are of great importance in the context of polysaccharide related research: (I) Materials &amp; Engineering, (II) Food &amp; Nutrition, (III) Biomedical Applications, (IV) Chemistry, Biology &amp; Physics, and (V) Skills &amp; Education. Each section summarizes the state of research, identifies challenges that are currently faced, project achievements and developments that are expected in the upcoming 20 years, and finally provides outlines on how future research activities need to evolve.</w:t>
      </w:r>
    </w:p>
    <w:p>
      <w:pPr/>
      <w:r>
        <w:rPr>
          <w:b/>
        </w:rPr>
        <w:t>POSSIBLE 2022:</w:t>
      </w:r>
      <w:r>
        <w:t xml:space="preserve"> Circular cities: planning for circular development in European cities — https://doi.org/10.1080/09654313.2022.2060707</w:t>
      </w:r>
    </w:p>
    <w:p>
      <w:pPr/>
      <w:r>
        <w:rPr>
          <w:b/>
        </w:rPr>
        <w:t>Shared claim-specific concepts:</w:t>
      </w:r>
      <w:r>
        <w:t xml:space="preserve"> transformation, circular; EU scope visible. This is a provisional connection, not an outcome finding.</w:t>
      </w:r>
    </w:p>
    <w:p>
      <w:pPr>
        <w:pStyle w:val="SourceNote"/>
      </w:pPr>
      <w:r>
        <w:rPr>
          <w:b/>
        </w:rPr>
        <w:t>Available abstract (not full text):</w:t>
      </w:r>
      <w:r>
        <w:t xml:space="preserve"> Circular development could produce more resource efficient, ecologically regenerative and resilient cities. This development pathway offers many ecological, social and economic benefits. However, there are also many challenges to implementation, not least a heavy reliance on the market to transform urban systems of provision. A regulatory and policy framework is essential for a circular transformation, until circular activities become competitive within existing markets. Spatial and land-use planning can offer this framework. This paper provides insight into the circular development process. It discusses the role of planning in delivering circular development, using examples from four European cities. It identifies the tools for delivery and discusses the inherent limitations of using planning tools to deliver a circular transformation.</w:t>
      </w:r>
    </w:p>
    <w:p>
      <w:pPr/>
      <w:r>
        <w:rPr>
          <w:b/>
        </w:rPr>
        <w:t>POSSIBLE 2022:</w:t>
      </w:r>
      <w:r>
        <w:t xml:space="preserve"> The sustainable transformation of the Colombian cattle sector: Assessing its circularity — https://doi.org/10.1371/journal.pclm.0000074</w:t>
      </w:r>
    </w:p>
    <w:p>
      <w:pPr/>
      <w:r>
        <w:rPr>
          <w:b/>
        </w:rPr>
        <w:t>Shared claim-specific concepts:</w:t>
      </w:r>
      <w:r>
        <w:t xml:space="preserve"> transformation, circular; EU scope not established. This is a provisional connection, not an outcome finding.</w:t>
      </w:r>
    </w:p>
    <w:p>
      <w:pPr>
        <w:pStyle w:val="SourceNote"/>
      </w:pPr>
      <w:r>
        <w:rPr>
          <w:b/>
        </w:rPr>
        <w:t>Available abstract (not full text):</w:t>
      </w:r>
      <w:r>
        <w:t xml:space="preserve"> Circular food systems are increasingly acknowledged for their potential to contribute to the transition towards sustainable futures. In a circular food system, the use of finite and limited resources is minimized, and nutrients in residual streams and inedible biomass for humans are reused as inputs in the bioeconomy. Livestock has become relevant in this narrative for upcycling nutrients contained in food by-products and grass resources into nutritious food for humans without using human-edible resources. Evaluating on-going national sustainability initiatives in the livestock sector is key to determine if circularity elements are already represented and to identify new opportunities and pathways for the future. In this paper we synthetize the environmental actions promoted by different initiatives driving the sustainable transformation of Colombian cattle production systems and assess the inclusion of circularity elements in these actions. The proposed environmental actions were concentrated in the conservation of remaining natural ecosystems, zero-deforestation and the sustainable intensification of cattle production through silvopastoral and paddock rotational systems. Circularity was addressed by some initiatives via the use organic fertilizers and the use of manure as fertilizers or feedstock for bioenergy generation. However, given that cattle farming is often practiced </w:t>
      </w:r>
    </w:p>
    <w:p>
      <w:pPr>
        <w:pStyle w:val="Heading2"/>
      </w:pPr>
      <w:r>
        <w:t>686.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Laboratory Experiments on Savannah and European Boreal Forest Fire Emissions — https://doi.org/10.1029/2025jd044543</w:t>
      </w:r>
    </w:p>
    <w:p>
      <w:pPr/>
      <w:r>
        <w:rPr>
          <w:b/>
        </w:rPr>
        <w:t>Shared claim-specific concepts:</w:t>
      </w:r>
      <w:r>
        <w:t xml:space="preserve"> also, emissions, number, three; EU scope visible. This is a provisional connection, not an outcome finding.</w:t>
      </w:r>
    </w:p>
    <w:p>
      <w:pPr>
        <w:pStyle w:val="SourceNote"/>
      </w:pPr>
      <w:r>
        <w:rPr>
          <w:b/>
        </w:rPr>
        <w:t>Available abstract (not full text):</w:t>
      </w:r>
      <w:r>
        <w:t xml:space="preserve"> Abstract Landscape fire is among the largest sources of aerosols and trace gases globally. However, the emissions are highly variable and strongly affected by the type of biomass and combustion characteristics. We investigated the effect of combustion characteristics on the burning emissions from three biomass types: woody plants and grasses from southern African savannah and European boreal forest surface based on experiments at the ILMARI combustion facility in Kuopio, Finland. Considering emission factors (EF) for organic aerosol (OA) and for the sum of volatile organic compounds (VOCs), we observed a linear increase in the EF with decreasing modified combustion efficiency (MCE) down to MCE of 0.6. For instance, for woody plants from savannah flaming combustion EF OA is 6.1 g kg −1 at MCE of 0.94, while extreme smoldering EF OA at MCE of 0.67 is 54 g kg −1 . Interestingly, the effect of biomass type was minor compared to MCE, which was also seen for aerosol particle number size distributions. Likewise, the absorption Ångström exponent increased with decreasing MCE. Furthermore, OA in our experiments is absorbing not only at the short wavelengths, which is typical of brown carbon, but even at the longest wavelengths (880 and 950 nm), which are often considered to represent only absorption by black carbon. The biomass type impacted the OA and VOC composition, especially in hig</w:t>
      </w:r>
    </w:p>
    <w:p>
      <w:pPr/>
      <w:r>
        <w:rPr>
          <w:b/>
        </w:rPr>
        <w:t>POSSIBLE 2026:</w:t>
      </w:r>
      <w:r>
        <w:t xml:space="preserve"> Emission Scenarios for Europe under the CATALYSE Project: Beyond the Green Deal — https://openalex.org/W7125621332</w:t>
      </w:r>
    </w:p>
    <w:p>
      <w:pPr/>
      <w:r>
        <w:rPr>
          <w:b/>
        </w:rPr>
        <w:t>Shared claim-specific concepts:</w:t>
      </w:r>
      <w:r>
        <w:t xml:space="preserve"> also, pm2, emissions, reduction, about, project;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also, emissions,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emissions, lead, reduction, three;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2024:</w:t>
      </w:r>
      <w:r>
        <w:t xml:space="preserve"> SO2 and NOx emissions from European shipping: a measurement study — https://doi.org/10.5194/egusphere-egu24-10092</w:t>
      </w:r>
    </w:p>
    <w:p>
      <w:pPr/>
      <w:r>
        <w:rPr>
          <w:b/>
        </w:rPr>
        <w:t>Shared claim-specific concepts:</w:t>
      </w:r>
      <w:r>
        <w:t xml:space="preserve"> also, emissions, envisaged, reduction, co2, various; EU scope visible. This is a provisional connection, not an outcome finding.</w:t>
      </w:r>
    </w:p>
    <w:p>
      <w:pPr>
        <w:pStyle w:val="SourceNote"/>
      </w:pPr>
      <w:r>
        <w:rPr>
          <w:b/>
        </w:rPr>
        <w:t>Available abstract (not full text):</w:t>
      </w:r>
      <w:r>
        <w:t xml:space="preserve"> The shipping industry is a significant source of both SO2 and NOx, two air pollutants which have neg-active implications for climate and air quality. SO2 is heavily regulated such that January 2020 marked a global reduction of the maximum permitted sulfur fuel content (SFC) in shipping fuel from 3.5% to 0.5% by mass. There are also various limits on NOx in coastal and inland waterways with more widespread NOx emissions limits likely to be implemented in the future. The anticipated effect of the new regulations is an improvement of coastal air quality, but there is a potential drawback in terms of reducing the climate cooling effect of SO2 caused by a change in cloud properties. However, the difficulty in measuring emissions from ships means that the overall impact and level of compliance with new and future regulations is unclear. Therefore, monitoring strategies capable of providing regular and long-term measurements of air pollutant emissions from the shipping industry are essential for fundamental research and compliance monitoring. Here we present top-down methodologies for calculating the SFC, along with emission ratios of ∆NOx/∆CO2 from individual ships. First, we demonstrate the application of an airborne platform to perform targeted measurements of ship plumes in the English Channel and Atlantic shipping lanes, allowing the comparison of emissions inside and out of sulf</w:t>
      </w:r>
    </w:p>
    <w:p>
      <w:pPr/>
      <w:r>
        <w:rPr>
          <w:b/>
        </w:rPr>
        <w:t>POSSIBLE 2024:</w:t>
      </w:r>
      <w:r>
        <w:t xml:space="preserve"> Comparative Analysis of Agricultural Emissions Across European Countries — https://doi.org/10.2478/rtuect-2024-0057</w:t>
      </w:r>
    </w:p>
    <w:p>
      <w:pPr/>
      <w:r>
        <w:rPr>
          <w:b/>
        </w:rPr>
        <w:t>Shared claim-specific concepts:</w:t>
      </w:r>
      <w:r>
        <w:t xml:space="preserve"> also, emissions, reduction; EU scope visible. This is a provisional connection, not an outcome finding.</w:t>
      </w:r>
    </w:p>
    <w:p>
      <w:pPr>
        <w:pStyle w:val="SourceNote"/>
      </w:pPr>
      <w:r>
        <w:rPr>
          <w:b/>
        </w:rPr>
        <w:t>Available abstract (not full text):</w:t>
      </w:r>
      <w:r>
        <w:t xml:space="preserve"> Abstract Agriculture is one of the main sources of greenhouse gas (GHG) emissions and has great potential for mitigating climate change. For example, agriculture in Latvia was the second largest sector of GHG emissions after energy with a 22.2 % share of total GHG emissions in 2022. The study aims to compare and analyse the amount of GHG emissions generated by agriculture per domestic product (GDP) and population in different European countries. The ambitious goals set in Europe for 2030 envisage a 30 % reduction in the industry, however, in some countries, these indicators have not only decreased in recent years but also increased. The structure of GHG emissions in 2022 in Europe is as follows: intestinal fermentation (181.1 MtCO 2 e), agricultural soils (112.9 MtCO 2 e), and manure management (61.7 MtCO 2 e). Agriculture is one of the main sources of GHG emissions and has great potential for mitigating climate change. This study aims to compare and analyze GHG emissions from agriculture in European countries against GDP, GDP against population, and population in 2022.</w:t>
      </w:r>
    </w:p>
    <w:p>
      <w:pPr/>
      <w:r>
        <w:rPr>
          <w:b/>
        </w:rPr>
        <w:t>POSSIBLE 2024:</w:t>
      </w:r>
      <w:r>
        <w:t xml:space="preserve"> Give and take: An analysis of the distributional consequences of emission tax-and-rebate schemes with an application to greenhouse gas emissions from European agriculture — https://doi.org/10.1016/j.ecolecon.2024.108154</w:t>
      </w:r>
    </w:p>
    <w:p>
      <w:pPr/>
      <w:r>
        <w:rPr>
          <w:b/>
        </w:rPr>
        <w:t>Shared claim-specific concepts:</w:t>
      </w:r>
      <w:r>
        <w:t xml:space="preserve"> also, emissions, various; EU scope visible. This is a provisional connection, not an outcome finding.</w:t>
      </w:r>
    </w:p>
    <w:p>
      <w:pPr>
        <w:pStyle w:val="SourceNote"/>
      </w:pPr>
      <w:r>
        <w:rPr>
          <w:b/>
        </w:rPr>
        <w:t>Available abstract (not full text):</w:t>
      </w:r>
      <w:r>
        <w:t xml:space="preserve"> The potential regressivity of an emission tax is a major obstacle to the implementation of this otherwise cost-effective instrument. Rebates may help overcome this difficulty. Their distributional consequences depend on their design and the distribution of agents’ initial emissions and abatement costs. We develop a stylized analytical framework to derive general conditions under which a tax-and-rebate scheme increases income inequality and compare the performances of various rebate designs. This framework is applied to the regulation of greenhouse gas emissions from European agriculture. An emission tax with no rebate is found to substantially reduce agricultural emissions (by approximately −15% for a 100 €/tCO2eq tax), but also strongly affect the total sector income (approximately −20% with the same tax rate) as well as increase income inequality. A flat rebate considerably reduces income inequality relative to pre-policy levels. For the same impacts on aggregate income and budget, a rebate proportional to initial emissions leaves pre-existing inequality virtually unchanged. A well-designed rebate can thus be critical for the acceptability of climate policy instruments.</w:t>
      </w:r>
    </w:p>
    <w:p>
      <w:pPr/>
      <w:r>
        <w:rPr>
          <w:b/>
        </w:rPr>
        <w:t>POSSIBLE 2023:</w:t>
      </w:r>
      <w:r>
        <w:t xml:space="preserve"> Is the flood occurrence rate decreasing in Southeast Europe? — https://doi.org/10.5194/egusphere-egu23-6031</w:t>
      </w:r>
    </w:p>
    <w:p>
      <w:pPr/>
      <w:r>
        <w:rPr>
          <w:b/>
        </w:rPr>
        <w:t>Shared claim-specific concepts:</w:t>
      </w:r>
      <w:r>
        <w:t xml:space="preserve"> also, decrease, reduction, three, project; EU scope visible. This is a provisional connection, not an outcome finding.</w:t>
      </w:r>
    </w:p>
    <w:p>
      <w:pPr>
        <w:pStyle w:val="SourceNote"/>
      </w:pPr>
      <w:r>
        <w:rPr>
          <w:b/>
        </w:rPr>
        <w:t>Available abstract (not full text):</w:t>
      </w:r>
      <w:r>
        <w:t xml:space="preserve"> Floods are natural phenomena, which can turn into disasters and cause widespread damage, health problems and deaths. This is particularly the case where rivers have been denied from their natural floodplains and are limited by embankments, and where housing and industrial buildings have been constructed in areas that are naturally liable to flooding. However, during the last few decades, flood observations from different parts of Europe do not show a clear increase in flood occurrence rate (Blöschl et al., 2019). In the present paper we present longer-term records of winter and summer floods in one of the largest river of Southeast Europe, the Sava River for the 1926-2021 period. We analysed three group of events that were based on three flood protection levels in Republic of Serbia defined for Sremska Mitrovica station. Regular protection level is set at 4120 m3/s and emergency flood defense level which is set at 5120 m3/s, that is, minor events are up to the regular protection level, strong events are up to the emergency level and extreme events are above emergency flood defense level. For the past 95 years, we find a decrease in both summer and winter flood occurrence rates. The reduction in winter flood occurrence can partly be attributed to reduced amount of precipitation during this period of the year. Further, on the basis of these data and methods, we find that for the </w:t>
      </w:r>
    </w:p>
    <w:p>
      <w:pPr/>
      <w:r>
        <w:rPr>
          <w:b/>
        </w:rPr>
        <w:t>POSSIBLE 2023:</w:t>
      </w:r>
      <w:r>
        <w:t xml:space="preserve"> Decreasing trends of ammonia emissions over Europe seen from remote sensing and inverse modelling — https://doi.org/10.5194/acp-23-15235-2023</w:t>
      </w:r>
    </w:p>
    <w:p>
      <w:pPr/>
      <w:r>
        <w:rPr>
          <w:b/>
        </w:rPr>
        <w:t>Shared claim-specific concepts:</w:t>
      </w:r>
      <w:r>
        <w:t xml:space="preserve"> also, showed, emissions; EU scope visible. This is a provisional connection, not an outcome finding.</w:t>
      </w:r>
    </w:p>
    <w:p>
      <w:pPr>
        <w:pStyle w:val="SourceNote"/>
      </w:pPr>
      <w:r>
        <w:rPr>
          <w:b/>
        </w:rPr>
        <w:t>Available abstract (not full text):</w:t>
      </w:r>
      <w:r>
        <w:t xml:space="preserve"> Abstract. Ammonia (NH3), a significant precursor of particulate matter, affects not only biodiversity, ecosystems, and soil acidification but also climate and human health. In addition, its concentrations are constantly rising due to increasing feeding needs and the large use of fertilization and animal farming. Despite the significance of ammonia, its emissions are associated with large uncertainties, while its atmospheric abundance is difficult to measure. Nowadays, satellite products can effectively measure ammonia with low uncertainty and a global coverage. Here, we use satellite observations of column ammonia in combination with an inversion algorithm to derive ammonia emissions with a high resolution over Europe for the period 2013–2020. Ammonia emissions peak in northern Europe due to agricultural application and livestock management, in western Europe (industrial activity), and over Spain (pig farming). Emissions have decreased by −26 % since 2013 (from 5431 Gg in 2013 to 3994 Gg in 2020), showing that the abatement strategies adopted by the European Union have been very efficient. The slight increase (+4.4 %) in 2015 is also reproduced here and is attributed to some European countries exceeding annual emission targets. Ammonia emissions are low in winter (286 Gg) and peak in summer (563 Gg) and are dominated by the temperature-dependent volatilization of ammonia from t</w:t>
      </w:r>
    </w:p>
    <w:p>
      <w:pPr>
        <w:pStyle w:val="Heading2"/>
      </w:pPr>
      <w:r>
        <w:t>687.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2022:</w:t>
      </w:r>
      <w:r>
        <w:t xml:space="preserve"> Convergence of Population Structures of the European Union Member States—The Past and the Future — https://doi.org/10.3390/su14021024</w:t>
      </w:r>
    </w:p>
    <w:p>
      <w:pPr/>
      <w:r>
        <w:rPr>
          <w:b/>
        </w:rPr>
        <w:t>Shared claim-specific concepts:</w:t>
      </w:r>
      <w:r>
        <w:t xml:space="preserve"> eurostat, projections, indicate, see, significant, ageing; EU scope visible. This is a provisional connection, not an outcome finding.</w:t>
      </w:r>
    </w:p>
    <w:p>
      <w:pPr>
        <w:pStyle w:val="SourceNote"/>
      </w:pPr>
      <w:r>
        <w:rPr>
          <w:b/>
        </w:rPr>
        <w:t>Available abstract (not full text):</w:t>
      </w:r>
      <w:r>
        <w:t xml:space="preserve"> The Eurostat projections indicate that, by 2050, most of the European Union member states will see a fall in their population size, a drop in the share of young people, and a simultaneous rise in the share of elderly persons. There exist visible disproportions in the population structures between the EU countries, and the ageing of the population has two dimensions: it is occurring from the top down and from the bottom up. The goal of the study was to assess the stage of advancement and diversity of the ageing of population in the past and in the year 2050. Convergence models were designed for ten variables (indicators for structures by age, demographic dependency, median age) and a synthetic variable characterising the stage of advancement of the ageing of the structures. The occurrence of beta- and sigma-convergence of population structures in EU-27 in the years 2004–2020 and 2020–2050 were verified. The results indicate that absolute beta-convergence of the variables characterising the population structures in the EU countries happened in the past and will happen in around 2050. No unambiguous proof has been found for sigma-convergence, i.e., for any significant decrease over time in the diversity between the countries in terms of the studied variables that characterise the ageing process. In the past, the bottom-up ageing has occurred faster than the top-down ageing, while,</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indicate, labour;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pStyle w:val="Heading2"/>
      </w:pPr>
      <w:r>
        <w:t>688.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2026:</w:t>
      </w:r>
      <w:r>
        <w:t xml:space="preserve"> AI Displacement Risk in the Labor Market: Evidence, Exposure, and the Imperative for Adaptive Organizational Strategy — https://doi.org/10.70175/hclreview.2020.33.2.6</w:t>
      </w:r>
    </w:p>
    <w:p>
      <w:pPr/>
      <w:r>
        <w:rPr>
          <w:b/>
        </w:rPr>
        <w:t>Shared claim-specific concepts:</w:t>
      </w:r>
      <w:r>
        <w:t xml:space="preserve"> article, presents, labor, skills; EU scope not established. This is a provisional connection, not an outcome finding.</w:t>
      </w:r>
    </w:p>
    <w:p>
      <w:pPr>
        <w:pStyle w:val="SourceNote"/>
      </w:pPr>
      <w:r>
        <w:rPr>
          <w:b/>
        </w:rPr>
        <w:t>Available abstract (not full text):</w:t>
      </w:r>
      <w:r>
        <w:t xml:space="preserve"> Artificial intelligence—particularly generative large language models (LLMs)—presents organizations with a transformative technology whose labor market implications remain nascent yet consequential. This article synthesizes emerging empirical research on AI-driven job displacement and augmentation, focusing on the gap between theoretical automation potential and observed real-world implementation. Drawing on recent studies that combine task-level exposure metrics with employment and usage data, it examines which occupations face greatest risk, how demographic characteristics intersect with exposure, and the limited but suggestive early evidence of labor market disruption. The article then proposes evidence-based organizational responses—ranging from transparent workforce planning and skills investment to redesigned roles and adaptive governance—alongside long-term capability-building strategies. By grounding recommendations in validated research, this work offers leaders a framework for navigating AI's labor implications responsibly, mitigating harm, and preparing for an accelerating pace of workplace transformation.</w:t>
      </w:r>
    </w:p>
    <w:p>
      <w:pPr/>
      <w:r>
        <w:rPr>
          <w:b/>
        </w:rPr>
        <w:t>POSSIBLE 2025:</w:t>
      </w:r>
      <w:r>
        <w:t xml:space="preserve"> Review of Methods and Models for Forecasting Electricity Consumption — https://doi.org/10.3390/en18154032</w:t>
      </w:r>
    </w:p>
    <w:p>
      <w:pPr/>
      <w:r>
        <w:rPr>
          <w:b/>
        </w:rPr>
        <w:t>Shared claim-specific concepts:</w:t>
      </w:r>
      <w:r>
        <w:t xml:space="preserve"> article, presents, forecasts, need; EU scope not established. This is a provisional connection, not an outcome finding.</w:t>
      </w:r>
    </w:p>
    <w:p>
      <w:pPr>
        <w:pStyle w:val="SourceNote"/>
      </w:pPr>
      <w:r>
        <w:rPr>
          <w:b/>
        </w:rPr>
        <w:t>Available abstract (not full text):</w:t>
      </w:r>
      <w:r>
        <w:t xml:space="preserve"> This article presents a comprehensive review of methods used for forecasting electricity consumption. The studies analyzed by the authors encompass both classical statistical models and modern approaches based on artificial intelligence, including machine-learning and deep-learning techniques. Electricity load forecasting is categorized into four time horizons: very short term, short term, medium term, and long term. The authors conducted a comparative analysis of various models, such as autoregressive models, neural networks, fuzzy logic systems, hybrid models, and evolutionary algorithms. Particular attention was paid to the effectiveness of these methods in the context of variable input data, such as weather conditions, seasonal fluctuations, and changes in energy consumption patterns. The article emphasizes the growing importance of accurate forecasts in the context of the energy transition, integration of renewable energy sources, and the management of the evolving electricity system, shaped by decentralization, renewable integration, and data-intensive forecasting demands. In conclusion, the authors highlight the lack of a universal forecasting approach and the need for further research on hybrid models that combine interpretability with high predictive accuracy. This review can serve as a valuable resource for decision-makers, grid operators, and researchers involved in </w:t>
      </w:r>
    </w:p>
    <w:p>
      <w:pPr/>
      <w:r>
        <w:rPr>
          <w:b/>
        </w:rPr>
        <w:t>POSSIBLE 2025:</w:t>
      </w:r>
      <w:r>
        <w:t xml:space="preserve"> THE IMPROVEMENT OF PERSONNEL LABOR ORGANIZATION IN SERVICE SECTOR: THE INFLUENCE OF BRANCH FEATURES — https://doi.org/10.55421/2499992x_2025_5_38</w:t>
      </w:r>
    </w:p>
    <w:p>
      <w:pPr/>
      <w:r>
        <w:rPr>
          <w:b/>
        </w:rPr>
        <w:t>Shared claim-specific concepts:</w:t>
      </w:r>
      <w:r>
        <w:t xml:space="preserve"> article, presents, labor, organization, need; EU scope not established. This is a provisional connection, not an outcome finding.</w:t>
      </w:r>
    </w:p>
    <w:p>
      <w:pPr>
        <w:pStyle w:val="SourceNote"/>
      </w:pPr>
      <w:r>
        <w:rPr>
          <w:b/>
        </w:rPr>
        <w:t>Available abstract (not full text):</w:t>
      </w:r>
      <w:r>
        <w:t xml:space="preserve"> The article presents proposals for selecting priority areas of improving labor organization at a service enterprise. First of all, the management of a service enterprise is recommended to pay attention to the efficiency of employee labor (labor productivity). The author's view on the relationship between such concepts as labor efficiency, labor productivity, and key performance indicators is presented. The features of applying these concepts specifically in the service sector are analyzed. The conclusion is substantiated about the need to apply the concept of «labor efficiency» in the activities of a service enterprise because this concept the most accurately reflects the industry-specific features of the service sector. Recommendations are formulated for selecting units of measurement when calculating and analyzing labor efficiency indicators for personnel of a service enterprise. Possible difficulties in interpreting the results of evaluating the efficiency of personnel are analyzed...</w:t>
      </w:r>
    </w:p>
    <w:p>
      <w:pPr/>
      <w:r>
        <w:rPr>
          <w:b/>
        </w:rPr>
        <w:t>POSSIBLE 2025:</w:t>
      </w:r>
      <w:r>
        <w:t xml:space="preserve"> Monitoring of the Organization of Professional and Labor Education of Students in Vocational Education Institutions of the Moscow Region — https://doi.org/10.12737/1998-1740-2025-13-1-3-10</w:t>
      </w:r>
    </w:p>
    <w:p>
      <w:pPr/>
      <w:r>
        <w:rPr>
          <w:b/>
        </w:rPr>
        <w:t>Shared claim-specific concepts:</w:t>
      </w:r>
      <w:r>
        <w:t xml:space="preserve"> article, presents, labor, organization, professional, managers; EU scope not established. This is a provisional connection, not an outcome finding.</w:t>
      </w:r>
    </w:p>
    <w:p>
      <w:pPr>
        <w:pStyle w:val="SourceNote"/>
      </w:pPr>
      <w:r>
        <w:rPr>
          <w:b/>
        </w:rPr>
        <w:t>Available abstract (not full text):</w:t>
      </w:r>
      <w:r>
        <w:t xml:space="preserve"> The article is devoted to the results of monitoring the organization of vocational education and training in institutions of secondary vocational education (SPE) in the Moscow region. The purpose of the study was to develop recommendations for improving the effectiveness of vocational training based on an analysis of existing areas and results of labor education in professional educational organizations in the region. The article presents the results of a study to identify areas of labor education in vocational education organizations in the Moscow region, an analysis of the needs of enterprises in the region to attract young professionals, and a study of the results of early employment of young professionals in the branches of the Moscow region. In addition, the most effective projects, actions and events implemented by vocational education and training organizations were identified. Based on the results obtained, recommendations were developed to improve the organization of PTV in the organizations of the Moscow region. The article will be useful for managers and teachers of vocational education organizations, as well as for specialists involved in vocational education and youth employment.</w:t>
      </w:r>
    </w:p>
    <w:p>
      <w:pPr/>
      <w:r>
        <w:rPr>
          <w:b/>
        </w:rPr>
        <w:t>POSSIBLE 2024:</w:t>
      </w:r>
      <w:r>
        <w:t xml:space="preserve"> Development of the international transportation projects in Russia – forecast until 2030 year — https://doi.org/10.64457/ru-science-2024-i03-a02</w:t>
      </w:r>
    </w:p>
    <w:p>
      <w:pPr/>
      <w:r>
        <w:rPr>
          <w:b/>
        </w:rPr>
        <w:t>Shared claim-specific concepts:</w:t>
      </w:r>
      <w:r>
        <w:t xml:space="preserve"> article, presents, forecasts, international, until; EU scope not established. This is a provisional connection, not an outcome finding.</w:t>
      </w:r>
    </w:p>
    <w:p>
      <w:pPr>
        <w:pStyle w:val="SourceNote"/>
      </w:pPr>
      <w:r>
        <w:rPr>
          <w:b/>
        </w:rPr>
        <w:t>Available abstract (not full text):</w:t>
      </w:r>
      <w:r>
        <w:t xml:space="preserve"> This article presents forecasts of the development of international infrastructure projects for the next decade. The author examines the transport infrastructure of Russia, sea and rail international transport corridors, highlighting the most promising areas for development. The article presents a retrospective of the formation of transport infrastructure from the beginning of the twentieth century to the present, and also examines promising areas for the development of transport logistics in modern realities. The historically established pattern is currently changing under the pressure of sanctions, and the political situation on the world stage is pushing to explore new directions and develop new international relations. In the article, the author tried to identify current trends in the development of the Russian transport network until 2030, considering examples of sea and rail transport routes.</w:t>
      </w:r>
    </w:p>
    <w:p>
      <w:pPr/>
      <w:r>
        <w:rPr>
          <w:b/>
        </w:rPr>
        <w:t>POSSIBLE 2024:</w:t>
      </w:r>
      <w:r>
        <w:t xml:space="preserve"> Machine Learning-Based Forecasting of Temperature and Solar Irradiance for Photovoltaic Systems — https://doi.org/10.3390/en17051124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integration of photovoltaic (PV) systems into the global energy landscape has been boosted in recent years, driven by environmental concerns and research into renewable energy sources. The accurate prediction of temperature and solar irradiance is essential for optimizing the performance and grid integration of PV systems. Machine learning (ML) has become an effective tool for improving the accuracy of these predictions. This comprehensive review explores the pioneer techniques and methodologies employed in the field of ML-based forecasting of temperature and solar irradiance for PV systems. This article presents a comparative study between various algorithms and techniques commonly used for temperature and solar radiation forecasting. These include regression models such as decision trees, random forest, XGBoost, and support vector machines (SVM). The beginning of this article highlights the importance of accurate weather forecasts for the operation of PV systems and the challenges associated with traditional meteorological models. Next, fundamental concepts of machine learning are explored, highlighting the benefits of improved accuracy in estimating the PV power generation for grid integration.</w:t>
      </w:r>
    </w:p>
    <w:p>
      <w:pPr/>
      <w:r>
        <w:rPr>
          <w:b/>
        </w:rPr>
        <w:t>POSSIBLE 2024:</w:t>
      </w:r>
      <w:r>
        <w:t xml:space="preserve"> Current Areas of International Labor Organization Activity for the Progressive Development of International Labor Law — https://doi.org/10.24833/2073-8420-2023-4-69-21-31</w:t>
      </w:r>
    </w:p>
    <w:p>
      <w:pPr/>
      <w:r>
        <w:rPr>
          <w:b/>
        </w:rPr>
        <w:t>Shared claim-specific concepts:</w:t>
      </w:r>
      <w:r>
        <w:t xml:space="preserve"> article, presents, international, labor, organization, need; EU scope visible. This is a provisional connection, not an outcome finding.</w:t>
      </w:r>
    </w:p>
    <w:p>
      <w:pPr>
        <w:pStyle w:val="SourceNote"/>
      </w:pPr>
      <w:r>
        <w:rPr>
          <w:b/>
        </w:rPr>
        <w:t>Available abstract (not full text):</w:t>
      </w:r>
      <w:r>
        <w:t xml:space="preserve"> Introduction. The article presents an analysis of the current activities of the International Labor Organization (hereinafter reffered to as the ILO) on the unification of existing and the development of the latest international labor standards for two categories of workers. In particular, we would like to draw attention to the lack of international legal labor standards for professional athletes and the necessary norms to protect their labor rights. In international law, there are a number of universal and regional international legal acts dedicated to professional sports, for example, the International Convention against Apartheid in Sports of 1985, the International Convention against Doping in Sports of 2005, the Council of Europe Convention against Doping of 1989. However, there are no issues of regulating the work of athletes and protecting their labor rights in international legal acts. Another issue that requires the closest attention from the ILO in terms of the progressive development of international labor law is the regulation of remote (remote) work. The article examines various forms of remote work, and also presents a comparative legal analysis of the status of a homeworker and a remote (remote) worker in accordance with ILO documents. Materials and methods. The methodological basis of the study was the following general scientific and special methods of cognitio</w:t>
      </w:r>
    </w:p>
    <w:p>
      <w:pPr>
        <w:pStyle w:val="Heading2"/>
      </w:pPr>
      <w:r>
        <w:t>689.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CO2 in The Realm of Net-Zero — https://doi.org/10.30967/ijcrset/ekrem-alagoz/211</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The paper titled "CO2 in the realm of Net Zero" provides a detailed analysis of the efforts to reduce CO2 emissions and achieve net-zero emissions. The paper emphasizes the importance of reducing CO2 emissions to mitigate the impacts of climate change. The paper discusses the role of Carbon Capture, Utilization, and Storage (CCUS) technology in reducing CO2 emissions in the energy sector and analyzes different approaches towards achieving a net-zero emissions target. The paper also evaluates the challenges and opportunities for reducing CO2 emissions in the manufacturing and transportation industries. Additionally, the paper explores the concept of the circular carbon economy and its potential to reduce CO2 emissions. Finally, the paper summarizes the key findings from various case studies and analyses and highlights the overall challenges and opportunities for reducing CO2 emissions in various industries. The paper concludes by emphasizing the importance of continued efforts in this area and highlighting the implications for future initiatives in reducing CO2 emissions and achieving net-zero.</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2025:</w:t>
      </w:r>
      <w:r>
        <w:t xml:space="preserve"> Green energy and steel imports reduce Europe’s net-zero infrastructure needs — https://doi.org/10.1038/s41467-025-60652-1</w:t>
      </w:r>
    </w:p>
    <w:p>
      <w:pPr/>
      <w:r>
        <w:rPr>
          <w:b/>
        </w:rPr>
        <w:t>Shared claim-specific concepts:</w:t>
      </w:r>
      <w:r>
        <w:t xml:space="preserve"> infrastructure, carbon, need, hydrogen; EU scope visible. This is a provisional connection, not an outcome finding.</w:t>
      </w:r>
    </w:p>
    <w:p>
      <w:pPr>
        <w:pStyle w:val="SourceNote"/>
      </w:pPr>
      <w:r>
        <w:rPr>
          <w:b/>
        </w:rPr>
        <w:t>Available abstract (not full text):</w:t>
      </w:r>
      <w:r>
        <w:t xml:space="preserve"> Importing renewable energy to Europe may offer many potential benefits, including reduced energy costs, lower pressure on infrastructure development, and less land use within Europe. However, open questions remain: on the achievable cost reductions, how much should be imported, whether the energy vector should be electricity, hydrogen, or derivatives like ammonia or steel, and their impact on Europe's infrastructure needs. This study integrates a global energy supply chain model with a European energy system model to explore net-zero emission scenarios with varying import volumes, costs, and vectors. We find system cost reductions of 1-10%, within import cost variations of ± 20%, with diminishing returns for larger import volumes and a preference for methanol, steel and hydrogen imports. Keeping some domestic power-to-X production is beneficial for integrating variable renewables, leveraging local carbon sources and power-to-X waste heat. Our findings highlight the need for coordinating import strategies with infrastructure policy and reveal maneuvering space for incorporating non-cost decision factors.</w:t>
      </w:r>
    </w:p>
    <w:p>
      <w:pPr/>
      <w:r>
        <w:rPr>
          <w:b/>
        </w:rPr>
        <w:t>POSSIBLE 2025:</w:t>
      </w:r>
      <w:r>
        <w:t xml:space="preserve"> Carbon storage portfolios for the transition to net zero — https://doi.org/10.1016/j.joule.2025.102164</w:t>
      </w:r>
    </w:p>
    <w:p>
      <w:pPr/>
      <w:r>
        <w:rPr>
          <w:b/>
        </w:rPr>
        <w:t>Shared claim-specific concepts:</w:t>
      </w:r>
      <w:r>
        <w:t xml:space="preserve"> net, zero, targets, carbon; EU scope not established. This is a provisional connection, not an outcome finding.</w:t>
      </w:r>
    </w:p>
    <w:p>
      <w:pPr>
        <w:pStyle w:val="SourceNote"/>
      </w:pPr>
      <w:r>
        <w:rPr>
          <w:b/>
        </w:rPr>
        <w:t>Available abstract (not full text):</w:t>
      </w:r>
      <w:r>
        <w:t xml:space="preserve"> Net-zero targets are widely adopted by companies and countries worldwide. To achieve these goals, more companies are investing in diverse carbon removal portfolios. This study develops a new risk management framework that combines forestry, biochar, and geological storage offsets into portfolios that could stabilize global temperatures over multi-century time periods. We find that if a carbon storage portfolio reaches an equilibrium state of CO 2 stored, it can be leveraged to stabilize global temperatures by increasing the size of the portfolio relative to the amount of removal claimed. For moderate-risk primarily forestry portfolios retaining 0.75–0.55 tCO 2 of the 1 tCO 2 stored, an additional 0.30–0.80 tCO 2 removal is needed to offset re-releases over 1,000 years. High-risk portfolios retaining only 0.10 tCO 2 require over 9 tCO 2 additional removal. Portfolios that are predicted to re-release almost all CO 2 cannot be leveraged and are ineffective at meeting temperature stabilization goals. These findings have implications for policy and corporate climate action.</w:t>
      </w:r>
    </w:p>
    <w:p>
      <w:pPr/>
      <w:r>
        <w:rPr>
          <w:b/>
        </w:rPr>
        <w:t>POSSIBLE 2024:</w:t>
      </w:r>
      <w:r>
        <w:t xml:space="preserve"> Managing CO2 under global and country-specific net-zero emissions targets in Europe — https://doi.org/10.48550/arxiv.2407.18653</w:t>
      </w:r>
    </w:p>
    <w:p>
      <w:pPr/>
      <w:r>
        <w:rPr>
          <w:b/>
        </w:rPr>
        <w:t>Shared claim-specific concepts:</w:t>
      </w:r>
      <w:r>
        <w:t xml:space="preserve"> targets, gas, network, carbon, methane; EU scope visible. This is a provisional connection, not an outcome finding.</w:t>
      </w:r>
    </w:p>
    <w:p>
      <w:pPr>
        <w:pStyle w:val="SourceNote"/>
      </w:pPr>
      <w:r>
        <w:rPr>
          <w:b/>
        </w:rPr>
        <w:t>Available abstract (not full text):</w:t>
      </w:r>
      <w:r>
        <w:t xml:space="preserve"> The European Union (EU) aims to reach carbon neutrality by 2050. This requires capturing CO2, eventually transporting it to different regions, and either converting it into valuable products or sequestering it underground. Although the target is set for the entire EU, in practice, most of the governance and strategy to attain it remains in the individual member states. Previous literature modelling how Europe can achieve carbon neutrality has either considered only a global CO2 limit or used coarse spatial and temporal representation without proper network modelling. Here, we use a highly-resolved open model of the European sector-coupled energy system, PyPSA-Eur, to explore the impacts of imposing net-zero emissions globally for the entire EU versus imposing carbon neutrality for each country. Forcing net-zero emissions in every country increases system cost by 1.4%, demands varied CO2 prices, and triggers higher investment in direct air capture and renewable capacities. Furthermore, in both scenarios, a significant portion of the captured CO2 is transported across Europe, either directly via CO2 pipelines or indirectly via solid biomass or synthetic methane gas, methanol, and oil. Our research enables quantifying the impact of following a collaborative or self-sufficient carbon management strategy to attain carbon neutrality.</w:t>
      </w:r>
    </w:p>
    <w:p>
      <w:pPr/>
      <w:r>
        <w:rPr>
          <w:b/>
        </w:rPr>
        <w:t>POSSIBLE 2024:</w:t>
      </w:r>
      <w:r>
        <w:t xml:space="preserve"> Net Zero Emissions and Positive Energy Districts: A Potential Solution to Achieve the European Climate Targets — https://doi.org/10.1109/eeeic/icpseurope61470.2024.10751307</w:t>
      </w:r>
    </w:p>
    <w:p>
      <w:pPr/>
      <w:r>
        <w:rPr>
          <w:b/>
        </w:rPr>
        <w:t>Shared claim-specific concepts:</w:t>
      </w:r>
      <w:r>
        <w:t xml:space="preserve"> net, zero, targets, network, developed, carbon; EU scope visible. This is a provisional connection, not an outcome finding.</w:t>
      </w:r>
    </w:p>
    <w:p>
      <w:pPr>
        <w:pStyle w:val="SourceNote"/>
      </w:pPr>
      <w:r>
        <w:rPr>
          <w:b/>
        </w:rPr>
        <w:t>Available abstract (not full text):</w:t>
      </w:r>
      <w:r>
        <w:t xml:space="preserve"> Net-zero emissions and positive energy districts are innovative urban planning solutions for reaching the decarbonization targets defined by the European Commission. Districts are gaining wide attention representing communities where different elements and energy systems are interconnected, leading to potential opportunities for achieving climate neutrality that may not be achievable at the level of individual buildings. In addition, the evaluation of the performances has shifted from a nearly zero-energy approach to more demanding and rigorous concepts of positive energy and zero climate emissions. To this end, the authors show and describe a case study related to a new district that will be built in Bologna (41 400 m2 of heated/cooled floor surface area). The theoretical energy demand plus the 5th generation district heating and cooling network supplying the buildings and the electricity produced by the on-site photovoltaic plant (and the associated climate profiles) are evaluated by a Fortran App specifically developed. The net balance approach (used for reaching carbon neutrality) was calculated using the process-based life cycle assessment method. The authors show the outcomes obtained and potential solutions for decarbonization.</w:t>
      </w:r>
    </w:p>
    <w:p>
      <w:pPr/>
      <w:r>
        <w:rPr>
          <w:b/>
        </w:rPr>
        <w:t>POSSIBLE 2024:</w:t>
      </w:r>
      <w:r>
        <w:t xml:space="preserve"> Reconfiguring European industry for net-zero: a qualitative review of hydrogen and carbon capture utilization and storage benefits and implementation challenges — https://doi.org/10.1039/d3ee03270a</w:t>
      </w:r>
    </w:p>
    <w:p>
      <w:pPr/>
      <w:r>
        <w:rPr>
          <w:b/>
        </w:rPr>
        <w:t>Shared claim-specific concepts:</w:t>
      </w:r>
      <w:r>
        <w:t xml:space="preserve"> carbon, hydrogen; EU scope visible. This is a provisional connection, not an outcome finding.</w:t>
      </w:r>
    </w:p>
    <w:p>
      <w:pPr>
        <w:pStyle w:val="SourceNote"/>
      </w:pPr>
      <w:r>
        <w:rPr>
          <w:b/>
        </w:rPr>
        <w:t>Available abstract (not full text):</w:t>
      </w:r>
      <w:r>
        <w:t xml:space="preserve"> This paper explores the benefits, barriers, and justice impacts of industrial decarbonization via hydrogen and carbon capture utilization and storage (CCUS) via European industrial firms located in UK clusters.</w:t>
      </w:r>
    </w:p>
    <w:p>
      <w:pPr/>
      <w:r>
        <w:rPr>
          <w:b/>
        </w:rPr>
        <w:t>POSSIBLE 2024:</w:t>
      </w:r>
      <w:r>
        <w:t xml:space="preserve"> The impact of national policies on Europe-wide power system transition towards net-zero 2050 — https://doi.org/10.1016/j.energy.2024.133216</w:t>
      </w:r>
    </w:p>
    <w:p>
      <w:pPr/>
      <w:r>
        <w:rPr>
          <w:b/>
        </w:rPr>
        <w:t>Shared claim-specific concepts:</w:t>
      </w:r>
      <w:r>
        <w:t xml:space="preserve"> gas, power; EU scope visible. This is a provisional connection, not an outcome finding.</w:t>
      </w:r>
    </w:p>
    <w:p>
      <w:pPr>
        <w:pStyle w:val="SourceNote"/>
      </w:pPr>
      <w:r>
        <w:rPr>
          <w:b/>
        </w:rPr>
        <w:t>Available abstract (not full text):</w:t>
      </w:r>
      <w:r>
        <w:t xml:space="preserve"> This research aims to investigate the potential impact of national policies on the attainment of Europe's goal of achieving net-zero greenhouse gas emissions by 2050. Specifically, it analyses the effects of policies on the power sector, by evaluating capacity expansion portfolios, import reliance, and costs by 2050. A linear programming model, the IESA-EUPS, is utilized to optimize the expansion and operation of the power system , considering 28 nodes and hourly temporal resolution. The study includes five scenarios from 2020 to 2050, with varying levels of biomass and nuclear penetration based on existing member state policies. Results show that by 2050, changes mainly occur in the interplay between firm capacities and cross-border transmission levels. Limiting biomass can significantly increase nuclear energy generation , while enforcing all policies leads to a 40 % rise in cross-border transmission by 2050, due to imbalances between countries. Some member states, such as Spain and Finland, are less affected, whereas others are heavily reliant on firm nuclear capacities. Western European countries with strict biomass and nuclear restrictions may see a boost in nuclear installations in countries allowing it. Member states without both nuclear and biomass may rely more on variable renewables, resulting in surplus electricity and increased LCOE .</w:t>
      </w:r>
    </w:p>
    <w:p>
      <w:pPr/>
      <w:r>
        <w:rPr>
          <w:b/>
        </w:rPr>
        <w:t>POSSIBLE 2024:</w:t>
      </w:r>
      <w:r>
        <w:t xml:space="preserve"> Sustainable Energy Pathways to Net Zero — https://doi.org/10.1201/9781003396154</w:t>
      </w:r>
    </w:p>
    <w:p>
      <w:pPr/>
      <w:r>
        <w:rPr>
          <w:b/>
        </w:rPr>
        <w:t>Shared claim-specific concepts:</w:t>
      </w:r>
      <w:r>
        <w:t xml:space="preserve"> net, zero, carbon, gases, hydrogen, power; EU scope not established. This is a provisional connection, not an outcome finding.</w:t>
      </w:r>
    </w:p>
    <w:p>
      <w:pPr>
        <w:pStyle w:val="SourceNote"/>
      </w:pPr>
      <w:r>
        <w:rPr>
          <w:b/>
        </w:rPr>
        <w:t>Available abstract (not full text):</w:t>
      </w:r>
      <w:r>
        <w:t xml:space="preserve"> Sustainable Energy Pathways to Net Zero addresses realistic pathways between now and 2050 to reach net zero: a steady state concentration of greenhouse gases in the atmosphere. It discusses solar and wind energy, hydrogen, energy storage, and electric vehicles, all of which are becoming an increasingly cost-efficient part of these pathways. Hydrogen, the price of electricity, the integration of different sources of electricity into the electrical grid, and the electric vehicle charging networks are crucial in balancing supply and demand. This book describes how these different energy factors fit together. It emphasizes the fact that the intersection of these technologies is where the most profound advances can occur. Features: Emphasizes the importance of demand management for electricity and reducing cost. Explains the economics of reaching net zero emissions and the role of innovation and public policies, among others. Discusses the cost and efficiency of solar and wind power, electric vehicles, and storage technologies, and describes the benefits of battery swapping. Focuses on the role of integration of different sources of electricity into the electrical grid as an important part of the pathway. Recommends research and development on electrochemical processes to remove carbon from the ocean. Written in a simple language for a general audience and understandable for a globa</w:t>
      </w:r>
    </w:p>
    <w:p>
      <w:pPr>
        <w:pStyle w:val="Heading2"/>
      </w:pPr>
      <w:r>
        <w:t>690.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2026:</w:t>
      </w:r>
      <w:r>
        <w:t xml:space="preserve"> Adoption of Digital Micro Wakaf Bank by Ultra-Micro and Micro Businesses in Indonesia — https://doi.org/10.62159/sembj.v7i2.2237</w:t>
      </w:r>
    </w:p>
    <w:p>
      <w:pPr/>
      <w:r>
        <w:rPr>
          <w:b/>
        </w:rPr>
        <w:t>Shared claim-specific concepts:</w:t>
      </w:r>
      <w:r>
        <w:t xml:space="preserve"> micro, called, partial, used; EU scope not established. This is a provisional connection, not an outcome finding.</w:t>
      </w:r>
    </w:p>
    <w:p>
      <w:pPr>
        <w:pStyle w:val="SourceNote"/>
      </w:pPr>
      <w:r>
        <w:rPr>
          <w:b/>
        </w:rPr>
        <w:t>Available abstract (not full text):</w:t>
      </w:r>
      <w:r>
        <w:t xml:space="preserve"> Background: Micro, small, and medium enterprises (MSMEs) are the backbone of the economy of Indonesia. Despite that fact, ultra-micro and micro entrepreneurs still face several constraints. Micro Waqf Bank (MWB) is one solution that utilizes Islamic social funds. This solution develops digital financial services to expand access to financing, efficiency of services, and business development. The limited study of ultra-micro and micro-entrepreneurs’ adoption of MWB’s digitalization makes this research important. Method: This research uses a mixed-methods approach, combining quantitative and qualitative methods. In this research, a sequential/stepwise mixed-methods strategy was used, with a sequential exploratory design. The analysis technique used in this research is a qualitative descriptive analysis technique, or what is usually called explanation making, namely, by using data analysis methods and describing the results of interview observations to find out in depth about the adoption of digital MWBs in the 5 MWBs. The quantitative method data analysis technique used by researchers uses the Partial Least Squares (PLS) method with SmartPLS software. Results: The research results show that there are several obstacles that prevent the use of the MWB mobile from being used comprehensively. However, the intention of ultramicro and micro business actors who are BMW customers to use </w:t>
      </w:r>
    </w:p>
    <w:p>
      <w:pPr/>
      <w:r>
        <w:rPr>
          <w:b/>
        </w:rPr>
        <w:t>POSSIBLE 2025:</w:t>
      </w:r>
      <w:r>
        <w:t xml:space="preserve"> Improved LEACH Model with Efficient Data Gathering Scheme for Mobile Internet of Things — https://doi.org/10.1109/icngcs64900.2025.11183334</w:t>
      </w:r>
    </w:p>
    <w:p>
      <w:pPr/>
      <w:r>
        <w:rPr>
          <w:b/>
        </w:rPr>
        <w:t>Shared claim-specific concepts:</w:t>
      </w:r>
      <w:r>
        <w:t xml:space="preserve"> gathering, diverse, article; EU scope not established. This is a provisional connection, not an outcome finding.</w:t>
      </w:r>
    </w:p>
    <w:p>
      <w:pPr>
        <w:pStyle w:val="SourceNote"/>
      </w:pPr>
      <w:r>
        <w:rPr>
          <w:b/>
        </w:rPr>
        <w:t>Available abstract (not full text):</w:t>
      </w:r>
      <w:r>
        <w:t xml:space="preserve"> The Internet of Things (IoT) is a rapidly emerging field that is gaining a lot of interest from the academic and industrial sectors. It facilitates the communication of extremely huge amounts of data from a variety of smart devices. Owing to the diverse range of IoT devices, the network experienced several issues like excessive power consumption, latency, and data congestion. To overcome these drawbacks, in this an article, improved leach model with an efficient data-gathering scheme is developed in the mobile IoT environment (ILEDGM). The core modules of this ILEDGM are network energy model construction, improved leach model, and communication process. These modules are included in the ns3 program, which analyzes the network’s performance. Data correctness, data loss, transportation overhead, throughput, and averaging latency are the metrics taken into account. The final presentation shows that the suggested ILEDGM outperformed the other approaches in terms of throughput and data success rate. The experimental findings are compared with the preceding methods.</w:t>
      </w:r>
    </w:p>
    <w:p>
      <w:pPr/>
      <w:r>
        <w:rPr>
          <w:b/>
        </w:rPr>
        <w:t>POSSIBLE 2025:</w:t>
      </w:r>
      <w:r>
        <w:t xml:space="preserve"> Teacher Contextual Knowledge (XK) Development: The Case of Yogyakarta, Indonesia — https://doi.org/10.54855/callej.252646</w:t>
      </w:r>
    </w:p>
    <w:p>
      <w:pPr/>
      <w:r>
        <w:rPr>
          <w:b/>
        </w:rPr>
        <w:t>Shared claim-specific concepts:</w:t>
      </w:r>
      <w:r>
        <w:t xml:space="preserve"> macro, contextual, micro, used; EU scope not established. This is a provisional connection, not an outcome finding.</w:t>
      </w:r>
    </w:p>
    <w:p>
      <w:pPr>
        <w:pStyle w:val="SourceNote"/>
      </w:pPr>
      <w:r>
        <w:rPr>
          <w:b/>
        </w:rPr>
        <w:t>Available abstract (not full text):</w:t>
      </w:r>
      <w:r>
        <w:t xml:space="preserve"> Technological Pedagogical and Content Knowledge (TPACK) is one of the most prominent frameworks that outlines the types of knowledge teachers need to teach effectively with technology. Recent research on TPACK has emphasised Contextual Knowledge (XK), which accounts for teachers’ understanding of where teaching and learning are situated. Aiming to contribute to advancing research on XK, this case study investigated teachers’ development of XK and the challenges they faced in the process. The participants were five English language teachers across two secondary schools in Yogyakarta, Indonesia. The data were primarily gathered through in-depth interviews, informed by teachers’ lesson plans and digital teaching artefacts. Three layers of context –micro (classroom level), meso (school and community levels), and macro (national and global levels) –were used as a framework for analysing the data. Derived through thematic analysis, the findings highlight that participating teachers benefitted from informal engagement with students at the micro level, as well as collegial collaboration and professional learning at the meso level. At the macro level, they talked about the usefulness of technology-mediated professional learning, particularly through social media. Time constraints due to teacher workload were identified as a key barrier to their XK development. The study highlights the i</w:t>
      </w:r>
    </w:p>
    <w:p>
      <w:pPr/>
      <w:r>
        <w:rPr>
          <w:b/>
        </w:rPr>
        <w:t>POSSIBLE 2024:</w:t>
      </w:r>
      <w:r>
        <w:t xml:space="preserve"> Hands-On Data Gathering — https://doi.org/10.4312/vestnik.16.155-174</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Data collection is a fundamental aspect of linguistic and sociolinguistic research methodologies, and while many scholars may choose to gather their own data, others tend to rely solely on data that are readily available. There are various different methods of elicitation, including conducting interviews, questionnaires or leading focus groups to gather data, either as the main source of information or to complement existing material, which will most likely enhance both the quality of the research as well enriching the researcher’s personal experience. This paper aims to elucidate the experience gained by two researchers who implemented different data-collection methodologies during their research projects, to gather suitable data and conduct their analysis of the English language – one written the other oral – in two diverse, yet specialized, settings. They introduce their subjects of study and the communities in which the studies took place in order to help the reader get acquainted with the context, and then proceed to describe the processes they carried out. Their aim is to offer a retrospective on the decisions made, the evolution of their data-gathering approaches to determine the suitability of the focal methodologies, and the results.The aim of the paper is to contribute to the literature and applied linguistics research fields by disseminating empirical information on </w:t>
      </w:r>
    </w:p>
    <w:p>
      <w:pPr/>
      <w:r>
        <w:rPr>
          <w:b/>
        </w:rPr>
        <w:t>POSSIBLE 2023:</w:t>
      </w:r>
      <w:r>
        <w:t xml:space="preserve"> Editors’ Note: Assembly, Gathering and Being with Dance — https://doi.org/10.1017/s0149767723000293</w:t>
      </w:r>
    </w:p>
    <w:p>
      <w:pPr/>
      <w:r>
        <w:rPr>
          <w:b/>
        </w:rPr>
        <w:t>Shared claim-specific concepts:</w:t>
      </w:r>
      <w:r>
        <w:t xml:space="preserve"> gathering, diverse, view; EU scope not established. This is a provisional connection, not an outcome finding.</w:t>
      </w:r>
    </w:p>
    <w:p>
      <w:pPr>
        <w:pStyle w:val="SourceNote"/>
      </w:pPr>
      <w:r>
        <w:rPr>
          <w:b/>
        </w:rPr>
        <w:t>Available abstract (not full text):</w:t>
      </w:r>
      <w:r>
        <w:t xml:space="preserve"> Editors' Note: Assembly, Gathering and Being with DanceAssembly offers an affair of appearance in which people find common ground in public view or private space.Dance, social choreography, protests, and other forms of assembly are marked by actions that index shared beliefs about the self, the group, and broader social conditions.Assembly might be interpreted as expressing self-determination and the sovereignty of a commons-an ephemeral consolidation of bodies made manifest by the mutual decision to show up for something (Hardt and Negri 2017).That said, although spontaneous gatherings or carefully planned political protests might signal shared values through acts of popular will, copresence is not synonymous with homogeneity.Thus, an interest in the complexities of group formationthe processes and politics of gathering amid dance-drives this special issue of Dance Research Journal.Whereas assembly can be a strategy of turning the singular into the plural or the crowd into the collective, the practice of gathering-whether in a classroom, at a protest, or online-is rarely simple or straightforward.Sure, the presence of those gathered may be intentional, but a politics of belonging conditions the diverse experience of being together.Increasingly, gatherings are facilitated, framed, and disseminated by technological devices and artificial intelligence systems.We wondered, what ar</w:t>
      </w:r>
    </w:p>
    <w:p>
      <w:pPr/>
      <w:r>
        <w:rPr>
          <w:b/>
        </w:rPr>
        <w:t>POSSIBLE 2023:</w:t>
      </w:r>
      <w:r>
        <w:t xml:space="preserve"> Analyzing Communication Strategies in Polyglot Indonesia National Gathering Chapter Semarang: Ethnography of Communication Study — https://doi.org/10.55324/ijoms.v2i12.656</w:t>
      </w:r>
    </w:p>
    <w:p>
      <w:pPr/>
      <w:r>
        <w:rPr>
          <w:b/>
        </w:rPr>
        <w:t>Shared claim-specific concepts:</w:t>
      </w:r>
      <w:r>
        <w:t xml:space="preserve"> gathering, analyzing, article, used; EU scope not established. This is a provisional connection, not an outcome finding.</w:t>
      </w:r>
    </w:p>
    <w:p>
      <w:pPr>
        <w:pStyle w:val="SourceNote"/>
      </w:pPr>
      <w:r>
        <w:rPr>
          <w:b/>
        </w:rPr>
        <w:t>Available abstract (not full text):</w:t>
      </w:r>
      <w:r>
        <w:t xml:space="preserve"> This article presents the results of an ethnographic research on communication about the Indonesian Polyglot community, with a focus on the Semarang Chapter of the Indonesian Polyglot. Communication ethnography is used as an approach to understand the communication practices that occur in this community. This study involved an interview method with members of the Semarang Chapter of the Indonesian Polyglot as the main informant. The data collected was then analyzed using the Ethnographic Communication theory framework developed by Dell Hymes. This data analysis includes the communication practices, norms, and values found within this polyglot community. The results of the study show that communication within the Polyglot Indonesia Chapter Semarang community is very dynamic and is influenced by the diversity of languages owned by the members. Community members use various languages in their interactions, such as Indonesian, foreign languages, and regional languages. They also use effective communication strategies, such as code-switching, code-mixing, and body language, to facilitate understanding and successful communication. This study has important significance in the context of the study of cross-cultural and multilingual communication. In this era of globalization, cross-cultural communication is becoming increasingly relevant, and the study of polyglot communities can prov</w:t>
      </w:r>
    </w:p>
    <w:p>
      <w:pPr/>
      <w:r>
        <w:rPr>
          <w:b/>
        </w:rPr>
        <w:t>POSSIBLE 2023:</w:t>
      </w:r>
      <w:r>
        <w:t xml:space="preserve"> Analyzing the Generalizability of Deep Contextualized Language Representations For Text Classification — https://doi.org/10.48550/arxiv.2303.12936</w:t>
      </w:r>
    </w:p>
    <w:p>
      <w:pPr/>
      <w:r>
        <w:rPr>
          <w:b/>
        </w:rPr>
        <w:t>Shared claim-specific concepts:</w:t>
      </w:r>
      <w:r>
        <w:t xml:space="preserve"> analyzing, contextual, used; EU scope not established. This is a provisional connection, not an outcome finding.</w:t>
      </w:r>
    </w:p>
    <w:p>
      <w:pPr>
        <w:pStyle w:val="SourceNote"/>
      </w:pPr>
      <w:r>
        <w:rPr>
          <w:b/>
        </w:rPr>
        <w:t>Available abstract (not full text):</w:t>
      </w:r>
      <w:r>
        <w:t xml:space="preserve"> This study evaluates the robustness of two state-of-the-art deep contextual language representations, ELMo and DistilBERT, on supervised learning of binary protest news classification and sentiment analysis of product reviews. A "cross-context" setting is enabled using test sets that are distinct from the training data. Specifically, in the news classification task, the models are developed on local news from India and tested on the local news from China. In the sentiment analysis task, the models are trained on movie reviews and tested on customer reviews. This comparison is aimed at exploring the limits of the representative power of today's Natural Language Processing systems on the path to the systems that are generalizable to real-life scenarios. The models are fine-tuned and fed into a Feed-Forward Neural Network and a Bidirectional Long Short Term Memory network. Multinomial Naive Bayes and Linear Support Vector Machine are used as traditional baselines. The results show that, in binary text classification, DistilBERT is significantly better than ELMo on generalizing to the cross-context setting. ELMo is observed to be significantly more robust to the cross-context test data than both baselines. On the other hand, the baselines performed comparably well to ELMo when the training and test data are subsets of the same corpus (no cross-context). DistilBERT is also found to </w:t>
      </w:r>
    </w:p>
    <w:p>
      <w:pPr/>
      <w:r>
        <w:rPr>
          <w:b/>
        </w:rPr>
        <w:t>POSSIBLE 2023:</w:t>
      </w:r>
      <w:r>
        <w:t xml:space="preserve"> Contextualization of Productive Zakat in the Modern Era to Reduce Poverty — https://doi.org/10.15642/mzw.2023.4.2.134-148</w:t>
      </w:r>
    </w:p>
    <w:p>
      <w:pPr/>
      <w:r>
        <w:rPr>
          <w:b/>
        </w:rPr>
        <w:t>Shared claim-specific concepts:</w:t>
      </w:r>
      <w:r>
        <w:t xml:space="preserve"> micro, used; EU scope not established. This is a provisional connection, not an outcome finding.</w:t>
      </w:r>
    </w:p>
    <w:p>
      <w:pPr>
        <w:pStyle w:val="SourceNote"/>
      </w:pPr>
      <w:r>
        <w:rPr>
          <w:b/>
        </w:rPr>
        <w:t>Available abstract (not full text):</w:t>
      </w:r>
      <w:r>
        <w:t xml:space="preserve"> This study aims to analyze empirically whether productive zakat has an impact on community economic development. Poverty is a social problem that has not been resolved and continues to emerge along with the times. Thus, the existence of productive zakat in the form of business capital can be a solution as a form of contextualization. To develop the economy, it is necessary to develop the distribution of zakat to micro, small and medium enterprises so that there is cooperation and synergy between individuals. Using a qualitative method by taking primary sources on productive zakat at the zakat institution al-Hidayah Sidoarjo on mustahiq income. The findings show that mustahiq's income is affected by the utilization of productive zakat with a large influence contribution of 41%. This can be seen from the development of income and meeting the needs of mustahiq after participating in the productive zakat empowerment program and the LAZ al-Hidayah Sidoarjo waqf can be used for business capital.</w:t>
      </w:r>
    </w:p>
    <w:p>
      <w:pPr/>
      <w:r>
        <w:rPr>
          <w:b/>
        </w:rPr>
        <w:t>POSSIBLE 2022:</w:t>
      </w:r>
      <w:r>
        <w:t xml:space="preserve"> Edge Workload Trace Gathering and Analysis for Benchmarking — https://doi.org/10.1109/icfec54809.2022.00012</w:t>
      </w:r>
    </w:p>
    <w:p>
      <w:pPr/>
      <w:r>
        <w:rPr>
          <w:b/>
        </w:rPr>
        <w:t>Shared claim-specific concepts:</w:t>
      </w:r>
      <w:r>
        <w:t xml:space="preserve"> gathering, analyzing, diverse, tool; EU scope not established. This is a provisional connection, not an outcome finding.</w:t>
      </w:r>
    </w:p>
    <w:p>
      <w:pPr>
        <w:pStyle w:val="SourceNote"/>
      </w:pPr>
      <w:r>
        <w:rPr>
          <w:b/>
        </w:rPr>
        <w:t>Available abstract (not full text):</w:t>
      </w:r>
      <w:r>
        <w:t xml:space="preserve"> The emerging field of edge computing is suffering from a lack of representative data to evaluate rapidly introduced new algorithms or techniques. That is a critical issue as this complex paradigm has numerous different use cases which translate into a highly diverse set of workload types.In this work, within the context of the edge computing activity of SPEC RG Cloud, we continue working towards an edge benchmark by defining high-level workload classes as well as collecting and analyzing traces for three real-world edge applications, which, according to the existing literature, are the representatives of those classes. Moreover, we propose a practical and generic methodology for workload definition and gathering. The traces and gathering tool are provided open-source.In the analysis of the collected workloads, we detect discrepancies between the literature and the traces obtained, thus highlighting the need for a continuing effort into gathering and providing data from real applications, which can be done using the proposed trace gathering methodology. Additionally, we discuss various insights and future directions that rise to the surface through our analysis.</w:t>
      </w:r>
    </w:p>
    <w:p>
      <w:pPr/>
      <w:r>
        <w:rPr>
          <w:b/>
        </w:rPr>
        <w:t>POSSIBLE 2022:</w:t>
      </w:r>
      <w:r>
        <w:t xml:space="preserve"> MAJOR ISSUES AND DILEMMAS IN INTELLIGENCE GATHERING AND SHARING AS A COUNTERTERRORISM STRATEGY — https://doi.org/10.61426/sjbcm.v9i1.2191</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The central objective of this study was to identify major issues and dilemmas in intelligence gathering and sharing as a counterterrorism strategy. The research covered diverse categories of informants from various institutions and agencies cross cut by intelligence gathering and sharing in Kenya. These included: security officers from the national police service, members of civil society organizations working in areas of security and human rights, academicians and members of the public. Government officers, members of community policing department and former police reservists were also included . Exploratory research design was applied. Based on the design, a historical interrogation approach was applied to interrogate various facets of IG &amp; S and terrorism in Kenya whereby they were chronologically documented, and the changes that have occurred over time analyzed. Data analysis was done through mixed analysis method. The study found out that diverse security reforms that have been implemented in the country since independence which have helped to improve IG &amp; S. Major improvements were highlighted to have been streamlined in technology used, training and the information shared. Among the different forms of intelligence, human intelligence and signals intelligence were found to have played the greatest role in containing TT. The study concluded that the question of intelligenc</w:t>
      </w:r>
    </w:p>
    <w:p>
      <w:pPr>
        <w:pStyle w:val="Heading2"/>
      </w:pPr>
      <w:r>
        <w:t>691.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2026:</w:t>
      </w:r>
      <w:r>
        <w:t xml:space="preserve"> RBP4 in Ageing — https://doi.org/10.3390/biomedicines14020463</w:t>
      </w:r>
    </w:p>
    <w:p>
      <w:pPr/>
      <w:r>
        <w:rPr>
          <w:b/>
        </w:rPr>
        <w:t>Shared claim-specific concepts:</w:t>
      </w:r>
      <w:r>
        <w:t xml:space="preserve"> different, ageing, conclusions; EU scope not established. This is a provisional connection, not an outcome finding.</w:t>
      </w:r>
    </w:p>
    <w:p>
      <w:pPr>
        <w:pStyle w:val="SourceNote"/>
      </w:pPr>
      <w:r>
        <w:rPr>
          <w:b/>
        </w:rPr>
        <w:t>Available abstract (not full text):</w:t>
      </w:r>
      <w:r>
        <w:t xml:space="preserve"> Background: The protein that binds to retinol 4 (RBP4), is a lipocalin-family protein, secreted primarily by the adipose tissue and the liver, and has also been reported to be produced by other tissues, including the kidney. This protein mediates the transport of vitamin A (retinol) in the circulation, bound to a transporter protein, transthyretin. In recent years, RBP4 has been shown to contribute to the development of insulin resistance and a range of metabolic disorders such as type 2 diabetes mellitus, gestational diabetes, obesity, metabolic syndrome, hyperuricaemia, metabolic dysfunction-associated steatotic liver disease (MASLD), and cardiorenal diseases. Objectives: The objective was to analyse the role of RBP4 in ageing, as well as its mechanisms and effects across organs and systems. Results: Circulating RBP4 levels increase with age and have been related to the onset of various processes like sarcopenia, elevated neurodegenerative markers in the brain, and an increase in TSH levels. Furthermore, it appears that in ageing, the rise in RBP4 is related to the development of atherogenesis, chronic kidney disease, and osteoarthritis. These effects appear to be mediated by chronic inflammation along with the development of insulin resistance, increased oxidative stress and mitochondrial dysfunction, inhibition of autophagy, and intestinal dysbiosis. Conclusions: RBP4 is a </w:t>
      </w:r>
    </w:p>
    <w:p>
      <w:pPr/>
      <w:r>
        <w:rPr>
          <w:b/>
        </w:rPr>
        <w:t>POSSIBLE 2025:</w:t>
      </w:r>
      <w:r>
        <w:t xml:space="preserve"> Ageing of Red Wine (cv. Negroamaro) in Mediterranean Areas: Impact of Different Barrels and Apulian Traditional Amphorae on Phenolic Indices, Volatile Composition and Sensory Analysis — https://doi.org/10.3390/foods14040650</w:t>
      </w:r>
    </w:p>
    <w:p>
      <w:pPr/>
      <w:r>
        <w:rPr>
          <w:b/>
        </w:rPr>
        <w:t>Shared claim-specific concepts:</w:t>
      </w:r>
      <w:r>
        <w:t xml:space="preserve"> different, ageing, indices; EU scope visible. This is a provisional connection, not an outcome finding.</w:t>
      </w:r>
    </w:p>
    <w:p>
      <w:pPr>
        <w:pStyle w:val="SourceNote"/>
      </w:pPr>
      <w:r>
        <w:rPr>
          <w:b/>
        </w:rPr>
        <w:t>Available abstract (not full text):</w:t>
      </w:r>
      <w:r>
        <w:t xml:space="preserve"> This study investigated the impact of different ageing containers on the volatile composition and quality of Negroamaro wine, a key variety from Apulia, Italy. Seven vessel types were evaluated: traditional Apulian amphorae (ozza), five types of oak barrels (American oak, French oak, European oak, a French + European oak and a multi-wood mix) and glass bottles as the control. The impact of the vessels was evaluated after 6 months of ageing through the characterization of phenolic, volatile and sensory profiles. Amphorae allowed a specific evolution of the wine's primary aromas, such as fruity and floral notes, while enhancing volatile compounds like furaneol, which contributed to caramel and red fruit nuances, and also 3-methyl-2,4-nonanedione, a key compound related to anise, plum and premature ageing, depending on its concentration. This container also demonstrated effectiveness in stabilizing anthocyanin-tannin complexes, supporting color stabilization. Oak barrels allowed different outcomes to be obtained in terms of color stabilization, volatile profile, aroma and astringency. French oak exhibited the highest phenolic and tannin levels, enhancing anthocyanin stabilization and color intensity. European oak followed closely, while American oak excelled in color stabilization, with tannins less reactive to polymers. Mixed wood barrels showed lower phenolic extraction and the </w:t>
      </w:r>
    </w:p>
    <w:p>
      <w:pPr/>
      <w:r>
        <w:rPr>
          <w:b/>
        </w:rPr>
        <w:t>POSSIBLE 2025:</w:t>
      </w:r>
      <w:r>
        <w:t xml:space="preserve"> The Demographic Challenge Analyzed Through Ageing Indices in Extremadura and Andalusia (Spain) with Cluster Mapping Tools — https://doi.org/10.3390/land14061129</w:t>
      </w:r>
    </w:p>
    <w:p>
      <w:pPr/>
      <w:r>
        <w:rPr>
          <w:b/>
        </w:rPr>
        <w:t>Shared claim-specific concepts:</w:t>
      </w:r>
      <w:r>
        <w:t xml:space="preserve"> ageing, indices, used; EU scope visible. This is a provisional connection, not an outcome finding.</w:t>
      </w:r>
    </w:p>
    <w:p>
      <w:pPr>
        <w:pStyle w:val="SourceNote"/>
      </w:pPr>
      <w:r>
        <w:rPr>
          <w:b/>
        </w:rPr>
        <w:t>Available abstract (not full text):</w:t>
      </w:r>
      <w:r>
        <w:t xml:space="preserve"> This study examines the demographic dynamics of Extremadura and Andalusia, two autonomous communities in southern Spain characterized by low income levels and marked territorial differences in terms of ageing and depopulation. Based on the observation of growing demographic pressure associated with low birth rates and emigration to more economically dynamic areas, a methodological approach based on spatial analysis techniques is proposed. In particular, the ageing index and demographic dependency ratio indicators are used, applying tools such as Hot Spot Analysis and Cluster and Outlier Analysis to identify significant spatial patterns and outliers. The results show a high concentration of ageing and dependency in provinces such as Cáceres and Almería, suggesting greater demographic vulnerability. In contrast, urban areas such as Seville and Granada, as well as the Guadalquivir depression, show more favorable indicators, reflecting greater resilience. Likewise, municipalities with demographic behavior that is anomalous with respect to their surroundings are detected, which raises the need for micro-territorial studies aimed at understanding these exceptions and designing more effective public policies adapted to the local context.</w:t>
      </w:r>
    </w:p>
    <w:p>
      <w:pPr/>
      <w:r>
        <w:rPr>
          <w:b/>
        </w:rPr>
        <w:t>POSSIBLE 2024:</w:t>
      </w:r>
      <w:r>
        <w:t xml:space="preserve"> Measuring and modelling Syrah red wines evolution: Ageing tests, color and new molecular indices — https://doi.org/10.1016/j.jfca.2024.106912</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A Syrah red wine ageing experiment was set up during 24 months to measure the influence of different micro-agglomerated corks on wine composition and color. Two new wine ageing indices based on targeting phenolic composition (I ox , oxidation index and I su , sulfonation index) or colorimetric one (Hue) are proposed. The results showed that the slopes of evolution of these indices varied according to the wine as well as the index studied, and that the initial composition played a predominant role in these evolutions. In addition, the oxygen transfer rate (OTR) of the cork modulates the rate of evolution of the oxidation index and color, but had no impact on the sulfonation index. Partial least squares (PLS) regressions were used in order to establish some models that can predict the ageing index slope based on accelerated ageing tests (AATs), voltammetric parameters and phenolic composition measured before bottling. The models involved different explaining variables for each test and showed good predictive capacities with correlation coefficients (R²) &gt; 0.79. • New wine ageing indices are proposed. • Those indices are based on wine colour or chemical composition. • Models for predicting those indices were produced. • The influence of cork oxygen permeability on wine ageing was proven.</w:t>
      </w:r>
    </w:p>
    <w:p>
      <w:pPr/>
      <w:r>
        <w:rPr>
          <w:b/>
        </w:rPr>
        <w:t>POSSIBLE 2024:</w:t>
      </w:r>
      <w:r>
        <w:t xml:space="preserve"> The effect of lab ageing on different types of fibre-reinforced bitumen — https://doi.org/10.1201/9781003402541-4</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Fibres have been introduced in the asphalt industry to improve the tensile strength and cracking resistance of pavement. In parallel, ageing is considered one of the causes of asphalt&amp;s;s deterioration. However, little research has described the effect of ageing when different types of fibres are incorporated into bitumen. Accordingly, this paper utilises different combinations of polypropylene, glass and basalt fibres in a conventional bituminous binder. Next, the fibre-reinforced binders are exposed to typical short- and long-term ageing protocols. A systematic evaluation of meaningful rheological indicators via a Dynamic Shear Rheometer (DSR) gives a more clear view of the role of each fibre type and the balance between the reinforcement potential and bitumen&amp;s;s degradation due to ageing. In parallel, the assessment of ageing-related indices by Fourier Transform Infrared (FTIR) spectrometer contributes to a better understanding of their rheological evaluation.</w:t>
      </w:r>
    </w:p>
    <w:p>
      <w:pPr/>
      <w:r>
        <w:rPr>
          <w:b/>
        </w:rPr>
        <w:t>POSSIBLE 2024:</w:t>
      </w:r>
      <w:r>
        <w:t xml:space="preserve"> Chemical and Rheological Evaluation of the Ageing Behaviour of High-Content Crumb Rubber Asphalt Binder — https://doi.org/10.3390/polym16213088</w:t>
      </w:r>
    </w:p>
    <w:p>
      <w:pPr/>
      <w:r>
        <w:rPr>
          <w:b/>
        </w:rPr>
        <w:t>Shared claim-specific concepts:</w:t>
      </w:r>
      <w:r>
        <w:t xml:space="preserve"> ageing, similar, but; EU scope not established. This is a provisional connection, not an outcome finding.</w:t>
      </w:r>
    </w:p>
    <w:p>
      <w:pPr>
        <w:pStyle w:val="SourceNote"/>
      </w:pPr>
      <w:r>
        <w:rPr>
          <w:b/>
        </w:rPr>
        <w:t>Available abstract (not full text):</w:t>
      </w:r>
      <w:r>
        <w:t xml:space="preserve"> High-Content Crumb Rubber Asphalt (HCRA) binder improves road performance and address waste tyre pollution, yet its ageing behaviour is not fully understood. In this study, 70# neat asphalt binder and HCRA with rubber contents of 35% and 50% were selected and aged through the Thin Film Oven Test (TFOT) and Pressure Ageing Vessel (PAV) tests. FTIR (Fourier Transform Infrared Spectroscopy) and DSR (Dynamic Shear Rheometer) were employed to investigate their chemical composition and rheological properties. The FTIR results show that HCRA's chemical test results are similar to those of 70#, but HCRA is more susceptible to ageing. I(C=C) strength decreases with age. The DSR results show that HCRA outperforms 70# neat asphalt binder in terms of viscoelasticity, high temperature performance and fatigue resistance, and exhibits greater resistance to ageing. The ageing index (AI) was obtained through a calculation using the formula, and overall, 70# neat asphalt binder is more sensitive to ageing behaviour and less resistant to ageing, and HCRA is particularly outstanding for fatigue resistance. A strong correlation is observed between chemical composition and some rheological property indicators. Therefore, we are able to predict the rheological properties using chemical composition indicators. This study provides insight into the ageing behaviour of a neat asphalt binder and an HCRA b</w:t>
      </w:r>
    </w:p>
    <w:p>
      <w:pPr/>
      <w:r>
        <w:rPr>
          <w:b/>
        </w:rPr>
        <w:t>POSSIBLE 2024:</w:t>
      </w:r>
      <w:r>
        <w:t xml:space="preserve"> Ageing in religious orders: A different perspective on changes in contemporary monasticism — https://doi.org/10.1177/00084298231218895</w:t>
      </w:r>
    </w:p>
    <w:p>
      <w:pPr/>
      <w:r>
        <w:rPr>
          <w:b/>
        </w:rPr>
        <w:t>Shared claim-specific concepts:</w:t>
      </w:r>
      <w:r>
        <w:t xml:space="preserve"> different, ageing, but; EU scope visible. This is a provisional connection, not an outcome finding.</w:t>
      </w:r>
    </w:p>
    <w:p>
      <w:pPr>
        <w:pStyle w:val="SourceNote"/>
      </w:pPr>
      <w:r>
        <w:rPr>
          <w:b/>
        </w:rPr>
        <w:t>Available abstract (not full text):</w:t>
      </w:r>
      <w:r>
        <w:t xml:space="preserve"> Monastic life is based on tradition and rules. It produces a homogeneous and disciplined community. But with the ageing that has been affecting them for several decades, monastic communities are relaxing their rules and rhythms, to allow their elderly to continue to participate in common life (prayer, work, meals, etc.). At the same time, they must maintain a certain rigour, as much to remain attractive to young postulants as to present their guests the asceticism that characterises their tradition. The authors went to different monastic communities in Switzerland and France to carry out an ethnographic research. Using extracts from their field journal, they highlight how monks and nuns manage their lives and invent pragmatic solutions in order to redefine every day what it means and implies ‘to be a monk or nun’.</w:t>
      </w:r>
    </w:p>
    <w:p>
      <w:pPr/>
      <w:r>
        <w:rPr>
          <w:b/>
        </w:rPr>
        <w:t>POSSIBLE 2023:</w:t>
      </w:r>
      <w:r>
        <w:t xml:space="preserve"> Unveiling India's Ageing Mosaic: State-level Projections Revealing Regional Variations until 2031 — https://doi.org/10.21203/rs.3.rs-3118396/v1</w:t>
      </w:r>
    </w:p>
    <w:p>
      <w:pPr/>
      <w:r>
        <w:rPr>
          <w:b/>
        </w:rPr>
        <w:t>Shared claim-specific concepts:</w:t>
      </w:r>
      <w:r>
        <w:t xml:space="preserve"> different, ageing, indices, but, abstract, population; EU scope not established. This is a provisional connection, not an outcome finding.</w:t>
      </w:r>
    </w:p>
    <w:p>
      <w:pPr>
        <w:pStyle w:val="SourceNote"/>
      </w:pPr>
      <w:r>
        <w:rPr>
          <w:b/>
        </w:rPr>
        <w:t>Available abstract (not full text):</w:t>
      </w:r>
      <w:r>
        <w:t xml:space="preserve"> Abstract Population ageing is an inevitable consequence of demographic transitions and declining fertility causes a rising burden of ageing. The goal of the present study is to project the ageing index of various states across the country up to the year 2031. In addition, the study projects the year by which different states will reach the standard level of aging. Data for this study were taken from the 2001 and 2011 census of India. Using simple trend extrapolation techniques, we produced projections of ageing indices up to 2031; and then we projected when different states would reach the standard level of ageing (aging of Kerala in 2011). The results showed that there will be a change in the age structure of the population from 2011 to 2031, with an increase of 6% in the working-age group (15–59 years) and 5% in the older population (60 or more years), but a decline of 11.2% in the children ages 0–14 years. Southern and other states such as Punjab and Himachal Pradesh are likely to attain standard levels of ageing in the next few years. However, northern states are expected to take more years to achieve it.This is the time to start planning for the future burden of the old-age population across the country and arrange adequate health infrastructure for the older population in the future.</w:t>
      </w:r>
    </w:p>
    <w:p>
      <w:pPr/>
      <w:r>
        <w:rPr>
          <w:b/>
        </w:rPr>
        <w:t>POSSIBLE 2023:</w:t>
      </w:r>
      <w:r>
        <w:t xml:space="preserve"> Geospatial analysis of population ageing in Bosnia and Herzegovina — https://doi.org/10.5937/gp27-41960</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The aim of this research is to analyze the spatial distribution of the population ageing in Bosnia and Herzegovina and identify areas of the country that are particularly vulnerable to negative demographic trends. To achieve the goal of the study, data on the ageing coefficient and ageing index for the period 2013-2020 were used. The geospatial analysis of these indicators was performed using global (Global Moran's I and Getis-Ord General G) and local (Anselin Local Moran's I and Getis-Ord G*) indexes of spatial autocorrelation. The research results confirmed the clustering of both indicators. Ageing coefficient values are clustered in municipalities in western, northwestern, Eastern, and central Bosnia and Herzegovina. Ageing index values are clustered in municipalities in central, western, northwestern, and northeastern Bosnia and Herzegovina. This study provides insight into the research methods of spatial demographic trends and phenomena, and its findings can serve as a basis for future demographic research and development in Bosnia and Herzegovina.</w:t>
      </w:r>
    </w:p>
    <w:p>
      <w:pPr>
        <w:pStyle w:val="Heading2"/>
      </w:pPr>
      <w:r>
        <w:t>692.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2026:</w:t>
      </w:r>
      <w:r>
        <w:t xml:space="preserve"> SOCIAL INEQUALITY AND ECONOMIC VULNERABILITY: A SOCIAL ECONOMIC PERSPECTIVE ON WELFARE POLICY — https://openalex.org/W7220295757</w:t>
      </w:r>
    </w:p>
    <w:p>
      <w:pPr/>
      <w:r>
        <w:rPr>
          <w:b/>
        </w:rPr>
        <w:t>Shared claim-specific concepts:</w:t>
      </w:r>
      <w:r>
        <w:t xml:space="preserve"> benefits; EU scope not established. This is a provisional connection, not an outcome finding.</w:t>
      </w:r>
    </w:p>
    <w:p>
      <w:pPr>
        <w:pStyle w:val="SourceNote"/>
      </w:pPr>
      <w:r>
        <w:rPr>
          <w:b/>
        </w:rPr>
        <w:t>Available abstract (not full text):</w:t>
      </w:r>
      <w:r>
        <w:t xml:space="preserve"> Social inequality and economic vulnerability remain persistent challenges in contemporary societies despite the expansion of welfare policies and social protection systems. Economic growth has not been evenly distributed, leaving significant segments of the population exposed to income insecurity, precarious employment, and limited access to welfare benefits. This study aims to analyze social inequality and economic vulnerability through a social economic perspective that examines how welfare policy design interacts with labor market structures and social institutions. The research employs a qualitative research design combining policy document analysis, secondary socio-economic data review, and interpretive analysis of welfare policy implementation. The findings reveal that existing welfare policies tend to provide short-term relief while inadequately addressing the structural drivers of vulnerability, particularly informal employment, labor market flexibilization, and institutional exclusion. Economic vulnerability is shown to extend beyond officially defined poverty, affecting near-poor and precariously employed groups who remain insufficiently protected by current welfare frameworks. The study concludes that welfare policy effectiveness depends not only on resource allocation but also on institutional alignment with contemporary economic realities. A social economic approac</w:t>
      </w:r>
    </w:p>
    <w:p>
      <w:pPr/>
      <w:r>
        <w:rPr>
          <w:b/>
        </w:rPr>
        <w:t>POSSIBLE 2025:</w:t>
      </w:r>
      <w:r>
        <w:t xml:space="preserve"> Sustainability Pluralism in the Pharmaceutical Strategy for Europe: In Search of Social, Environmental and Economic Trends — https://doi.org/10.1017/9781839704994.036</w:t>
      </w:r>
    </w:p>
    <w:p>
      <w:pPr/>
      <w:r>
        <w:rPr>
          <w:b/>
        </w:rPr>
        <w:t>Shared claim-specific concepts:</w:t>
      </w:r>
      <w:r>
        <w:t xml:space="preserve"> environmental, level, consider, sustainability; EU scope visible. This is a provisional connection, not an outcome finding.</w:t>
      </w:r>
    </w:p>
    <w:p>
      <w:pPr>
        <w:pStyle w:val="SourceNote"/>
      </w:pPr>
      <w:r>
        <w:rPr>
          <w:b/>
        </w:rPr>
        <w:t>Available abstract (not full text):</w:t>
      </w:r>
      <w:r>
        <w:t xml:space="preserve">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pPr/>
      <w:r>
        <w:rPr>
          <w:b/>
        </w:rPr>
        <w:t>POSSIBLE 2025:</w:t>
      </w:r>
      <w:r>
        <w:t xml:space="preserve"> Advancing the European energy transition based on environmental, economic and social justice - Supplementary Material — https://doi.org/10.5281/zenodo.17814966</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Supplementary material included in the article "Advancing the European energy transition based on environmental, economic and social justice".</w:t>
      </w:r>
    </w:p>
    <w:p>
      <w:pPr/>
      <w:r>
        <w:rPr>
          <w:b/>
        </w:rPr>
        <w:t>POSSIBLE 2025:</w:t>
      </w:r>
      <w:r>
        <w:t xml:space="preserve"> Promoting the European Sustainable Firm: How Economic, Social, and Green Innovation and the AI‐Based Technologies Create Pathways of Social and Environmental Sustainability — https://doi.org/10.1002/bse.70068</w:t>
      </w:r>
    </w:p>
    <w:p>
      <w:pPr/>
      <w:r>
        <w:rPr>
          <w:b/>
        </w:rPr>
        <w:t>Shared claim-specific concepts:</w:t>
      </w:r>
      <w:r>
        <w:t xml:space="preserve"> environmental, vary, sustainability; EU scope visible. This is a provisional connection, not an outcome finding.</w:t>
      </w:r>
    </w:p>
    <w:p>
      <w:pPr>
        <w:pStyle w:val="SourceNote"/>
      </w:pPr>
      <w:r>
        <w:rPr>
          <w:b/>
        </w:rPr>
        <w:t>Available abstract (not full text):</w:t>
      </w:r>
      <w:r>
        <w:t xml:space="preserve"> ABSTRACT The aim of this paper is to expand research on the digital and sustainability transitions in firms by analyzing the effects of artificial intelligence (AI)‐based technologies and incorporating their connections to economic, social, and green innovation processes. The main objective is to analyze whether and how these innovation dynamics—particularly the role of AI—mediate and reinforce the relationship between economic innovation and socio‐environmental sustainability outcomes. Using a large representative sample of 13,117 European firms from 2020 and applying partial least squares structural equation modeling (PLS‐SEM), we identify multiple sustainability trajectories. Our results show that while economic innovation alone contributes positively to social and environmental sustainability, its impact is significantly enhanced when combined with green/social innovation and AI‐based technologies, highlighting their role as drivers of sustainability. These factors exhibit differentiated mediating effects: Green and social innovation primarily amplifies environmental sustainability, whereas AI technologies accelerate social sustainability outcomes. The analysis also shows that these effects vary depending on firm size and the type of AI technology adopted (i.e., AI‐based algorithms and software vs. AI‐based hardware and infrastructures). These insights offer strategic guida</w:t>
      </w:r>
    </w:p>
    <w:p>
      <w:pPr/>
      <w:r>
        <w:rPr>
          <w:b/>
        </w:rPr>
        <w:t>POSSIBLE 2025:</w:t>
      </w:r>
      <w:r>
        <w:t xml:space="preserve"> Environmental, Social, and Governance (ESG) Performance and Economic Growth: An Econometric Analysis for Central European Countries — https://doi.org/10.18690/um.epf.5.2025.9</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This study analyzes the impact of environmental, social, and governance (ESG) performance on economic growth in Central European countries. Using an econometric approach, the study assesses ESG indicators’ contribution to economic development and examines whether these factors drive sustainable growth. A scientific methodology based on secondary data from the World Bank’s annual reports was applied. Several econometric models, including multiple linear regression, random effects, fixed effects, Hausman-Taylor regression, GMM, and GEE models, were used. The results show a strong relationship between ESG performance and economic growth. Governance effectiveness and corruption control positively impact GDP growth, while increasing CO2 emissions negatively affect it. Similarly, investments in education and health contribute to long-term growth, emphasizing the importance of sustainable development policies. This research presents reliable results supporting conclusions and recommendations.</w:t>
      </w:r>
    </w:p>
    <w:p>
      <w:pPr/>
      <w:r>
        <w:rPr>
          <w:b/>
        </w:rPr>
        <w:t>POSSIBLE 2025:</w:t>
      </w:r>
      <w:r>
        <w:t xml:space="preserve"> Assessing environmental, social, political and legal, and economic challenges for cobalt supply from new mining projects in Europe — https://doi.org/10.1144/esss2025-007</w:t>
      </w:r>
    </w:p>
    <w:p>
      <w:pPr/>
      <w:r>
        <w:rPr>
          <w:b/>
        </w:rPr>
        <w:t>Shared claim-specific concepts:</w:t>
      </w:r>
      <w:r>
        <w:t xml:space="preserve"> environmental, national, finland; EU scope visible. This is a provisional connection, not an outcome finding.</w:t>
      </w:r>
    </w:p>
    <w:p>
      <w:pPr>
        <w:pStyle w:val="SourceNote"/>
      </w:pPr>
      <w:r>
        <w:rPr>
          <w:b/>
        </w:rPr>
        <w:t>Available abstract (not full text):</w:t>
      </w:r>
      <w:r>
        <w:t xml:space="preserve"> Despite abundant cobalt resources in Europe, only Finland and Turkey currently extract this metal. This study examines challenges to new cobalt supply by comparing seven exploration projects and two operating mines in Finland, Norway, Sweden and Turkey. A multicriteria analysis framework was developed to assess four domains, environmental (E), social (S), political and legal (G), and economic (EC), each with five to six indicators. The results highlight complex interactions between indicators on national and local scales. While Nordic countries have strong mineral governance and thus rank highly in the political and legal domain, challenges persist, amplified by low rankings in land use and territorial aspects for some projects, particularly Sakatti, due to its vicinity to protected areas, reindeer herding and indigenous people. Furthermore, economic conflicts of interest with tourism result in low rankings for Kuusamo in two social indicators. The arctic region is also particularly vulnerable to climate change, exacerbated by anthropogenic activity. Turkey's Çaldağ project ranks highest for cobalt recovery, but it ranks low in all but one environmental indicator, due to high energy consumption and weak environmental governance in Turkey. Many mining conflicts could be mitigated by earlier community engagement to gain a social licence to operate.</w:t>
      </w:r>
    </w:p>
    <w:p>
      <w:pPr/>
      <w:r>
        <w:rPr>
          <w:b/>
        </w:rPr>
        <w:t>POSSIBLE 2025:</w:t>
      </w:r>
      <w:r>
        <w:t xml:space="preserve"> European green bonds, carbon tax and crowding-out: The economic, social and environmental impacts of the EU's green investments under different financing scenarios — https://doi.org/10.1016/j.rser.2025.115330</w:t>
      </w:r>
    </w:p>
    <w:p>
      <w:pPr/>
      <w:r>
        <w:rPr>
          <w:b/>
        </w:rPr>
        <w:t>Shared claim-specific concepts:</w:t>
      </w:r>
      <w:r>
        <w:t xml:space="preserve"> environmental, impacts, different, level, benefits; EU scope visible. This is a provisional connection, not an outcome finding.</w:t>
      </w:r>
    </w:p>
    <w:p>
      <w:pPr>
        <w:pStyle w:val="SourceNote"/>
      </w:pPr>
      <w:r>
        <w:rPr>
          <w:b/>
        </w:rPr>
        <w:t>Available abstract (not full text):</w:t>
      </w:r>
      <w:r>
        <w:t xml:space="preserve"> This study provides novel insights into the economic, social and environmental impacts of green energy investments in the European Union using MAGNET, a computable general equilibrium model of the world economy. MAGNET was extended to include sector-specific investment allocation, investment risk premiums adjustment, and technology learning effects to endogenize productivity growth in renewable and bioenergy sectors. In line with the proposals on climate neutrality and the Green Deal, the study simulates an increase in investments in renewable energy and bioeconomy sectors (additional 15 % increase in capital stock) starting in 2025. Three alternative financing scenarios are compared; the European Green Bonds scenario, carbon tax scenario and the crowding-out scenario (assuming green investments are financed from existing resources). It is found that additional green energy investments bring generally positive GDP, social and emission-saving effects. In the case of GDP, the deviation from the baseline reaches +0.9 % in 2050 for the EU if financed from the Green Bond. The other scenarios show that when green investments are not crowding-out other investments in the EU, the economic impacts at EU level are still positive. It is also shown that, on average, the investment policy would increase the size of bioeconomy sector by between 3.2 % and 4.2 % in 2050. However, the impacts a</w:t>
      </w:r>
    </w:p>
    <w:p>
      <w:pPr/>
      <w:r>
        <w:rPr>
          <w:b/>
        </w:rPr>
        <w:t>POSSIBLE 2025:</w:t>
      </w:r>
      <w:r>
        <w:t xml:space="preserve"> ECONOMIC POLICIES PROMOTING SOCIAL PARTNERSHIP IN THE EUROPEAN UNION — https://openalex.org/W7217059749</w:t>
      </w:r>
    </w:p>
    <w:p>
      <w:pPr/>
      <w:r>
        <w:rPr>
          <w:b/>
        </w:rPr>
        <w:t>Shared claim-specific concepts:</w:t>
      </w:r>
      <w:r>
        <w:t xml:space="preserve"> vary, different, national; EU scope visible. This is a provisional connection, not an outcome finding.</w:t>
      </w:r>
    </w:p>
    <w:p>
      <w:pPr>
        <w:pStyle w:val="SourceNote"/>
      </w:pPr>
      <w:r>
        <w:rPr>
          <w:b/>
        </w:rPr>
        <w:t>Available abstract (not full text):</w:t>
      </w:r>
      <w:r>
        <w:t xml:space="preserve"> A strong social Europe requires strong social partnerships. In Western Europe, social partnerships, along with their institutions and processes, have promoted successful economic reforms. Social dialogue, collective bargaining are principal factors for promoting innovation, productivity and competition. Social dialogue is a core ingredient of the social market economy and a driving force for successful economic reforms. Strong collective bargaining systems also strengthen the resilience of Member States during economic crises. Over recent years, social dialogue has become more important within the framework of the European Semester. This has led to several country-specific recommendations emphasizing the involvement of national social partners in shaping economic policies. However, the degree and quality of social partners involvement in economic policy-making vary significantly among Member States. These variations are attributed to different institutional frameworks, procedures and practices. The article aims to analyze the role of social partnerships in economic policy -making at both EU and national levels, focusing on case studies of the German and Swedish models.</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different, national, strategies;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2024:</w:t>
      </w:r>
      <w:r>
        <w:t xml:space="preserve"> Measuring Digital Sustainability Paying Attention to the Economic, Social, and Environmental Dimensions: A European Perspective — https://doi.org/10.1007/s11205-024-03459-9</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Sustainability Pluralism in the Pharmaceutical Strategy for Europe: In Search of Social, Environmental and Economic Trends — https://doi.org/10.2139/ssrn.4991533</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Valuing Public Sector Data in Scotland and Europe: Data Governance for Economic, Environmental and Social Development — https://doi.org/10.20933/100001329</w:t>
      </w:r>
    </w:p>
    <w:p>
      <w:pPr/>
      <w:r>
        <w:rPr>
          <w:b/>
        </w:rPr>
        <w:t>Shared claim-specific concepts:</w:t>
      </w:r>
      <w:r>
        <w:t xml:space="preserve"> environmental, different, needs, explored, benefits; EU scope visible. This is a provisional connection, not an outcome finding.</w:t>
      </w:r>
    </w:p>
    <w:p>
      <w:pPr>
        <w:pStyle w:val="SourceNote"/>
      </w:pPr>
      <w:r>
        <w:rPr>
          <w:b/>
        </w:rPr>
        <w:t>Available abstract (not full text):</w:t>
      </w:r>
      <w:r>
        <w:t xml:space="preserve"> Data is collected by many different kinds of people and organisations, including the government and big businesses but also ordinary people. Data can give us many benefits and opportunities to improve society, the economy and the environment, and it can therefore meet the needs of diverse, plural publics. Doing this requires a good understanding of data and its uses in order to navigate this landscape, beginning with clarity about the range of issues and the definitional challenges around data and its rich complexities. The ‘Valuing Public Sector Data in Scotland and Europe: Data Governance for Economic, Environmental and Social Development’ Programme, funded by the (now retired) Scottish Universities Insight Institute between October 2023 and January 2024, was a timely exploration into public (sector) data’s benefits and challenges. During the programme, the nuances of ascribing value to data, and how that data may contribute in good – and bad – ways to the general public, were discussed and explored. We considered how ‘public data’ is gathered and used, and by whom, in Scotland, the European Union and beyond, identifying key insights to inform further research and policymaking in this area. Here we give some context for our programme on public data, before providing an overview of the workshops we ran and key insights which emerged from them. Against this backdrop, we present</w:t>
      </w:r>
    </w:p>
    <w:p>
      <w:pPr>
        <w:pStyle w:val="Heading2"/>
      </w:pPr>
      <w:r>
        <w:t>693.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2025:</w:t>
      </w:r>
      <w:r>
        <w:t xml:space="preserve"> Overlooked Instruments: The European Protection of Human Rights in the Climate Crisis — https://doi.org/10.1163/9789004708389_005</w:t>
      </w:r>
    </w:p>
    <w:p>
      <w:pPr/>
      <w:r>
        <w:rPr>
          <w:b/>
        </w:rPr>
        <w:t>Shared claim-specific concepts:</w:t>
      </w:r>
      <w:r>
        <w:t xml:space="preserve"> specifically, action, climate; EU scope visible. This is a provisional connection, not an outcome finding.</w:t>
      </w:r>
    </w:p>
    <w:p>
      <w:pPr>
        <w:pStyle w:val="SourceNote"/>
      </w:pPr>
      <w:r>
        <w:rPr>
          <w:b/>
        </w:rPr>
        <w:t>Available abstract (not full text):</w:t>
      </w:r>
      <w:r>
        <w:t xml:space="preserve"> The climate crisis presents an urgent and multifaceted global challenge which necessitates robust safeguards for the protection of human rights in this context. This contribution explores the human rights instruments of the Council of Europe and the European Union which possess the potential to shape a robust response to the climate crisis and more climate action. Within the European landscape, the European Convention on Human Rights (ECHR) serves as the central framework for addressing climate issues through a human rights-based approach. This focus was particularly reinforced by the three decisions from the European Court of Human Rights (ECtHR) in 2024. Other instruments, however, are rather overlooked and are taking on a secondary role. At the heart of this discussion is an examination of two pivotal instruments: the European Social Charter (ESC) and the Charter of Fundamental Rights of the European Union (CFREU). Both Charters, with their expansive provisions, case law and institutional procedures, offer a formidable foundation for addressing the positive obligations of States to protect human rights. Despite their significant potential, these tools have been relatively under-utilised in the climate context, raising questions about their efficacy and applicability. By comparing the ESC and CFREU with the ECHR, this paper aims to determine whether the ESC and CFREU are less</w:t>
      </w:r>
    </w:p>
    <w:p>
      <w:pPr/>
      <w:r>
        <w:rPr>
          <w:b/>
        </w:rPr>
        <w:t>POSSIBLE 2024:</w:t>
      </w:r>
      <w:r>
        <w:t xml:space="preserve"> Climate Obstruction across Europe — https://doi.org/10.1093/oso/9780197762042.001.0001</w:t>
      </w:r>
    </w:p>
    <w:p>
      <w:pPr/>
      <w:r>
        <w:rPr>
          <w:b/>
        </w:rPr>
        <w:t>Shared claim-specific concepts:</w:t>
      </w:r>
      <w:r>
        <w:t xml:space="preserve"> action, climate, long-term;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EUROPEAN LANDSCAPE OF CLIMATE LAW — https://doi.org/10.46299/979-8-89504-809-2.3</w:t>
      </w:r>
    </w:p>
    <w:p>
      <w:pPr/>
      <w:r>
        <w:rPr>
          <w:b/>
        </w:rPr>
        <w:t>Shared claim-specific concepts:</w:t>
      </w:r>
      <w:r>
        <w:t xml:space="preserve"> specifically, action, must, raise, climate, targets;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Globally representative evidence on the actual and perceived support for climate action — https://doi.org/10.1038/s41558-024-01925-3</w:t>
      </w:r>
    </w:p>
    <w:p>
      <w:pPr/>
      <w:r>
        <w:rPr>
          <w:b/>
        </w:rPr>
        <w:t>Shared claim-specific concepts:</w:t>
      </w:r>
      <w:r>
        <w:t xml:space="preserve"> action, climate, show; EU scope not established. This is a provisional connection, not an outcome finding.</w:t>
      </w:r>
    </w:p>
    <w:p>
      <w:pPr>
        <w:pStyle w:val="SourceNote"/>
      </w:pPr>
      <w:r>
        <w:rPr>
          <w:b/>
        </w:rPr>
        <w:t>Available abstract (not full text):</w:t>
      </w:r>
      <w:r>
        <w:t xml:space="preserve"> Abstract Mitigating climate change necessitates global cooperation, yet global data on individuals’ willingness to act remain scarce. In this study, we conducted a representative survey across 125 countries, interviewing nearly 130,000 individuals. Our findings reveal widespread support for climate action. Notably, 69% of the global population expresses a willingness to contribute 1% of their personal income, 86% endorse pro-climate social norms and 89% demand intensified political action. Countries facing heightened vulnerability to climate change show a particularly high willingness to contribute. Despite these encouraging statistics, we document that the world is in a state of pluralistic ignorance, wherein individuals around the globe systematically underestimate the willingness of their fellow citizens to act. This perception gap, combined with individuals showing conditionally cooperative behaviour, poses challenges to further climate action. Therefore, raising awareness about the broad global support for climate action becomes critically important in promoting a unified response to climate change.</w:t>
      </w:r>
    </w:p>
    <w:p>
      <w:pPr/>
      <w:r>
        <w:rPr>
          <w:b/>
        </w:rPr>
        <w:t>POSSIBLE 2024:</w:t>
      </w:r>
      <w:r>
        <w:t xml:space="preserve"> Closing the climate finance gap: How to raise the money the world needs to support climate action — https://doi.org/10.55317/9781784136307</w:t>
      </w:r>
    </w:p>
    <w:p>
      <w:pPr/>
      <w:r>
        <w:rPr>
          <w:b/>
        </w:rPr>
        <w:t>Shared claim-specific concepts:</w:t>
      </w:r>
      <w:r>
        <w:t xml:space="preserve"> action, raise, climate, possible, increase; EU scope not established. This is a provisional connection, not an outcome finding.</w:t>
      </w:r>
    </w:p>
    <w:p>
      <w:pPr>
        <w:pStyle w:val="SourceNote"/>
      </w:pPr>
      <w:r>
        <w:rPr>
          <w:b/>
        </w:rPr>
        <w:t>Available abstract (not full text):</w:t>
      </w:r>
      <w:r>
        <w:t xml:space="preserve"> With climate impacts getting worse and temperature records being broken, the pressure on countries to raise more money in support of climate action continues to increase. But the ‘climate finance gap’ – the difference between the trillions of dollars needed and the amounts currently available – remains persistent, and is particularly acute in emerging markets and developing economies. Most of the new money needed will have to come from the private sector, but public funding also has a crucial role to play. Fiscal and political pressures in the advanced economies mean that public funds are in short supply. However, this only increases the importance of using the limited amount available in the most effective way possible. The prospect of reduced US political support for climate action in the wake of the 2024 presidential election makes this even more important. This paper explores the challenges of increasing climate finance to emerging markets and developing countries. It discusses the prospects for raising more public international finance in absolute terms, and proposes ideas for using the public money that is already available – or realistically likely to become available – more effectively. Key findings include: the need for regular comparative assessment of different channels for deploying public finance in climate action; the need to enable multilateral development banks </w:t>
      </w:r>
    </w:p>
    <w:p>
      <w:pPr/>
      <w:r>
        <w:rPr>
          <w:b/>
        </w:rPr>
        <w:t>POSSIBLE 2023:</w:t>
      </w:r>
      <w:r>
        <w:t xml:space="preserve"> State of Climate Action 2023 — https://doi.org/10.46830/wrirpt.23.00010</w:t>
      </w:r>
    </w:p>
    <w:p>
      <w:pPr/>
      <w:r>
        <w:rPr>
          <w:b/>
        </w:rPr>
        <w:t>Shared claim-specific concepts:</w:t>
      </w:r>
      <w:r>
        <w:t xml:space="preserve"> action, must, climate, targets, increase; EU scope not established. This is a provisional connection, not an outcome finding.</w:t>
      </w:r>
    </w:p>
    <w:p>
      <w:pPr>
        <w:pStyle w:val="SourceNote"/>
      </w:pPr>
      <w:r>
        <w:rPr>
          <w:b/>
        </w:rPr>
        <w:t>Available abstract (not full text):</w:t>
      </w:r>
      <w:r>
        <w:t xml:space="preserve"> The State of Climate Action 2023 provides the world’s most comprehensive roadmap of how to close the gap in climate action across sectors to limit global warming to 1.5°C. It finds that recent progress toward 1.5°C-aligned targets isn’t happening at the pace and scale necessary and highlights where action must urgently accelerate this decade to reduce greenhouse gas emissions, scale up carbon removal and increase climate finance.</w:t>
      </w:r>
    </w:p>
    <w:p>
      <w:pPr/>
      <w:r>
        <w:rPr>
          <w:b/>
        </w:rPr>
        <w:t>POSSIBLE 2023:</w:t>
      </w:r>
      <w:r>
        <w:t xml:space="preserve"> The European Union's Climate and Environmental Policy in Times of Geopolitical Crisis — https://doi.org/10.1111/jcms.13530</w:t>
      </w:r>
    </w:p>
    <w:p>
      <w:pPr/>
      <w:r>
        <w:rPr>
          <w:b/>
        </w:rPr>
        <w:t>Shared claim-specific concepts:</w:t>
      </w:r>
      <w:r>
        <w:t xml:space="preserve"> action, must, taken, climate, long-term, strategy; EU scope visible. This is a provisional connection, not an outcome finding.</w:t>
      </w:r>
    </w:p>
    <w:p>
      <w:pPr>
        <w:pStyle w:val="SourceNote"/>
      </w:pPr>
      <w:r>
        <w:rPr>
          <w:b/>
        </w:rPr>
        <w:t>Available abstract (not full text):</w:t>
      </w:r>
      <w:r>
        <w:t xml:space="preserve"> European Union (EU) environmental policy is made in the framework of a multiannual Environment Action Programme (EAP), which rests on the principles of prevention, precaution and tackling pollution at its source rather than at the 'end of the pipe'. The current, 8th EAP defines objectives for environmental policy in the narrow sense as measures to prevent, reduce or end adverse effects on nature and natural resources but recognises that environmental policy objectives must go hand in hand with reducing greenhouse gas (GHG) emissions, which is the main goal of EU climate policy. The EAP's integrated view on environmental and climate policy resonates with the one put forth by the European Green Deal (EGD). This is the EU's approach to delivering on the 2015 Paris Agreement on climate change and the United Nations' Sustainable Development Goals adopted in the same year (Koundouri et al., 2021). It is a comprehensive strategy for sustainable growth and goes beyond the classic dimensions of sustainability, as it covers economic viability, environmental protection and social equity (Bongardt and Torres, 2022). The EGD guides policy action in the strategic fields of agriculture and food, construction and renovation, climate, energy, environment, financial and regional development, industry, research and innovation, and transport and mobility to achieve the overarching goal of transfor</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action, climate, emission, reduction;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Biobased Innovation as a Fashion and Textile Design Must: A European Perspective — https://doi.org/10.3390/su14010570</w:t>
      </w:r>
    </w:p>
    <w:p>
      <w:pPr/>
      <w:r>
        <w:rPr>
          <w:b/>
        </w:rPr>
        <w:t>Shared claim-specific concepts:</w:t>
      </w:r>
      <w:r>
        <w:t xml:space="preserve"> must, possible, feasible; EU scope visible. This is a provisional connection, not an outcome finding.</w:t>
      </w:r>
    </w:p>
    <w:p>
      <w:pPr>
        <w:pStyle w:val="SourceNote"/>
      </w:pPr>
      <w:r>
        <w:rPr>
          <w:b/>
        </w:rPr>
        <w:t>Available abstract (not full text):</w:t>
      </w:r>
      <w:r>
        <w:t xml:space="preserve"> Fashion industry investments drive the choice for textile solutions characterized by radical experimentation and a firm commitment to sustainability. In the last five years, textile innovations have been strongly related to biobased textile solutions evolving to become effectively feasible and strategic. The produced qualitative knowledge implementations consider new production patterns, innovative technical and digital know-how, and new consumption scenarios. The directions the industry is tracing may provide new opportunities for future textile development in the circular biobased economy. This paper presents a map of current European practices. It discusses the possible passage through a holistic paradigm that goes beyond the boundaries of the old productive systems to accompany the sector towards a new sustainable and transversal state. It also presents three selected best practices that return the actual context in which the phenomenon occurs. A model is presented to demonstrate how these circular processes of biobased materials production enable more process innovations which are developed through implementing the process itself: companies’ search for rethinking and implementing the traditional practices or designing new ones (as determined by the doctoral research of one of the authors).</w:t>
      </w:r>
    </w:p>
    <w:p>
      <w:pPr>
        <w:pStyle w:val="Heading2"/>
      </w:pPr>
      <w:r>
        <w:t>694.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2024:</w:t>
      </w:r>
      <w:r>
        <w:t xml:space="preserve"> Exploring European decarbonisation pathways in the Power Decisions Game — https://doi.org/10.1186/s13705-024-00469-w</w:t>
      </w:r>
    </w:p>
    <w:p>
      <w:pPr/>
      <w:r>
        <w:rPr>
          <w:b/>
        </w:rPr>
        <w:t>Shared claim-specific concepts:</w:t>
      </w:r>
      <w:r>
        <w:t xml:space="preserve"> article, aims, exploring, understanding, citizens, insights;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2024:</w:t>
      </w:r>
      <w:r>
        <w:t xml:space="preserve"> European Citizens’ Evaluation of the Common Agricultural Policy — https://doi.org/10.3390/su16103970</w:t>
      </w:r>
    </w:p>
    <w:p>
      <w:pPr/>
      <w:r>
        <w:rPr>
          <w:b/>
        </w:rPr>
        <w:t>Shared claim-specific concepts:</w:t>
      </w:r>
      <w:r>
        <w:t xml:space="preserve"> citizens, insights, perceptions, positive; EU scope visible. This is a provisional connection, not an outcome finding.</w:t>
      </w:r>
    </w:p>
    <w:p>
      <w:pPr>
        <w:pStyle w:val="SourceNote"/>
      </w:pPr>
      <w:r>
        <w:rPr>
          <w:b/>
        </w:rPr>
        <w:t>Available abstract (not full text):</w:t>
      </w:r>
      <w:r>
        <w:t xml:space="preserve"> The Common Agricultural Policy (CAP) is crucial in ensuring food safety and security in Europe. Providing a stable and diverse food supply also supports rural economies and promotes social, environmental and economic sustainability. However, as CAP consumes approximately 30% of the EU budget, debates regarding its pertinence have arisen. This paper aimed to understand European citizens’ perceptions of CAP, its associated benefits and their level of agreement regarding the allocation of the EU budget. Ultimately, the goal was to gain insights into EU citizens’ attitudes and perceptions towards the CAP. Information and data come from the European Survey Eurobarometer. The methods include statistical inferential techniques adjusted to the nature of the variables and goals. The findings confirm that European citizens generally perceive the CAP positively and have positive attitudes about the CAP. While some differences among various social groups may exist, the results did not identify any specific group strongly opposing the CAP. Overall, European citizens hold a favorable attitude towards the CAP, its associated benefits and budget allocation. This paper brings new insights into new European CAP measures and programs to promote food security and the sustainability of agriculture among European countries and citizens. These insights may be useful for public decision-makers to defi</w:t>
      </w:r>
    </w:p>
    <w:p>
      <w:pPr/>
      <w:r>
        <w:rPr>
          <w:b/>
        </w:rPr>
        <w:t>POSSIBLE 2024:</w:t>
      </w:r>
      <w:r>
        <w:t xml:space="preserve"> Digital Divide in the European Union: A Typology of EU Citizens — https://doi.org/10.1007/s11205-024-03452-2</w:t>
      </w:r>
    </w:p>
    <w:p>
      <w:pPr/>
      <w:r>
        <w:rPr>
          <w:b/>
        </w:rPr>
        <w:t>Shared claim-specific concepts:</w:t>
      </w:r>
      <w:r>
        <w:t xml:space="preserve"> citizens, insights, equitable; EU scope visible. This is a provisional connection, not an outcome finding.</w:t>
      </w:r>
    </w:p>
    <w:p>
      <w:pPr>
        <w:pStyle w:val="SourceNote"/>
      </w:pPr>
      <w:r>
        <w:rPr>
          <w:b/>
        </w:rPr>
        <w:t>Available abstract (not full text):</w:t>
      </w:r>
      <w:r>
        <w:t xml:space="preserve"> Abstract This paper addresses the heterogeneity of the digital divide and internet use among citizens in the 28 European Union (EU) countries (at the time of the survey). Drawing from the Eurobarometer Surveys, three indicators of the digital divide are used to define the groups: frequency of internet access, means of internet access, and online activities. The categorical clustering algorithm identifies six groups of internet users: Non-Users , Basic Users, Information Exchangers , Instrumental Users, Socializers, and Advanced Users , each with distinct socio-demographic profiles. The study reveals significant socio-economic and demographic profiling variables characterizing these patterns, including age, education, gender, occupation, type of community and geographic location. A major digital divide is detected in many countries; Notably, Romania, Greece, and Bulgaria have the largest proportion of Non-Users , emphasizing the need for targeted policy interventions. These results provide crucial insights for the European Commission’s digitization strategy, suggesting that more nuanced and targeted measures are needed to ensure equitable digital access across the EU.</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2023:</w:t>
      </w:r>
      <w:r>
        <w:t xml:space="preserve"> Unlocking the Power of Crowds: Exploring Crowdsourcing and Crowdfunding Initiatives in Europe — https://doi.org/10.7336/academicus.2023.28.08</w:t>
      </w:r>
    </w:p>
    <w:p>
      <w:pPr/>
      <w:r>
        <w:rPr>
          <w:b/>
        </w:rPr>
        <w:t>Shared claim-specific concepts:</w:t>
      </w:r>
      <w:r>
        <w:t xml:space="preserve"> article, aims, exploring, between, support; EU scope visible. This is a provisional connection, not an outcome finding.</w:t>
      </w:r>
    </w:p>
    <w:p>
      <w:pPr>
        <w:pStyle w:val="SourceNote"/>
      </w:pPr>
      <w:r>
        <w:rPr>
          <w:b/>
        </w:rPr>
        <w:t>Available abstract (not full text):</w:t>
      </w:r>
      <w:r>
        <w:t xml:space="preserve"> The world of crowdsourcing and crowdfunding in Europe is a dynamic and transformative space that has been significantly impacted by the rapid growth of digital technologies. This innovative approach has become a game-changer for entrepreneurs, startups, and creative individuals as it harnesses the collective intelligence and financial support of people. Various platforms and mechanisms are driving crowdsourcing and crowdfunding initiatives in Europe, leading to success stories, emerging trends, and potential benefits for all partecipants. This article aims to analyze some of the various emerging trends in crowdsourcing and crowdfunding across Europe while highlighting their potential benefits for those seeking funding or collaboration opportunities. It further examines both crowdsourcing and crowdfunding advantages &amp; disadvantages. Ultimately, this article aims to unlock the full potential of collaboration between people from diverse backgrounds by exploring ways to leverage crowdsourcing &amp; crowdfunding effectively.</w:t>
      </w:r>
    </w:p>
    <w:p>
      <w:pPr/>
      <w:r>
        <w:rPr>
          <w:b/>
        </w:rPr>
        <w:t>POSSIBLE 2022:</w:t>
      </w:r>
      <w:r>
        <w:t xml:space="preserve"> Exploring the Geography of Subjective Happiness in Europe During the Years of the Economic Crisis: A Multilevel Modelling Approach — https://doi.org/10.1007/s11205-021-02874-6</w:t>
      </w:r>
    </w:p>
    <w:p>
      <w:pPr/>
      <w:r>
        <w:rPr>
          <w:b/>
        </w:rPr>
        <w:t>Shared claim-specific concepts:</w:t>
      </w:r>
      <w:r>
        <w:t xml:space="preserve"> article, exploring, understanding; EU scope visible. This is a provisional connection, not an outcome finding.</w:t>
      </w:r>
    </w:p>
    <w:p>
      <w:pPr>
        <w:pStyle w:val="SourceNote"/>
      </w:pPr>
      <w:r>
        <w:rPr>
          <w:b/>
        </w:rPr>
        <w:t>Available abstract (not full text):</w:t>
      </w:r>
      <w:r>
        <w:t xml:space="preserve"> Abstract This article builds on the efforts by geographers and regional scientists aimed at adding a geographical dimension to the analysis and understanding of happiness and well-being. In particular, the article explores the changes in observed subjective wellbeing measures of residents in countries and regions that were mostly hit by the severe economic crisis and austerity measures. To that end, we present a multilevel modelling approach to the analysis of suitable secondary data derived from the European Social Survey (ESS), as well as relevant contextual regional-level data from Eurostat. The article first presents a brief overview of the state of the art in happiness and well-being research, with particular emphasis on the relatively limited but rapidly growing geographical studies, as well as studies by economists regarding the impact of austerity and inequality upon happiness and well-being. We then present key findings from a comprehensive analysis of European Social Survey data combined with austerity related data at the regional level in order to explore the geography of happiness and well-being in Europe amid times of economic gloom and severe austerity measures. The research presented in this article involves analysis of data before, during and after (or in towards the end of) the crisis and it is aimed at identifying geographical as well as individual socio-econo</w:t>
      </w:r>
    </w:p>
    <w:p>
      <w:pPr/>
      <w:r>
        <w:rPr>
          <w:b/>
        </w:rPr>
        <w:t>POSSIBLE 2022:</w:t>
      </w:r>
      <w:r>
        <w:t xml:space="preserve"> Effectiveness of the European Union grants to civil society in the Baltic states: an evaluation of the EU program ‘Europe for Citizens’ (2007-2020) — https://doi.org/10.47743/ejes-2022-si06</w:t>
      </w:r>
    </w:p>
    <w:p>
      <w:pPr/>
      <w:r>
        <w:rPr>
          <w:b/>
        </w:rPr>
        <w:t>Shared claim-specific concepts:</w:t>
      </w:r>
      <w:r>
        <w:t xml:space="preserve"> article, comparing, citizens, support; EU scope visible. This is a provisional connection, not an outcome finding.</w:t>
      </w:r>
    </w:p>
    <w:p>
      <w:pPr>
        <w:pStyle w:val="SourceNote"/>
      </w:pPr>
      <w:r>
        <w:rPr>
          <w:b/>
        </w:rPr>
        <w:t>Available abstract (not full text):</w:t>
      </w:r>
      <w:r>
        <w:t xml:space="preserve"> The aim of this article is to evaluate the effectiveness of the European Union's 'Europe for Citizens' program by analyzing the situation of the Baltic states in the context of the overall EU level, as well as comparing Latvia with neighboring Estonia and Lithuania.Within the frameworks of the two actions ('European Remembrance Projects' and 'Civil Society Projects') in the 'Europe for Citizens' program for the two periods (2007-2013) and (2014-2020), both the financial support of the European Union to the most active groups of civil society (top-down) and a very high activity of civil society by project application have been examined.Under approved projects, various activities were developed, promoting public participation both at the local level and among the citizens of various European Union countries, thus starting to influence the processes at the EU level (bottom-up) as well.The data show that the population of all three Baltic states has a high sense of belonging to the European Union, well above the EU average.</w:t>
      </w:r>
    </w:p>
    <w:p>
      <w:pPr/>
      <w:r>
        <w:rPr>
          <w:b/>
        </w:rPr>
        <w:t>POSSIBLE 2022:</w:t>
      </w:r>
      <w:r>
        <w:t xml:space="preserve"> First evidence of microplastics isolated in European citizens’ lower airway — https://doi.org/10.1016/j.jhazmat.2022.129439</w:t>
      </w:r>
    </w:p>
    <w:p>
      <w:pPr/>
      <w:r>
        <w:rPr>
          <w:b/>
        </w:rPr>
        <w:t>Shared claim-specific concepts:</w:t>
      </w:r>
      <w:r>
        <w:t xml:space="preserve"> citizens, life, between; EU scope visible. This is a provisional connection, not an outcome finding.</w:t>
      </w:r>
    </w:p>
    <w:p>
      <w:pPr>
        <w:pStyle w:val="SourceNote"/>
      </w:pPr>
      <w:r>
        <w:rPr>
          <w:b/>
        </w:rPr>
        <w:t>Available abstract (not full text):</w:t>
      </w:r>
      <w:r>
        <w:t xml:space="preserve"> Microplastics (MPs) have been detected in all environmental locations, including the atmosphere. However, few studies have investigated the presence of airborne MPs in the human respiratory system. Our research purpose was to investigate these pollutants in the lower human airways of 44 adult European citizens, using bronchoalveolar lavage fluid (BALF) collection as a minimally invasive method, that enables the detection of these pollutants in living patients. We studied the relationship between the patients' life habits and physiological parameters, based on background information and medical and occupational history, and the concentration of MPs isolated from their respiratory systems. Our results indicate that most MPs were in the form of microfibers (MFs) (97.06%), with an average concentration of 9.18 ± 2.45 items/100 mL BALF, and only 5.88% (0.57 ± 0.27 items/100 mL BALF) were particulate MPs, without a significant relationship with environmental, physiological, or clinical factors. The average size was 1.73 ± 0.15 mm, with the longest dimension (9.96 mm) corresponding to a polyacrylic fiber. Taken together, the results demonstrated the occurrence of MPs in the lower human airway, although more studies are necessary to elucidate the negative effects these pollutants could induce in the human respiratory system and its associated diseases.</w:t>
      </w:r>
    </w:p>
    <w:p>
      <w:pPr/>
      <w:r>
        <w:rPr>
          <w:b/>
        </w:rPr>
        <w:t>POSSIBLE 2022:</w:t>
      </w:r>
      <w:r>
        <w:t xml:space="preserve"> Standing for Europe: Citizens' perceptions of European symbols as evidence of a “banal Europeanism”? — https://doi.org/10.1111/nana.12848</w:t>
      </w:r>
    </w:p>
    <w:p>
      <w:pPr/>
      <w:r>
        <w:rPr>
          <w:b/>
        </w:rPr>
        <w:t>Shared claim-specific concepts:</w:t>
      </w:r>
      <w:r>
        <w:t xml:space="preserve"> article, citizens, perceptions; EU scope visible. This is a provisional connection, not an outcome finding.</w:t>
      </w:r>
    </w:p>
    <w:p>
      <w:pPr>
        <w:pStyle w:val="SourceNote"/>
      </w:pPr>
      <w:r>
        <w:rPr>
          <w:b/>
        </w:rPr>
        <w:t>Available abstract (not full text):</w:t>
      </w:r>
      <w:r>
        <w:t xml:space="preserve"> Abstract This article analyses the perception of the symbols of the European Union (EU) by citizens. Relying on a survey of a representative sample of the population in eight countries (France, Germany, Hungary, Italy, Poland, Romania, Spain and the United Kingdom) carried out in December 2020, it investigates to which extent these symbols are considered as good representations of the EU and differences related to political, cultural, social and economic belongings. Empirically, our findings show a large acknowledgement of these symbols in congruence with general attitudes towards the EU. Theoretically, it offers some evidence of the existence of a “banal Europeanism” taking ‐ to a certain extent ‐ European symbolism as granted in contrast with its politicisation in elite discursive struggles.</w:t>
      </w:r>
    </w:p>
    <w:p>
      <w:pPr/>
      <w:r>
        <w:rPr>
          <w:b/>
        </w:rPr>
        <w:t>POSSIBLE 2021:</w:t>
      </w:r>
      <w:r>
        <w:t xml:space="preserve"> The Dissemination of European Popular Print: Exploring Comparative Approaches — https://doi.org/10.1163/15700690-12341482</w:t>
      </w:r>
    </w:p>
    <w:p>
      <w:pPr/>
      <w:r>
        <w:rPr>
          <w:b/>
        </w:rPr>
        <w:t>Shared claim-specific concepts:</w:t>
      </w:r>
      <w:r>
        <w:t xml:space="preserve"> article, exploring, between; EU scope visible. This is a provisional connection, not an outcome finding.</w:t>
      </w:r>
    </w:p>
    <w:p>
      <w:pPr>
        <w:pStyle w:val="SourceNote"/>
      </w:pPr>
      <w:r>
        <w:rPr>
          <w:b/>
        </w:rPr>
        <w:t>Available abstract (not full text):</w:t>
      </w:r>
      <w:r>
        <w:t xml:space="preserve"> Abstract This article discusses the prospects of a comparative approach within the field of the dissemination of European popular print. Currently, it is still hard to find studies that address distribution of popular print with a Europe-wide scope. After an introduction about the main concepts, models and approaches, the article discusses some topic related issues, questions, approaches and sources. Social and professional categorisations are explored, as well as the differences between urban and rural distribution, the impact of regional and international networks, the effects of trade regulations and the collaborative features of distribution practices. What became clear is that a wide-ranging study that includes all European countries is urgently needed but not within reach soon, due to a lack of fundamental research and assessible sources. We should therefore first start to collect data systematically and conduct a series of comparative case studies in which we explore important questions and approaches.</w:t>
      </w:r>
    </w:p>
    <w:p>
      <w:pPr>
        <w:pStyle w:val="Heading2"/>
      </w:pPr>
      <w:r>
        <w:t>695.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2025:</w:t>
      </w:r>
      <w:r>
        <w:t xml:space="preserve"> Green Investment, Digital Technological Progress, and the Dynamics of Carbon Emissions in China: A Review — https://doi.org/10.5281/zenodo.18311163</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This article examines the impact of green capital allocation and improvement in information and communication technology on the trajectory of carbon emission from the period of 1985 to 2024 in China. Our results highlight the importance of environmentally sustainable investment and technological development of digital technologies to curb increasing carbon production, while at the same time emphasizing the possible paradox that accelerated economic growth will continue to increase environmental strain through a large increase in carbon emissions. Existing scholarship supports the linkages between the forms of green investment, technological innovation, and economic growth (including the dimension of nonlinear, quadratic growth) and thus can shed light on the dynamic interactions of these variables in the context of the environment. Inspired by these empirical understandings, policy prescriptions that attempt to crystallize a more solid path for China to move toward a cleaner and more sustainable growth paradigm have been proposed in the present work. Existing literature has found a strong connection among green investment, technological innovation and economic growth with the help of static and dynamic econometric methodologies. These outcome results provide important knowledge on the complex interrelations of environmental outcomes. Based on empirical literature, the current s</w:t>
      </w:r>
    </w:p>
    <w:p>
      <w:pPr/>
      <w:r>
        <w:rPr>
          <w:b/>
        </w:rPr>
        <w:t>POSSIBLE 2024:</w:t>
      </w:r>
      <w:r>
        <w:t xml:space="preserve"> Impact of Green Infrastructure Investment on Urban Carbon Emissions in China — https://doi.org/10.3390/su16072668</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Given the increasingly severe global climate change, the reduction in urban greenhouse gas emissions has become the common goal of all nations. As a widely concerned sustainable development strategy, green infrastructure investment (GII) aims to reduce urban carbon emissions, improve the efficiency of resource utilization, and improve environmental quality. However, the construction cycle of green infrastructure is long, and the construction process itself may produce carbon emissions; so, the final effect of GII on urban carbon emissions is unclear, which deserves our in-depth study. Further, is this effect having a time-lag effect? Is there only a simple linear relationship between GII and urban carbon emissions? Based on panel data from 235 Chinese cities from 2006 to 2019, this study conducted an econometric regression analysis using time-lag-effect and threshold-effect models. The results showed the following: (1) GII had a negative inhibitory effect on urban CO2 emissions. Adding one unit to the GII could reduce urban CO2 emissions by 0.032 units. (2) GII exhibited a time-lag effect on urban CO2 emissions, and the greatest reduction in CO2 emissions occurred in the third lag period. (3) GII had a threshold effect on urban CO2 emissions based on technological progress (TP). This paper used the static and dynamic panel threshold models to research separately, and obtained t</w:t>
      </w:r>
    </w:p>
    <w:p>
      <w:pPr/>
      <w:r>
        <w:rPr>
          <w:b/>
        </w:rPr>
        <w:t>POSSIBLE 2024:</w:t>
      </w:r>
      <w:r>
        <w:t xml:space="preserve"> China carbon emission accounts 2020-2021 — https://doi.org/10.1016/j.apenergy.2024.122837</w:t>
      </w:r>
    </w:p>
    <w:p>
      <w:pPr/>
      <w:r>
        <w:rPr>
          <w:b/>
        </w:rPr>
        <w:t>Shared claim-specific concepts:</w:t>
      </w:r>
      <w:r>
        <w:t xml:space="preserve"> china, carbon, rapid, climate; EU scope not established. This is a provisional connection, not an outcome finding.</w:t>
      </w:r>
    </w:p>
    <w:p>
      <w:pPr>
        <w:pStyle w:val="SourceNote"/>
      </w:pPr>
      <w:r>
        <w:rPr>
          <w:b/>
        </w:rPr>
        <w:t>Available abstract (not full text):</w:t>
      </w:r>
      <w:r>
        <w:t xml:space="preserve"> In the past a few years, the outbreak of the COVID-19 epidemic has significantly changed global emission patterns and increased the challenges in emission reduction. However, a comprehensive analysis of the most recent trends of China's carbon emissions has not been conducted due to a lack of up-to-date emission accounts by regions and sectors. This study compiles the latest CO2 emission inventories for China and its 30 provinces during the epidemic (2020−2021), following the administrative-territorial approach from the International Panel on Climate Change (IPCC). Our inventories cover energy-related emissions from 17 types of fossil fuel combustion and cement production across 47 economic sectors. To provide a holistic view of emission patterns, we esitamted consumption-based emissions in China. We find that the COVID-19 epidemic led to a 50% reduction in the growth rate of territorial emissions in 2020 compared to 2019. This trend then reversed in 2021 as lockdown measures gradually relaxed. Our study reveals the impact of the rapid expansion of exports, driven by epidemic prevention materials and “stay-at-home economy” products on widening the differences between territorial- and consumption-based emissions. Our study offers a timely blueprint for designing strategies towards carbon peak and neutrality, especially in the context of sustainable recoveries and carbon mitigati</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need, carbon, investments;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Foreign Direct Investment, Technology Innovation and Carbon Emissions: Evidence from China — https://doi.org/10.3390/su162210014</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FDI is a critical factor influencing carbon emissions and a significant driver of China’s economic development. However, achieving sustainable economic development remains a major challenge for China. Hence, this paper aims to explore how to foster positive interactions between FDI and carbon emissions. Specifically, we first analyze the mechanism of FDI on carbon emissions from a theoretical perspective. Then, using panel data from 27 provinces in China, an empirical analysis is conducted. In the empirical analysis, we use the panel regression models to analyze the impact of FDI on carbon emissions. Additionally, a configuration analysis method is employed to examine the interactive relationship between FDI quality and carbon emissions. The conclusions of this paper are as follows. Overall, FDI significantly inhibits carbon emissions across provinces, with this effect strengthening as the scale and quality of FDI increase. Heterogeneity analysis shows that the inhibitory effect of FDI on carbon emissions is more pronounced in provinces with high technological financial support and stringent environmental regulations. Mediation analysis indicates that technological innovation serves as a mediator between FDI and carbon emissions, which means that FDI could promote “the quality improvement and the quantity increase” of green technological innovation to reduce carbon emissions. F</w:t>
      </w:r>
    </w:p>
    <w:p>
      <w:pPr/>
      <w:r>
        <w:rPr>
          <w:b/>
        </w:rPr>
        <w:t>POSSIBLE 2023:</w:t>
      </w:r>
      <w:r>
        <w:t xml:space="preserve"> Grid integration feasibility and investment planning of offshore wind power under carbon-neutral transition in China — https://doi.org/10.1038/s41467-023-37536-3</w:t>
      </w:r>
    </w:p>
    <w:p>
      <w:pPr/>
      <w:r>
        <w:rPr>
          <w:b/>
        </w:rPr>
        <w:t>Shared claim-specific concepts:</w:t>
      </w:r>
      <w:r>
        <w:t xml:space="preserve"> china, investments, indicate; EU scope not established. This is a provisional connection, not an outcome finding.</w:t>
      </w:r>
    </w:p>
    <w:p>
      <w:pPr>
        <w:pStyle w:val="SourceNote"/>
      </w:pPr>
      <w:r>
        <w:rPr>
          <w:b/>
        </w:rPr>
        <w:t>Available abstract (not full text):</w:t>
      </w:r>
      <w:r>
        <w:t xml:space="preserve"> emitter, China. However, system integration barriers as well as system balancing costs have not been quantified yet. Here we develop a bottom-up model to test the grid accommodation capabilities and design the optimal investment plans for offshore wind power considering resource distributions, hourly power system simulations, and transmission/storage/hydrogen investments. Results indicate that grid integration barriers exist currently at the provincial level. For 2030, optimized offshore wind investment levels should be doubled compared with current government plans, and provincial allocations should be significantly improved considering both resource quality and grid conditions. For 2050, offshore wind capacity in China could reach as high as 1500 GW, prompting a paradigm shift in national transmission structure, favoring long-term storage in the energy portfolio, enabling green hydrogen production in coastal demand centers, resulting in the world's largest wind power market.</w:t>
      </w:r>
    </w:p>
    <w:p>
      <w:pPr/>
      <w:r>
        <w:rPr>
          <w:b/>
        </w:rPr>
        <w:t>POSSIBLE 2023:</w:t>
      </w:r>
      <w:r>
        <w:t xml:space="preserve"> Influence of carbon derivatives on carbon capture investments in coal-based power sector, a China perspective — https://doi.org/10.1016/j.isci.2023.108026</w:t>
      </w:r>
    </w:p>
    <w:p>
      <w:pPr/>
      <w:r>
        <w:rPr>
          <w:b/>
        </w:rPr>
        <w:t>Shared claim-specific concepts:</w:t>
      </w:r>
      <w:r>
        <w:t xml:space="preserve"> china, low, carbon, investments, decarbonization; EU scope not established. This is a provisional connection, not an outcome finding.</w:t>
      </w:r>
    </w:p>
    <w:p>
      <w:pPr>
        <w:pStyle w:val="SourceNote"/>
      </w:pPr>
      <w:r>
        <w:rPr>
          <w:b/>
        </w:rPr>
        <w:t>Available abstract (not full text):</w:t>
      </w:r>
      <w:r>
        <w:t xml:space="preserve"> Coal-based power sector needs deep carbon emission reduction in the upcoming 20 years to fulfill China's carbon peaking and carbon neutrality pledge. Due to the low and fluctuating carbon price in the emission trading system, decarbonization projects are risky and face massive potential losses. To promote decarbonization investment, a lot of policies of subsidy have been set forth. However, market instruments, which could be efficient and motivating for market entities, should have received more attention. In this article, the influence of carbon derivatives on decarbonization investment and financing is analyzed for different technology progresses and price trajectories. Results show that carbon futures and options have de-risking ability, lowering expected variation and financial cost, and consequently, making decarbonization project feasible. For advanced technology and optimistic outlook, investment can be feasible with 42-66% debt share when options are available. For the base case and neutral price outlook, derivatives can pull subsidy down by around 1%.</w:t>
      </w:r>
    </w:p>
    <w:p>
      <w:pPr/>
      <w:r>
        <w:rPr>
          <w:b/>
        </w:rPr>
        <w:t>POSSIBLE 2022:</w:t>
      </w:r>
      <w:r>
        <w:t xml:space="preserve"> The micro-macro interplay of economic factors in late-life loneliness: Evidence from Europe and China — https://doi.org/10.3389/fpubh.2022.968411</w:t>
      </w:r>
    </w:p>
    <w:p>
      <w:pPr/>
      <w:r>
        <w:rPr>
          <w:b/>
        </w:rPr>
        <w:t>Shared claim-specific concepts:</w:t>
      </w:r>
      <w:r>
        <w:t xml:space="preserve"> china, need, increase, low; EU scope visible. This is a provisional connection, not an outcome finding.</w:t>
      </w:r>
    </w:p>
    <w:p>
      <w:pPr>
        <w:pStyle w:val="SourceNote"/>
      </w:pPr>
      <w:r>
        <w:rPr>
          <w:b/>
        </w:rPr>
        <w:t>Available abstract (not full text):</w:t>
      </w:r>
      <w:r>
        <w:t xml:space="preserve"> Individual socioeconomic status has a significant impact on whether older adults can initiate and maintain social relationships and participate in society, hence it affects loneliness. At the macro level, income inequality is expected to increase the risk of loneliness by eroding social cohesion and trust, while welfare generosity might protect people from loneliness. The aim of the study is to explore whether income inequality and welfare generosity at the country level moderate the effect of socioeconomic status at the individual level on late-life loneliness. Data were obtained from the HRS family of surveys - the Survey of Health, Aging and Retirement in Europe (SHARE) (wave 5, 2011/12) and China Health and Retirement Longitudinal Study (CHARLS) (wave 2, 2012/13). Respondents aged 50 years and older from twelve European countries and China were included in the study. Logistic country fixed effect models were used in the analysis. The findings show a stronger effect of individual socioeconomic status on late-life loneliness in more income-unequal societies and a weaker effect in more welfare-generous societies. There is a need to consider the impact of income distribution and welfare spending on the risk of loneliness among those older adults with low socioeconomic status when tailoring preventive programs and interventions to reduce loneliness among this vulnerable group.</w:t>
      </w:r>
    </w:p>
    <w:p>
      <w:pPr/>
      <w:r>
        <w:rPr>
          <w:b/>
        </w:rPr>
        <w:t>POSSIBLE 2022:</w:t>
      </w:r>
      <w:r>
        <w:t xml:space="preserve"> Green energy investment, renewable energy consumption, and carbon neutrality in China — https://doi.org/10.3389/fenvs.2022.960795</w:t>
      </w:r>
    </w:p>
    <w:p>
      <w:pPr/>
      <w:r>
        <w:rPr>
          <w:b/>
        </w:rPr>
        <w:t>Shared claim-specific concepts:</w:t>
      </w:r>
      <w:r>
        <w:t xml:space="preserve"> china, increase, carbon, indicate; EU scope not established. This is a provisional connection, not an outcome finding.</w:t>
      </w:r>
    </w:p>
    <w:p>
      <w:pPr>
        <w:pStyle w:val="SourceNote"/>
      </w:pPr>
      <w:r>
        <w:rPr>
          <w:b/>
        </w:rPr>
        <w:t>Available abstract (not full text):</w:t>
      </w:r>
      <w:r>
        <w:t xml:space="preserve"> This study investigates the dynamic impact of green energy investment and energy consumption on carbon emissions in China from 1995 to 2020. It employed the Bootstrap Autoregressive Distributed Lag method to examine the short and long-run relationship. The long-run findings indicate that green energy investment and renewable energy consumption decrease carbon emissions, whereas non-renewable energy consumption and economic growth increase carbon emissions in shorter and longer periods. The long-term reduction in carbon emissions may imply the transition toward carbon neutrality. However, the marginal contribution of renewable energy towards carbon neutrality is significantly higher than green energy investment due to investment lag effects. Moreover, the Error Correction Term (ECT) is significantly negative, authorizing the convergence towards steady-state equilibrium in case of any deviation with a 25% adjustment rate. The empirical results suggest that China should encourage green energy investment and increase the share of renewable energy sources to ensure carbon neutrality in the long run.</w:t>
      </w:r>
    </w:p>
    <w:p>
      <w:pPr/>
      <w:r>
        <w:rPr>
          <w:b/>
        </w:rPr>
        <w:t>POSSIBLE 2022:</w:t>
      </w:r>
      <w:r>
        <w:t xml:space="preserve"> The Influence of Foreign Direct Investment and Tourism on Carbon Emission in China — https://doi.org/10.3389/fenvs.2022.959850</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The aim of this research is to examine the potential influence of FDI inflows and tourism industry on carbon dioxide emissions in China using System GMM models for a sample period of 1980–2019. Using FMOLS and DOLS models, this research examines the long-term relationship between the variables, as well as the long-term association among components. Co-joining the boards of FMOLS and DOLS models shows a general correlation between the investigation elements and CO 2 emissions in China. FDI, tourism sector, and environment-friendly electricity use have all been major contributors to rising CO 2 emissions in China for a long time. Using System GMM, FMOLS, and DOLS models in China, we examined the influence of the travel sector on carbon dioxide emissions as well as environment-friendly electricity usage and foreign direct investment. The government of China is being pushed to attract more foreign direct investment in order to improve the system and expand the transportation industry. As a reasonable responsibility to an unnatural climate change, methods for developing the movement business and theories relating to the movement business should be adopted.</w:t>
      </w:r>
    </w:p>
    <w:p>
      <w:pPr/>
      <w:r>
        <w:rPr>
          <w:b/>
        </w:rPr>
        <w:t>POSSIBLE 2022:</w:t>
      </w:r>
      <w:r>
        <w:t xml:space="preserve"> Assessing the Socio‐Economic Effects of Carbon Capture, Utility and Storage Investment From the Perspective of Carbon Neutrality in China — https://doi.org/10.1029/2021ef002523</w:t>
      </w:r>
    </w:p>
    <w:p>
      <w:pPr/>
      <w:r>
        <w:rPr>
          <w:b/>
        </w:rPr>
        <w:t>Shared claim-specific concepts:</w:t>
      </w:r>
      <w:r>
        <w:t xml:space="preserve"> china, increase, carbon; EU scope not established. This is a provisional connection, not an outcome finding.</w:t>
      </w:r>
    </w:p>
    <w:p>
      <w:pPr>
        <w:pStyle w:val="SourceNote"/>
      </w:pPr>
      <w:r>
        <w:rPr>
          <w:b/>
        </w:rPr>
        <w:t>Available abstract (not full text):</w:t>
      </w:r>
      <w:r>
        <w:t xml:space="preserve"> Abstract Carbon Capture, Utility and Storage (CCUS) is essential for achieving carbon neutrality and has great development potential in China. CCUS, as a long‐term new investment, can address global warming and has significant social and economic impacts. This paper assessed the socio‐economic effects of CCUS investment based on carbon neutrality in China by combining the dynamic GTAP model and the Input‐output method. The result indicates that: CCUS investment may accumulate US$ 67.09 billion and US$ 776.61 billion from 2026 to 2030 and 2056 to 2060, respectively, based on International Energy Agency (IEA) investment scenario. Moreover, the corresponding value may increase to 8.26 billion and 743.21 billion US dollars from 2026 to 2030 and 2056 to 2060, respectively, based on Asian Development Bank (ADB) investment scenario; CCUS investment may stimulate gross value‐added of US$ 1.2 billion and US$ 10.4 billion based on ADB and IEA investment scenarios, respectively. CCUS investment may mainly promote the machinery industry, metal manufacturing industry, other service industries, power equipment manufacturing industry, and light processing manufacturing industry; Furthermore, ADB and IEA investment scenarios showed that CCUS industrial investment may indirectly create about 12,796 and 103,886 jobs, respectively, and US$ 85 million and US$ 692 million of labor employment income</w:t>
      </w:r>
    </w:p>
    <w:p>
      <w:pPr>
        <w:pStyle w:val="Heading2"/>
      </w:pPr>
      <w:r>
        <w:t>696.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2024:</w:t>
      </w:r>
      <w:r>
        <w:t xml:space="preserve"> Low‐resolution activity recognition using super‐resolution and model ensemble networks — https://doi.org/10.4218/etrij.2023-0523</w:t>
      </w:r>
    </w:p>
    <w:p>
      <w:pPr/>
      <w:r>
        <w:rPr>
          <w:b/>
        </w:rPr>
        <w:t>Shared claim-specific concepts:</w:t>
      </w:r>
      <w:r>
        <w:t xml:space="preserve"> unique, ensemble, substantial; EU scope not established. This is a provisional connection, not an outcome finding.</w:t>
      </w:r>
    </w:p>
    <w:p>
      <w:pPr>
        <w:pStyle w:val="SourceNote"/>
      </w:pPr>
      <w:r>
        <w:rPr>
          <w:b/>
        </w:rPr>
        <w:t>Available abstract (not full text):</w:t>
      </w:r>
      <w:r>
        <w:t xml:space="preserve"> Abstract In real‐world video super‐resolution, the complexity and diversity of degradations pose substantial challenges during both training and inference. Videos captured in real‐world settings often depict activities at varying resolutions. Typically, these activities are filmed from a distance that reduces the resolution of imagery, which thus lacks discriminative features. To address this problem, we introduce an activity recognition solution. First, a unique integration of data transformation and attention‐based average discriminator are employed for super‐resolution feature augmentation. This approach mitigates the lack of discriminative cues in low‐resolution videos. Subsequently, high‐resolution features extracted from the recovered data are directly fed into a model ensemble for activity recognition. We evaluate the resulting method on the TinyVIRAT‐v2 and HMDB51 datasets, achieving improved visual quality by leveraging the super‐resolution and model ensemble strategy. The proposed method enhances the quality of textures and boosts activity recognition in low‐resolution videos.</w:t>
      </w:r>
    </w:p>
    <w:p>
      <w:pPr/>
      <w:r>
        <w:rPr>
          <w:b/>
        </w:rPr>
        <w:t>POSSIBLE 2024:</w:t>
      </w:r>
      <w:r>
        <w:t xml:space="preserve"> Improved Heart Diseases Risk Prediction Using Optimized Super Learner Ensemble Model — https://doi.org/10.22266/ijies2024.1031.25</w:t>
      </w:r>
    </w:p>
    <w:p>
      <w:pPr/>
      <w:r>
        <w:rPr>
          <w:b/>
        </w:rPr>
        <w:t>Shared claim-specific concepts:</w:t>
      </w:r>
      <w:r>
        <w:t xml:space="preserve"> used, ensemble; EU scope not established. This is a provisional connection, not an outcome finding.</w:t>
      </w:r>
    </w:p>
    <w:p>
      <w:pPr>
        <w:pStyle w:val="SourceNote"/>
      </w:pPr>
      <w:r>
        <w:rPr>
          <w:b/>
        </w:rPr>
        <w:t>Available abstract (not full text):</w:t>
      </w:r>
      <w:r>
        <w:t xml:space="preserve"> Cardio Vascular Diseases (CVD) has become a serious concern for humans as fatalities rate due to CVD are increasing at an alarming pace.With the aid of machine learning techniques, heart illnesses can be predicted much earlier, and therapy or dietary changes can prevent deaths.By combining predictions from various individual models, the machine learning technique known as ensemble learning improves forecasting accuracy and resiliency.In this work, a Super Learner Ensemble Model is used where the base learners are a diverse combination of linear, probabilistic, bagging, boosting and stacking models.To improve the performance of the Super Learner Ensemble Model, an Optimized Super Learner Ensemble Model (OSLEM) is proposed, where optimal selection of base learners in the ensemble is done based on the pairwise disagreement accuracy diversity measure of classifiers in each best fitness whale obtained by different iterations of Whale Optimization Algorithm (WOA).ModifiedBoostARoota (MBAR), a wrapper feature selection technique is used to choose the most significant features of six different heart datasets and the proposed OSLEM modelled on the selected features exhibits high performance compared to other existing ensemble models.</w:t>
      </w:r>
    </w:p>
    <w:p>
      <w:pPr/>
      <w:r>
        <w:rPr>
          <w:b/>
        </w:rPr>
        <w:t>POSSIBLE 2023:</w:t>
      </w:r>
      <w:r>
        <w:t xml:space="preserve"> DELM: Deep Ensemble Learning Model for Multiclass Classification of Super-Resolution Leaf Disease Images — https://doi.org/10.55730/1300-011x.3123</w:t>
      </w:r>
    </w:p>
    <w:p>
      <w:pPr/>
      <w:r>
        <w:rPr>
          <w:b/>
        </w:rPr>
        <w:t>Shared claim-specific concepts:</w:t>
      </w:r>
      <w:r>
        <w:t xml:space="preserve"> since, ensemble; EU scope not established. This is a provisional connection, not an outcome finding.</w:t>
      </w:r>
    </w:p>
    <w:p>
      <w:pPr>
        <w:pStyle w:val="SourceNote"/>
      </w:pPr>
      <w:r>
        <w:rPr>
          <w:b/>
        </w:rPr>
        <w:t>Available abstract (not full text):</w:t>
      </w:r>
      <w:r>
        <w:t xml:space="preserve"> Tomato plant leaf diseases are the main risk factor for plant growth.Detection of diseases at the initial stage is the main and most complex task for farmers due to common morphological properties like colour, shape, texture, and edges.The quality and quantity of agricultural products might be significantly reduced because of plant diseases.One hundred and seventy-seven pathogens, including 167 fungi and others like bacteria, algae, and nematodes, attack the well-known tomato plant.Postharvest illnesses may also result in significant productivity losses.An expert opinion is needed for illness analysis due to the modest variations in the symptoms of different tomato diseases.Farmers who misuse pesticides may suffer financial losses as a result of erroneous diagnoses.Plant leaf diseases are difficult to categorize since there are many similarities among different groups and intricate design changes.In this paper, the authors present a deep ensemble learning model (DELM) for autonomous plant disease identification.The pretrained models are refined using transfer learning.Different augmentation techniques, including picture enhancement, rotation, and scaling, combat overfitting.This research gives a thorough taxonomy of the performance of a single model and various ensemble learning models to classify superresolution tomato plant leaf disease images.With the publicly available data</w:t>
      </w:r>
    </w:p>
    <w:p>
      <w:pPr/>
      <w:r>
        <w:rPr>
          <w:b/>
        </w:rPr>
        <w:t>POSSIBLE 2023:</w:t>
      </w:r>
      <w:r>
        <w:t xml:space="preserve"> Global Ionospheric TEC Forecasting for Geomagnetic Storm Time Using a Deep Learning‐Based Multi‐Model Ensemble Method — https://doi.org/10.1029/2022sw003231</w:t>
      </w:r>
    </w:p>
    <w:p>
      <w:pPr/>
      <w:r>
        <w:rPr>
          <w:b/>
        </w:rPr>
        <w:t>Shared claim-specific concepts:</w:t>
      </w:r>
      <w:r>
        <w:t xml:space="preserve"> used, ensemble, particularly; EU scope not established. This is a provisional connection, not an outcome finding.</w:t>
      </w:r>
    </w:p>
    <w:p>
      <w:pPr>
        <w:pStyle w:val="SourceNote"/>
      </w:pPr>
      <w:r>
        <w:rPr>
          <w:b/>
        </w:rPr>
        <w:t>Available abstract (not full text):</w:t>
      </w:r>
      <w:r>
        <w:t xml:space="preserve"> Abstract In recent years, deep learning has been extensively used for ionospheric total electron content (TEC) prediction, and many models can yield promising prediction results, particularly under quiet conditions. Owing to the ionosphere's intricate and dramatic changes during geomagnetic storms, the high‐reliable prediction of the storm‐time ionospheric TEC remains a challenging problem. In this study, we developed a new deep learning‐based multi‐model ensemble method (DLMEM) to forecast geomagnetic storm‐time ionospheric TEC that combines the Random Forest (RF) model, the Extreme Gradient Boosting (XGBoost) algorithm, and the Gated Recurrent Unit (GRU) network with the attention mechanism. Seven features in 170 geomagnetic storm events, including the three components Bx , By and Bz of interplanetary magnetic field (IMF), the Kp and Dst indices of geomagnetic activity data, the F 10.7 index of solar activity data and global TEC data, were used for modeling. The test set results showed that the DLMEM model can reduce the root mean square errors (RMSE) by an average of 43.6% in comparison to our previously presented model Ion‐LSTM, especially during the recovery period of geomagnetic storms. Furthermore, compared to Ion‐LSTM, the RMSE values of the low‐, middle‐ and high‐latitude single‐station forecast TEC can be greatly decreased by 33%, 53% and 59%, respectively. It was sho</w:t>
      </w:r>
    </w:p>
    <w:p>
      <w:pPr/>
      <w:r>
        <w:rPr>
          <w:b/>
        </w:rPr>
        <w:t>POSSIBLE 2021:</w:t>
      </w:r>
      <w:r>
        <w:t xml:space="preserve"> Simulating Miocene Warmth: Insights From an Opportunistic Multi‐Model Ensemble (MioMIP1) — https://doi.org/10.1029/2020pa004054</w:t>
      </w:r>
    </w:p>
    <w:p>
      <w:pPr/>
      <w:r>
        <w:rPr>
          <w:b/>
        </w:rPr>
        <w:t>Shared claim-specific concepts:</w:t>
      </w:r>
      <w:r>
        <w:t xml:space="preserve"> ensemble, substantial, warming; EU scope not established. This is a provisional connection, not an outcome finding.</w:t>
      </w:r>
    </w:p>
    <w:p>
      <w:pPr>
        <w:pStyle w:val="SourceNote"/>
      </w:pPr>
      <w:r>
        <w:rPr>
          <w:b/>
        </w:rPr>
        <w:t>Available abstract (not full text):</w:t>
      </w:r>
      <w:r>
        <w:t xml:space="preserve"> Abstract The Miocene epoch, spanning 23.03–5.33 Ma, was a dynamic climate of sustained, polar amplified warmth. Miocene atmospheric CO 2 concentrations are typically reconstructed between 300 and 600 ppm and were potentially higher during the Miocene Climatic Optimum (16.75–14.5 Ma). With surface temperature reconstructions pointing to substantial midlatitude and polar warmth, it is unclear what processes maintained the much weaker‐than‐modern equator‐to‐pole temperature difference. Here, we synthesize several Miocene climate modeling efforts together with available terrestrial and ocean surface temperature reconstructions. We evaluate the range of model‐data agreement, highlight robust mechanisms operating across Miocene modeling efforts and regions where differences across experiments result in a large spread in warming responses. Prescribed CO 2 is the primary factor controlling global warming across the ensemble. On average, elements other than CO 2 , such as Miocene paleogeography and ice sheets, raise global mean temperature by ∼2°C, with the spread in warming under a given CO 2 concentration (due to a combination of the spread in imposed boundary conditions and climate feedback strengths) equivalent to ∼1.2 times a CO 2 doubling. This study uses an ensemble of opportunity: models, boundary conditions, and reference data sets represent the state‐of‐art for the Miocene, bu</w:t>
      </w:r>
    </w:p>
    <w:p>
      <w:pPr/>
      <w:r>
        <w:rPr>
          <w:b/>
        </w:rPr>
        <w:t>POSSIBLE 2021:</w:t>
      </w:r>
      <w:r>
        <w:t xml:space="preserve"> Sign Language Recognition via Skeleton-Aware Multi-Model Ensemble — https://doi.org/10.48550/arxiv.2110.06161</w:t>
      </w:r>
    </w:p>
    <w:p>
      <w:pPr/>
      <w:r>
        <w:rPr>
          <w:b/>
        </w:rPr>
        <w:t>Shared claim-specific concepts:</w:t>
      </w:r>
      <w:r>
        <w:t xml:space="preserve"> multi-model, used, ensemble; EU scope not established. This is a provisional connection, not an outcome finding.</w:t>
      </w:r>
    </w:p>
    <w:p>
      <w:pPr>
        <w:pStyle w:val="SourceNote"/>
      </w:pPr>
      <w:r>
        <w:rPr>
          <w:b/>
        </w:rPr>
        <w:t>Available abstract (not full text):</w:t>
      </w:r>
      <w:r>
        <w:t xml:space="preserve"> Sign language is commonly used by deaf or mute people to communicate but requires extensive effort to master. It is usually performed with the fast yet delicate movement of hand gestures, body posture, and even facial expressions. Current Sign Language Recognition (SLR) methods usually extract features via deep neural networks and suffer overfitting due to limited and noisy data. Recently, skeleton-based action recognition has attracted increasing attention due to its subject-invariant and background-invariant nature, whereas skeleton-based SLR is still under exploration due to the lack of hand annotations. Some researchers have tried to use off-line hand pose trackers to obtain hand keypoints and aid in recognizing sign language via recurrent neural networks. Nevertheless, none of them outperforms RGB-based approaches yet. To this end, we propose a novel Skeleton Aware Multi-modal Framework with a Global Ensemble Model (GEM) for isolated SLR (SAM-SLR-v2) to learn and fuse multi-modal feature representations towards a higher recognition rate. Specifically, we propose a Sign Language Graph Convolution Network (SL-GCN) to model the embedded dynamics of skeleton keypoints and a Separable Spatial-Temporal Convolution Network (SSTCN) to exploit skeleton features. The skeleton-based predictions are fused with other RGB and depth based modalities by the proposed late-fusion GEM to pro</w:t>
      </w:r>
    </w:p>
    <w:p>
      <w:pPr/>
      <w:r>
        <w:rPr>
          <w:b/>
        </w:rPr>
        <w:t>POSSIBLE 2020:</w:t>
      </w:r>
      <w:r>
        <w:t xml:space="preserve"> CH2018 – National climate scenarios for Switzerland: How to construct consistent multi-model projections from ensembles of opportunity — https://doi.org/10.1016/j.cliser.2020.100196</w:t>
      </w:r>
    </w:p>
    <w:p>
      <w:pPr/>
      <w:r>
        <w:rPr>
          <w:b/>
        </w:rPr>
        <w:t>Shared claim-specific concepts:</w:t>
      </w:r>
      <w:r>
        <w:t xml:space="preserve"> unique, multi-model, used, ensemble; EU scope visible. This is a provisional connection, not an outcome finding.</w:t>
      </w:r>
    </w:p>
    <w:p>
      <w:pPr>
        <w:pStyle w:val="SourceNote"/>
      </w:pPr>
      <w:r>
        <w:rPr>
          <w:b/>
        </w:rPr>
        <w:t>Available abstract (not full text):</w:t>
      </w:r>
      <w:r>
        <w:t xml:space="preserve"> The latest Swiss Climate Scenarios (CH2018), released in November 2018, consist of several datasets derived through various methods that provide robust and relevant information on climate change in Switzerland. The scenarios build upon the regional climate model projections for Europe produced through the internationally coordinated downscaling effort EURO-CORDEX. The simulations from EURO-CORDEX consist of simulations at two spatial horizontal resolutions, several global climate models, and three different emission scenarios. Even with this unique dataset of regional climate scenarios, a number of practical challenges regarding a consistent interpretation of the model ensemble arise. Here we present the methodological chain employed in CH2018 in order to generate a multi-model ensemble that is consistent across scenarios and is used as a basis for deriving the CH2018 products. The different steps involve a thorough evaluation of the full EURO-CORDEX model ensemble, the removal of doubtful and potentially erroneous simulations, a time-shift approach to account for an equal number of simulations for each emission scenario, and the multi-model combination of simulations with different spatial resolutions. Each component of this cascade of processing steps is associated with an uncertainty that eventually contributes to the overall scientific uncertainty of the derived scenario pr</w:t>
      </w:r>
    </w:p>
    <w:p>
      <w:pPr>
        <w:pStyle w:val="Heading2"/>
      </w:pPr>
      <w:r>
        <w:t>697.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2024:</w:t>
      </w:r>
      <w:r>
        <w:t xml:space="preserve"> Parabolic Modeling Forecasts of Space and Time European Hydropower Production — https://doi.org/10.3390/pr12061098</w:t>
      </w:r>
    </w:p>
    <w:p>
      <w:pPr/>
      <w:r>
        <w:rPr>
          <w:b/>
        </w:rPr>
        <w:t>Shared claim-specific concepts:</w:t>
      </w:r>
      <w:r>
        <w:t xml:space="preserve"> forecasts, show, trends, technology; EU scope visible. This is a provisional connection, not an outcome finding.</w:t>
      </w:r>
    </w:p>
    <w:p>
      <w:pPr>
        <w:pStyle w:val="SourceNote"/>
      </w:pPr>
      <w:r>
        <w:rPr>
          <w:b/>
        </w:rPr>
        <w:t>Available abstract (not full text):</w:t>
      </w:r>
      <w:r>
        <w:t xml:space="preserve">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Forecasting Sustainable Development Indicators in Romania: A Study in the European Context — https://doi.org/10.3390/su16114534</w:t>
      </w:r>
    </w:p>
    <w:p>
      <w:pPr/>
      <w:r>
        <w:rPr>
          <w:b/>
        </w:rPr>
        <w:t>Shared claim-specific concepts:</w:t>
      </w:r>
      <w:r>
        <w:t xml:space="preserve"> determine, world; EU scope visible. This is a provisional connection, not an outcome finding.</w:t>
      </w:r>
    </w:p>
    <w:p>
      <w:pPr>
        <w:pStyle w:val="SourceNote"/>
      </w:pPr>
      <w:r>
        <w:rPr>
          <w:b/>
        </w:rPr>
        <w:t>Available abstract (not full text):</w:t>
      </w:r>
      <w:r>
        <w:t xml:space="preserve"> Sustainable development is a very important and highly debated concept worldwide, with almost all states around the globe recognizing the importance of supporting a balancing of economic, social and ecological plans to create a more prosperous and equitable world. The purpose of the current study is to identify the current context of the progress achieved by the EU member states regarding the 17 sustainable development objectives. Following the implemented research, it was found that Romania is one of the countries with the lowest performance, so an attempt was made to make a short-term forecast in the case of this country in order to determine its future course. In this sense, the Holt–Winters trend methods were used, which are based on historical data to predict future values. According to the analysis carried out, the predicted values are mainly encouraging, but it is necessary for the competent authorities to become more involved because, in many aspects, Romania is at the bottom of the European Union (EU) ranking regarding the analyzed indicators.</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trends, science, technology, possible;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2023:</w:t>
      </w:r>
      <w:r>
        <w:t xml:space="preserve"> Global trends and forecasts of breast cancer incidence and deaths — https://doi.org/10.1038/s41597-023-02253-5</w:t>
      </w:r>
    </w:p>
    <w:p>
      <w:pPr/>
      <w:r>
        <w:rPr>
          <w:b/>
        </w:rPr>
        <w:t>Shared claim-specific concepts:</w:t>
      </w:r>
      <w:r>
        <w:t xml:space="preserve"> forecasts, show, trends, regions; EU scope not established. This is a provisional connection, not an outcome finding.</w:t>
      </w:r>
    </w:p>
    <w:p>
      <w:pPr>
        <w:pStyle w:val="SourceNote"/>
      </w:pPr>
      <w:r>
        <w:rPr>
          <w:b/>
        </w:rPr>
        <w:t>Available abstract (not full text):</w:t>
      </w:r>
      <w:r>
        <w:t xml:space="preserve"> Breast cancer (BC) is one of the major public health challenges worldwide. Studies that address the new evidence on trends of BC are of great importance for preventing and controlling the occurrence and development of diseases and improving health. The aim of this study was to analyze the outcomes for the global burden of disease (GBD), incidence, deaths, and risk factors for BC from 1990 to 2019, and predict the GBD of BC until 2050 to inform global BC control planning efforts. In this study, the results show that the regions with low levels of socio-demographic index (SDI) will have the largest disease burden of BC in the future. The leading global risk factor for death attributable to BC in 2019 was metabolic risks, followed by behavioral risks. This study supports the worldwide urgent need for comprehensive cancer prevention and control strategies to reduce exposure, early screening, and improve treatment to effectively reduce the GBD of BC.</w:t>
      </w:r>
    </w:p>
    <w:p>
      <w:pPr/>
      <w:r>
        <w:rPr>
          <w:b/>
        </w:rPr>
        <w:t>POSSIBLE 2023:</w:t>
      </w:r>
      <w:r>
        <w:t xml:space="preserve"> CUSTOMS POLICY OF THE EUROPEAN UNION: TRENDS, FORECASTS, AND DEVELOPMENT PERSPECTIVES — https://doi.org/10.30970/ves.2023.65.0.6519</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The development of EU customs policy refl ects the state of economic relations within the EU. It is crucial for its ability to effi ciently respond to changes in global trade and infl uence its geopolitical position amidst global challenges and opportunities. The article aims to elucidate the specifi cs of applying customs tariff regulatory instruments in the EU, identify trends, and forecast the volumes of extra- and intra-EU trade for the nearest years. An assortment of scientifi c methods was employed in the article, including systemic, situational, and comparative analysis, to study trends, issues, and prospects of EU customs policy. For forecasting the trade volumes of the European Union, the FORECAST. The ETS function in Microsoft Excel was utilized, based on forecasting using the exponential smoothing algorithm. It is noted that the EU’s normative regulation is based on the Customs Code and bilateral trade agreements, with main tariff rates and product nomenclature defi ned by the EU Customs Tariff . The EU has exclusive competence in customs union matters, common trade policy, and the conclusion of international trade agreements of member countries. Customs tariff regulation regimes and instruments include the Most favored nation regime, anti-dumping and countervailing duties, preferential tariff s, and tariff quotas. The article evaluates EU trade volumes from 2015 to </w:t>
      </w:r>
    </w:p>
    <w:p>
      <w:pPr/>
      <w:r>
        <w:rPr>
          <w:b/>
        </w:rPr>
        <w:t>POSSIBLE 2023:</w:t>
      </w:r>
      <w:r>
        <w:t xml:space="preserve"> Skilful sub‐seasonal forecasts of aggregated temperature over Europe — https://doi.org/10.1002/met.2169</w:t>
      </w:r>
    </w:p>
    <w:p>
      <w:pPr/>
      <w:r>
        <w:rPr>
          <w:b/>
        </w:rPr>
        <w:t>Shared claim-specific concepts:</w:t>
      </w:r>
      <w:r>
        <w:t xml:space="preserve"> forecasts, show, regions; EU scope visible. This is a provisional connection, not an outcome finding.</w:t>
      </w:r>
    </w:p>
    <w:p>
      <w:pPr>
        <w:pStyle w:val="SourceNote"/>
      </w:pPr>
      <w:r>
        <w:rPr>
          <w:b/>
        </w:rPr>
        <w:t>Available abstract (not full text):</w:t>
      </w:r>
      <w:r>
        <w:t xml:space="preserve"> Abstract Subseasonal‐to‐seasonal (S2S) forecasts span the prediction range of weeks to 2–3 months ahead, bridging the gap between medium‐range and seasonal weather forecasts. There has been growing interest in S2S forecasts in recent years, largely because of the many potential uses of forecasts spanning these timescales. However, the skill of S2S forecasts beyond the first 2 weeks or so is poor, potentially limiting the usability of these forecasts. We show in this study that when considering accumulated temperatures, there is in fact good forecasting skill over Europe for accumulation periods up to 30 days ahead. Using a set of S2S hindcasts, we show using both a deterministic and a probabilistic measure of skill that the accumulated 2‐metre temperature forecasts out to 30 days are skilful over most of Europe. In summer, South West Europe has highest skill, while in winter North East Europe has highest skill. As an example application of such forecasts, we also evaluate the skill for summer cooling degree‐days (CDD) and winter heating degree‐days (HDD). For 30‐day winter HDD, there is good skill in all four European regions; for 30‐day summer CDD, the skill is limited in North West Europe, but still good in other regions.</w:t>
      </w:r>
    </w:p>
    <w:p>
      <w:pPr/>
      <w:r>
        <w:rPr>
          <w:b/>
        </w:rPr>
        <w:t>POSSIBLE 2022:</w:t>
      </w:r>
      <w:r>
        <w:t xml:space="preserve"> Trends and gaps in photovoltaic power forecasting with machine learning — https://doi.org/10.1016/j.egyr.2022.11.208</w:t>
      </w:r>
    </w:p>
    <w:p>
      <w:pPr/>
      <w:r>
        <w:rPr>
          <w:b/>
        </w:rPr>
        <w:t>Shared claim-specific concepts:</w:t>
      </w:r>
      <w:r>
        <w:t xml:space="preserve"> trends, world, help; EU scope not established. This is a provisional connection, not an outcome finding.</w:t>
      </w:r>
    </w:p>
    <w:p>
      <w:pPr>
        <w:pStyle w:val="SourceNote"/>
      </w:pPr>
      <w:r>
        <w:rPr>
          <w:b/>
        </w:rPr>
        <w:t>Available abstract (not full text):</w:t>
      </w:r>
      <w:r>
        <w:t xml:space="preserve"> The share of solar energy in the electricity mix increases year after year. Knowing the production of photovoltaic (PV) power at each instant of time is crucial for its integration into the grid. However, due to meteorological phenomena, PV power output can be uncertain and continuously varying, which complicates yield prediction. In recent years, machine learning (ML) techniques have entered the world of PV power forecasting to help increase the accuracy of predictions. Researchers have seen great potential in this approach, creating a vast literature on the topic. This paper intends to identify the most popular approaches and the gaps in this discipline. To do so, a representative part of the literature consisting of 100 publications is classified based on different aspects such as ML family, location of PV systems, number of systems considered, features, etc. Via this classification, the main trends and gaps can be highlighted while offering advice to researchers interested in the topic.</w:t>
      </w:r>
    </w:p>
    <w:p>
      <w:pPr/>
      <w:r>
        <w:rPr>
          <w:b/>
        </w:rPr>
        <w:t>POSSIBLE 2022:</w:t>
      </w:r>
      <w:r>
        <w:t xml:space="preserve"> The Regional Development Trap in Europe — https://doi.org/10.1080/00130095.2022.2080655</w:t>
      </w:r>
    </w:p>
    <w:p>
      <w:pPr/>
      <w:r>
        <w:rPr>
          <w:b/>
        </w:rPr>
        <w:t>Shared claim-specific concepts:</w:t>
      </w:r>
      <w:r>
        <w:t xml:space="preserve"> political, regions;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forecasts, show;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pStyle w:val="Heading2"/>
      </w:pPr>
      <w:r>
        <w:t>698.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2026:</w:t>
      </w:r>
      <w:r>
        <w:t xml:space="preserve"> Emission Scenarios for Europe under the CATALYSE Project: Beyond the Green Deal — https://openalex.org/W7125621332</w:t>
      </w:r>
    </w:p>
    <w:p>
      <w:pPr/>
      <w:r>
        <w:rPr>
          <w:b/>
        </w:rPr>
        <w:t>Shared claim-specific concepts:</w:t>
      </w:r>
      <w:r>
        <w:t xml:space="preserve"> emission, pathways, factors, indicating, sectors;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2025:</w:t>
      </w:r>
      <w:r>
        <w:t xml:space="preserve"> Methane Emissions from Mining in the European Union — https://doi.org/10.3390/en18040791</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2024:</w:t>
      </w:r>
      <w:r>
        <w:t xml:space="preserve"> Evaluation of Urban Vehicle Emissions Using Traffic and Emission Models - An Overview — https://doi.org/10.21608/eijest.2023.199836.1219</w:t>
      </w:r>
    </w:p>
    <w:p>
      <w:pPr/>
      <w:r>
        <w:rPr>
          <w:b/>
        </w:rPr>
        <w:t>Shared claim-specific concepts:</w:t>
      </w:r>
      <w:r>
        <w:t xml:space="preserve"> overview, alternatives, emission; EU scope not established. This is a provisional connection, not an outcome finding.</w:t>
      </w:r>
    </w:p>
    <w:p>
      <w:pPr>
        <w:pStyle w:val="SourceNote"/>
      </w:pPr>
      <w:r>
        <w:rPr>
          <w:b/>
        </w:rPr>
        <w:t>Available abstract (not full text):</w:t>
      </w:r>
      <w:r>
        <w:t xml:space="preserve"> Due to the country's rapidly growing population and economy, transportation has become an essential part of Egyptian life. Air quality has decreased as a direct result of the rapid increase in urban areas' vehicle use due to human activities. In Egypt, almost 48.1% of all trips are taken by private automobiles, whereas public transportation is utilized only sometimes. Heavy congestion is the direct result of people's reliance on personal automobiles. More than 98% of the world's population in 2019 was located in regions where air quality did not meet World Health Organization (WHO) criteria. About 32% of Egypt's 2019 emissions came from the transportation sector. Different aspects that define the causes and possible alternatives to the air pollution problem at intersections are addressed in this research. Three intersections in Zagazig are the focus of this project, which looks into ways to reduce emissions from moving cars. PTV VISSIM generates a realistic peak-hour traffic simulation of the current traffic situation. Emissions are calculated using the data collected from the vehicles in the traffic simulation as input to the emission modelling software COPERT.</w:t>
      </w:r>
    </w:p>
    <w:p>
      <w:pPr/>
      <w:r>
        <w:rPr>
          <w:b/>
        </w:rPr>
        <w:t>POSSIBLE 2023:</w:t>
      </w:r>
      <w:r>
        <w:t xml:space="preserve"> Anxiety among children and adolescents during the COVID-19 pandemic in Europe: a systematic review protocol — https://doi.org/10.1186/s13643-023-02225-1</w:t>
      </w:r>
    </w:p>
    <w:p>
      <w:pPr/>
      <w:r>
        <w:rPr>
          <w:b/>
        </w:rPr>
        <w:t>Shared claim-specific concepts:</w:t>
      </w:r>
      <w:r>
        <w:t xml:space="preserve"> overview, prepared; EU scope visible. This is a provisional connection, not an outcome finding.</w:t>
      </w:r>
    </w:p>
    <w:p>
      <w:pPr>
        <w:pStyle w:val="SourceNote"/>
      </w:pPr>
      <w:r>
        <w:rPr>
          <w:b/>
        </w:rPr>
        <w:t>Available abstract (not full text):</w:t>
      </w:r>
      <w:r>
        <w:t xml:space="preserve"> BACKGROUND: A growing number of studies point to a high mental health burden among children and adolescents during the COVID-19 pandemic, particularly concerning anxiety. However, the study quality and effect direction are heterogeneous in the existing primary studies with a lacking overview for the European continent. Therefore, this systematic review aims to critically synthesise the evidence regarding the impact of the COVID-19 pandemic on anxiety among children and adolescents in Europe compared to a pre-pandemic baseline. METHODS: A systematic literature search will be performed in six databases (MEDLINE, EMBASE, PsycINFO, Cochrane Central Register of Controlled Trials, Web of Science, and WHO COVID-19 database) with a peer reviewed search strategy according to the evidence-based checklist Peer Review of Electronic Search Strategies (PRESS). Inclusion criteria are children and adolescents ≤ 19 years living in Europe and data report during the COVID-19 pandemic with an appropriate pre-pandemic baseline. Primary outcomes are general anxiety symptoms and clinically relevant anxiety rates. Risk of bias will be assessed using the 'Risk of Bias in Non-randomised Studies of Exposure' (ROBINS-E). Data extraction will systematically include information on study design, population characteristics, COVID-19 determinants, pre-pandemic baseline, diagnostic instruments and outcome. The </w:t>
      </w:r>
    </w:p>
    <w:p>
      <w:pPr/>
      <w:r>
        <w:rPr>
          <w:b/>
        </w:rPr>
        <w:t>POSSIBLE 2023:</w:t>
      </w:r>
      <w:r>
        <w:t xml:space="preserve"> Emissions from Light-Duty Vehicles—From Statistics to Emission Regulations and Vehicle Testing in the European Union — https://doi.org/10.3390/en17010209</w:t>
      </w:r>
    </w:p>
    <w:p>
      <w:pPr/>
      <w:r>
        <w:rPr>
          <w:b/>
        </w:rPr>
        <w:t>Shared claim-specific concepts:</w:t>
      </w:r>
      <w:r>
        <w:t xml:space="preserve"> overview, real, emission, factors; EU scope visible. This is a provisional connection, not an outcome finding.</w:t>
      </w:r>
    </w:p>
    <w:p>
      <w:pPr>
        <w:pStyle w:val="SourceNote"/>
      </w:pPr>
      <w:r>
        <w:rPr>
          <w:b/>
        </w:rPr>
        <w:t>Available abstract (not full text):</w:t>
      </w:r>
      <w:r>
        <w:t xml:space="preserve"> The article offers a comprehensive examination of vehicle emissions, with a specific focus on the European Union’s automotive industry. Its main goal is to provide an in-depth analysis of the factors influencing the emission of microcontaminants from light-duty vehicles and the challenges associated with their removal via exhaust aftertreatment systems. It presents statistical insights into the automotive sector and explores the relationships between vehicle categories, fuel types, and the emission of regulated and nonregulated pollutants, as well as relevant legal regulations such as the European Emission Standard. The article delves into the characteristics of vehicle exhaust, compares exhaust-gas aftertreatment systems, and introduces factors affecting emissions from gasoline engines, including downsizing, fuel composition, and engine operating parameters. It also considers the impact of driving style, start–stop systems, and related factors. Concluding, the article offers an overview of vehicle-testing procedures, including emission tests on dynamometer chassis and real driving emissions. With the growing global vehicle population and international environmental regulations, a focus on solid particles containing microcontaminants is paramount, as they pose significant risks to health and the environment. In summary, this article provides valuable insights into vehicle emiss</w:t>
      </w:r>
    </w:p>
    <w:p>
      <w:pPr/>
      <w:r>
        <w:rPr>
          <w:b/>
        </w:rPr>
        <w:t>POSSIBLE 2023:</w:t>
      </w:r>
      <w:r>
        <w:t xml:space="preserve"> A comprehensive overview of carbon dioxide, including emission sources, capture technologies, and the conversion into value-added products — https://doi.org/10.1007/s10098-023-02599-9</w:t>
      </w:r>
    </w:p>
    <w:p>
      <w:pPr/>
      <w:r>
        <w:rPr>
          <w:b/>
        </w:rPr>
        <w:t>Shared claim-specific concepts:</w:t>
      </w:r>
      <w:r>
        <w:t xml:space="preserve"> graphical, overview, emission; EU scope not established. This is a provisional connection, not an outcome finding.</w:t>
      </w:r>
    </w:p>
    <w:p>
      <w:pPr>
        <w:pStyle w:val="SourceNote"/>
      </w:pPr>
      <w:r>
        <w:rPr>
          <w:b/>
        </w:rPr>
        <w:t>Available abstract (not full text):</w:t>
      </w:r>
      <w:r>
        <w:t xml:space="preserve"> Abstract Carbon dioxide is both the planet’s enemy and friend since it maintains the balance of the planet as this gas retains some of the radiant energy that the planet receives. Thus, it keeps the Earth’s heat, without which the Earth would be unbearably cold. However, the increase in the quantity of CO 2 in the Earth’s atmosphere contributes to the exacerbation of global warming. CO 2 is mainly produced from the processes of combustion of fuel and petroleum, as well as from the breathing process of living organisms. This study aims to provide a comprehensive view of carbon dioxide, including the main sources of emissions that resulted in negative effects, as well as the various ways to control these emissions by conducting a separation process during fuel combustion in power plants and preventing the release of large quantities into the atmosphere. Finally, an objective viewpoint on how to benefit from separated carbon dioxide and turn it into highly valuable products is presented. Given that this is a global problem that affects our planet, this review links other literature that deals with each part separately, and thus it presents a clear and comprehensive vision that enables the reader to be aware of carbon dioxide gas from all perspectives, concluding with future studies that are required to prevent an increase in negative effects in order to preserve the quality of lif</w:t>
      </w:r>
    </w:p>
    <w:p>
      <w:pPr/>
      <w:r>
        <w:rPr>
          <w:b/>
        </w:rPr>
        <w:t>POSSIBLE 2023:</w:t>
      </w:r>
      <w:r>
        <w:t xml:space="preserve"> Projected Reductions in CO2 Emissions by Using Alternative Methanol Fuel to Power a Service Operation Vessel — https://doi.org/10.3390/en16217419</w:t>
      </w:r>
    </w:p>
    <w:p>
      <w:pPr/>
      <w:r>
        <w:rPr>
          <w:b/>
        </w:rPr>
        <w:t>Shared claim-specific concepts:</w:t>
      </w:r>
      <w:r>
        <w:t xml:space="preserve"> assessing; EU scope visible. This is a provisional connection, not an outcome finding.</w:t>
      </w:r>
    </w:p>
    <w:p>
      <w:pPr>
        <w:pStyle w:val="SourceNote"/>
      </w:pPr>
      <w:r>
        <w:rPr>
          <w:b/>
        </w:rPr>
        <w:t>Available abstract (not full text):</w:t>
      </w:r>
      <w:r>
        <w:t xml:space="preserve"> Due to increasingly stringent IMO and European Commission requirements for greenhouse gas emissions, the present study analysed the projected reductions in CO2 emissions achieved by using methanol as an alternative fuel to power custom service operation vessels (SOVs) serving wind platforms in the Baltic Sea. Methanol is a relatively new fuel, approved for use as a safe marine fuel in the late 2020s. In these analyses, reference was made to the current interim guidelines, supplementing the IGF Code in the form of MSC.1/Circ.1621. The SOV type was chosen because of the current growing demand for these ships (the dynamic development of offshore wind power) and the lack of analyses of this type of small craft. The importance of assessing CO2 emissions in this case is due to the specifics of the vessel’s operation in different modes, and thus the variable load on the propulsion system and the area of operation close to the coastline. A computational research method was used to evaluate CO2 emissions, as well as the cost of methanol fuel, using current regulations and technical data. A comparison was also made between conventional MDO and LNG fuels. The first results of the analysis showed that methanol fuel is only competitive with MDO (a few-percent advantage) in terms of the average estimated index value EIV. Economically, it will require a higher investment, despite the favourab</w:t>
      </w:r>
    </w:p>
    <w:p>
      <w:pPr/>
      <w:r>
        <w:rPr>
          <w:b/>
        </w:rPr>
        <w:t>POSSIBLE 2022:</w:t>
      </w:r>
      <w:r>
        <w:t xml:space="preserve"> Going beyond European emission targets: Pathways for an urban energy transition in the city of Riga — https://doi.org/10.1016/j.energy.2022.123352</w:t>
      </w:r>
    </w:p>
    <w:p>
      <w:pPr/>
      <w:r>
        <w:rPr>
          <w:b/>
        </w:rPr>
        <w:t>Shared claim-specific concepts:</w:t>
      </w:r>
      <w:r>
        <w:t xml:space="preserve"> graphical, emission, pathways, factors; EU scope visible. This is a provisional connection, not an outcome finding.</w:t>
      </w:r>
    </w:p>
    <w:p>
      <w:pPr>
        <w:pStyle w:val="SourceNote"/>
      </w:pPr>
      <w:r>
        <w:rPr>
          <w:b/>
        </w:rPr>
        <w:t>Available abstract (not full text):</w:t>
      </w:r>
      <w:r>
        <w:t xml:space="preserve"> The city of Riga, currently updating their energy planning strategy for 2020–2030, surpassed the emission reduction target of the EU for 2030. Suitable targets for Riga are a reduction by 61% (2030) and 70% (2050), respectively, compared to 1990 levels. To achieve these objectives, this paper describes the research work defining pathways and measures in line with the planned actions of Riga, that focus on three thematic areas: green hydrogen, solar engagement, and modern transportation. The characterisation and comparison of the pathways is based on a graphical indicator method and weighting different factors accordingly to the Riga energy framework. The research done shows that production of green hydrogen is economically viable for Riga, achieving a Levelized Cost of Electricity of 0.0395 EUR/kWh and a Levelized Cost of Hydrogen of 3.67 EUR/kgH2. Rooftop photovoltaic systems represent an appealing option for the citizens if a feed-in tariff of 0.1 EUR/kWh is awarded. As additional outcomes, this paper proposes alternative loan schemes such as voucher return packages that can foster citizen engagement in renewable projects and defines strategies to reduce road emissions that could include the development of microalgae carbon capture systems and the creation of a fossil-free last-mile delivery zone.</w:t>
      </w:r>
    </w:p>
    <w:p>
      <w:pPr/>
      <w:r>
        <w:rPr>
          <w:b/>
        </w:rPr>
        <w:t>POSSIBLE 2021:</w:t>
      </w:r>
      <w:r>
        <w:t xml:space="preserve"> Overview of reported national greenhouse gas policies and measures in Europe in 2021 — https://doi.org/10.5281/zenodo.6020402</w:t>
      </w:r>
    </w:p>
    <w:p>
      <w:pPr/>
      <w:r>
        <w:rPr>
          <w:b/>
        </w:rPr>
        <w:t>Shared claim-specific concepts:</w:t>
      </w:r>
      <w:r>
        <w:t xml:space="preserve"> overview, national; EU scope visible. This is a provisional connection, not an outcome finding.</w:t>
      </w:r>
    </w:p>
    <w:p>
      <w:pPr>
        <w:pStyle w:val="SourceNote"/>
      </w:pPr>
      <w:r>
        <w:rPr>
          <w:b/>
        </w:rPr>
        <w:t>Available abstract (not full text):</w:t>
      </w:r>
      <w:r>
        <w:t xml:space="preserve"> Member States have to report every two years on their national greenhouse gas policies and measures. In 2021, EU Member States reported a total of 2 052 expired, existing and planned policies and measures. This is again a marked increase in the number of policies and measures reported by Member States, that partially can be explained by the implementation of the National Energy and Climate Plans. Quantitative evidence on the effectiveness and costs and benefits of these measures remains insufficiently reported.</w:t>
      </w:r>
    </w:p>
    <w:p>
      <w:pPr/>
      <w:r>
        <w:rPr>
          <w:b/>
        </w:rPr>
        <w:t>POSSIBLE 2021:</w:t>
      </w:r>
      <w:r>
        <w:t xml:space="preserve"> Effect of Battery Electric Vehicles on Greenhouse Gas Emissions in 29 European Union Countries — https://doi.org/10.3390/su132413611</w:t>
      </w:r>
    </w:p>
    <w:p>
      <w:pPr/>
      <w:r>
        <w:rPr>
          <w:b/>
        </w:rPr>
        <w:t>Shared claim-specific concepts:</w:t>
      </w:r>
      <w:r>
        <w:t xml:space="preserve"> pathway; EU scope visible. This is a provisional connection, not an outcome finding.</w:t>
      </w:r>
    </w:p>
    <w:p>
      <w:pPr>
        <w:pStyle w:val="SourceNote"/>
      </w:pPr>
      <w:r>
        <w:rPr>
          <w:b/>
        </w:rPr>
        <w:t>Available abstract (not full text):</w:t>
      </w:r>
      <w:r>
        <w:t xml:space="preserve"> This analysis explored the effect of battery electric vehicles (BEVs) on greenhouse gas emissions (GHGs) in a panel of twenty-nine countries from the European Union (EU) from 2010 to 2020. The method of moments quantile regression (MM-QR) was used, and the ordinary least squares with fixed effects (OLSfe) was used to verify the robustness of the results. The MM-QR support that in all three quantiles, economic growth causes a positive impact on GHGs. In the 50th and 75th quantiles, energy consumption causes a positive effect on GHGs. BEVs in the 25th, 50th, and 75th quantiles have a negative impact on GHGs. The OLSfe reveals that economic growth has a negative effect on GHGs, which contradicts the results from MM-QR. Energy consumption positively impacts GHGs. BEVs negatively impacts GHGs. Although the EU has supported a more sustainable transport system, accelerating the adoption of BEVs still requires effective political planning to achieve net-zero emissions. Thus, BEVs are an important technology to reduce GHGs to achieve the EU targets of decarbonising the energy sector. This research topic can open policy discussion between industry, government, and researchers, towards ensuring that BEVs provide a climate change mitigation pathway in the EU region.</w:t>
      </w:r>
    </w:p>
    <w:p>
      <w:pPr/>
      <w:r>
        <w:rPr>
          <w:b/>
        </w:rPr>
        <w:t>POSSIBLE 2020:</w:t>
      </w:r>
      <w:r>
        <w:t xml:space="preserve"> European Language Grid: An Overview — https://doi.org/10.48550/arxiv.2003.13551</w:t>
      </w:r>
    </w:p>
    <w:p>
      <w:pPr/>
      <w:r>
        <w:rPr>
          <w:b/>
        </w:rPr>
        <w:t>Shared claim-specific concepts:</w:t>
      </w:r>
      <w:r>
        <w:t xml:space="preserve"> overview, national, sectors; EU scope visible. This is a provisional connection, not an outcome finding.</w:t>
      </w:r>
    </w:p>
    <w:p>
      <w:pPr>
        <w:pStyle w:val="SourceNote"/>
      </w:pPr>
      <w:r>
        <w:rPr>
          <w:b/>
        </w:rPr>
        <w:t>Available abstract (not full text):</w:t>
      </w:r>
      <w:r>
        <w:t xml:space="preserve"> With 24 official EU and many additional languages, multilingualism in Europe and an inclusive Digital Single Market can only be enabled through Language Technologies (LTs). European LT business is dominated by hundreds of SMEs and a few large players. Many are world-class, with technologies that outperform the global players. However, European LT business is also fragmented, by nation states, languages, verticals and sectors, significantly holding back its impact. The European Language Grid (ELG) project addresses this fragmentation by establishing the ELG as the primary platform for LT in Europe. The ELG is a scalable cloud platform, providing, in an easy-to-integrate way, access to hundreds of commercial and non-commercial LTs for all European languages, including running tools and services as well as data sets and resources. Once fully operational, it will enable the commercial and non-commercial European LT community to deposit and upload their technologies and data sets into the ELG, to deploy them through the grid, and to connect with other resources. The ELG will boost the Multilingual Digital Single Market towards a thriving European LT community, creating new jobs and opportunities. Furthermore, the ELG project organises two open calls for up to 20 pilot projects. It also sets up 32 National Competence Centres (NCCs) and the European LT Council (LTC) for outreach and c</w:t>
      </w:r>
    </w:p>
    <w:p>
      <w:pPr>
        <w:pStyle w:val="Heading2"/>
      </w:pPr>
      <w:r>
        <w:t>699.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2025:</w:t>
      </w:r>
      <w:r>
        <w:t xml:space="preserve"> The interplay of climate change, urbanization, and species traits shapes European butterfly population trends — https://doi.org/10.1101/2025.02.13.638066</w:t>
      </w:r>
    </w:p>
    <w:p>
      <w:pPr/>
      <w:r>
        <w:rPr>
          <w:b/>
        </w:rPr>
        <w:t>Shared claim-specific concepts:</w:t>
      </w:r>
      <w:r>
        <w:t xml:space="preserve"> effect, population, increasing; EU scope visible. This is a provisional connection, not an outcome finding.</w:t>
      </w:r>
    </w:p>
    <w:p>
      <w:pPr>
        <w:pStyle w:val="SourceNote"/>
      </w:pPr>
      <w:r>
        <w:rPr>
          <w:b/>
        </w:rPr>
        <w:t>Available abstract (not full text):</w:t>
      </w:r>
      <w:r>
        <w:t xml:space="preserve"> ABSTRACT Species populations naturally fluctuate, yet long-term trend analysis can reveal patterns of success, decline, or stability under global change pressures. While responses to climate change are well-documented, its synergy with another major global driver, urbanization, remains understudied. Here, we analyzed long-term monitoring data from over 8,400 populations of 145 butterfly species across Europe, representing a high diversity of species traits, to assess population trends in response to climate change and urbanization. We examined how population responses vary between urban and rural contexts, providing insights into the influence of site-specific conditions. Climate warming was associated with population declines, which were more pronounced in urban areas. The effect of precipitation varied between environments: increases in precipitation generally benefited populations in rural areas but had detrimental effects in urban ones. Aridity consistently drove population declines across environments, with slightly stronger effects in urban areas. Species with colder climatic niches declined the most in response to warming, increased aridity, and reduced precipitation, while trophic specialists were particularly vulnerable to aridity and precipitation changes in urban environments. Although increasing urbanization did not explain overall population trends, its effects bec</w:t>
      </w:r>
    </w:p>
    <w:p>
      <w:pPr/>
      <w:r>
        <w:rPr>
          <w:b/>
        </w:rPr>
        <w:t>POSSIBLE 2024:</w:t>
      </w:r>
      <w:r>
        <w:t xml:space="preserve"> Modelling the effect of context-specific greenhouse gas and nitrogen emission mitigation options in key European dairy farming systems — https://doi.org/10.1007/s13593-023-00940-6</w:t>
      </w:r>
    </w:p>
    <w:p>
      <w:pPr/>
      <w:r>
        <w:rPr>
          <w:b/>
        </w:rPr>
        <w:t>Shared claim-specific concepts:</w:t>
      </w:r>
      <w:r>
        <w:t xml:space="preserve"> effect, key, increasing, potential, systems, negative; EU scope visible. This is a provisional connection, not an outcome finding.</w:t>
      </w:r>
    </w:p>
    <w:p>
      <w:pPr>
        <w:pStyle w:val="SourceNote"/>
      </w:pPr>
      <w:r>
        <w:rPr>
          <w:b/>
        </w:rPr>
        <w:t>Available abstract (not full text):</w:t>
      </w:r>
      <w:r>
        <w:t xml:space="preserve"> Abstract Understanding the environmental consequences associated with dairy cattle production systems is crucial for the implementation of targeted strategies for emission reduction. However, few studies have modelled the effect of tailored emission mitigation options across key European dairy production systems. Here, we assess the single and combined effect of six emission mitigation practises on selected case studies across Europe through the Sustainable and Integrated Management System for Dairy Production model. This semi-mechanistic model accounts for the interacting flows from a whole-farm perspective simulating the environmental losses in response to different management strategies and site-specific conditions. The results show how reducing the crude protein content of the purchased fraction of the diet was an adequate strategy to reduce the greenhouse gas and nitrogen emission intensity in all systems. Furthermore, implementing an anaerobic digestion plant reduced the greenhouse gas emissions in all tested case studies while increasing the nitrogen emissions intensity, particularly when slurry was applied using broadcast. Regarding the productivity increase, contrasting effects were observed amongst the case studies modelled. Moreover, shallow slurry injection effectively mitigated the intensity of nitrogen losses from the fields due to strong reductions in ammonia vol</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systems, show;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effect, population, potential, show;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Assessing the effect of invasive organisms on forests under information uncertainty: The case of pine wood nematode in continental Europe — https://doi.org/10.1016/j.fecs.2024.100226</w:t>
      </w:r>
    </w:p>
    <w:p>
      <w:pPr/>
      <w:r>
        <w:rPr>
          <w:b/>
        </w:rPr>
        <w:t>Shared claim-specific concepts:</w:t>
      </w:r>
      <w:r>
        <w:t xml:space="preserve"> effect, population, expected, potential, likely; EU scope visible. This is a provisional connection, not an outcome finding.</w:t>
      </w:r>
    </w:p>
    <w:p>
      <w:pPr>
        <w:pStyle w:val="SourceNote"/>
      </w:pPr>
      <w:r>
        <w:rPr>
          <w:b/>
        </w:rPr>
        <w:t>Available abstract (not full text):</w:t>
      </w:r>
      <w:r>
        <w:t xml:space="preserve"> Forests worldwide are experiencing increasingly intense biotic disturbances; however, assessing impacts of these disturbances is challenging due to the diverse range of organisms involved and the complex interactions among them. This particularly applies to invasive species, which can greatly alter ecological processes in their invaded territories. Here we focus on the pine wood nematode (PWN, Bursaphelenchus xylophilus), an invasive pathogen that has caused extensive mortality of pines in East Asia and more recently has invaded southern Europe. It is expected to expand its range into continental Europe with heavy impacts possible. Given the unknown dynamics of PWN in continental Europe, we reviewed laboratory and field experiments conducted in Asia and southern Europe to parameterize the main components of PWN biology and host-pathogen interactions in the Biotic Disturbance Engine (BITE), a model designed to implement a variety of forest biotic agents, from fungi to large herbivores. To simulate dynamically changing host availability and conditions, BITE was coupled with the forest landscape model iLand. The potential impacts of introducing PWN were assessed in a Central European forest landscape (40,928 ​ha), likely within PWN’s reach in future decades. A parameter sensitivity analysis indicated a substantial influence of factors related to dispersal, colonization, and vegeta</w:t>
      </w:r>
    </w:p>
    <w:p>
      <w:pPr/>
      <w:r>
        <w:rPr>
          <w:b/>
        </w:rPr>
        <w:t>POSSIBLE 2023:</w:t>
      </w:r>
      <w:r>
        <w:t xml:space="preserve"> Design and application of a key performance indicator (KPI) framework for autonomous shipping in Europe — https://doi.org/10.1016/j.martra.2023.100095</w:t>
      </w:r>
    </w:p>
    <w:p>
      <w:pPr/>
      <w:r>
        <w:rPr>
          <w:b/>
        </w:rPr>
        <w:t>Shared claim-specific concepts:</w:t>
      </w:r>
      <w:r>
        <w:t xml:space="preserve"> effect, key, systems; EU scope visible. This is a provisional connection, not an outcome finding.</w:t>
      </w:r>
    </w:p>
    <w:p>
      <w:pPr>
        <w:pStyle w:val="SourceNote"/>
      </w:pPr>
      <w:r>
        <w:rPr>
          <w:b/>
        </w:rPr>
        <w:t>Available abstract (not full text):</w:t>
      </w:r>
      <w:r>
        <w:t xml:space="preserve"> The European Union (EU) transport policy recognizes the importance of the waterborne transport systems as key elements for sustainable growth in Europe. By 2030, 30% of total road freight over 300 km should shift to rail or waterborne transport, and more than 50% by 2050. Thus far, this ambition has failed but there have been several project initiatives within the EU to address these issues. In one of these projects, we consider a new waterborne transport system for Europe that is green, robust, flexible, more automated and autonomous, and able to connect both rural and urban terminals. The purpose of this paper is to describe work and preliminary results from this project. To that effect, and in order to assess any solutions contemplated, a comprehensive set of Key Performance Indicators (KPIs) has been defined, and three specific use cases within Europe are examined and evaluated according to these KPIs. KPIs represent the criteria under which the set of solutions developed are evaluated, and also compared to non-autonomous solutions. They are grouped under economic, environmental and social KPIs. KPIs have been selected after a consultation process involving project partners and external Advisory Group members. Links to EU transport and other regulatory action are also discussed.</w:t>
      </w:r>
    </w:p>
    <w:p>
      <w:pPr/>
      <w:r>
        <w:rPr>
          <w:b/>
        </w:rPr>
        <w:t>POSSIBLE 2023:</w:t>
      </w:r>
      <w:r>
        <w:t xml:space="preserve"> Farmland practices are driving bird population decline across Europe — https://doi.org/10.1073/pnas.2216573120</w:t>
      </w:r>
    </w:p>
    <w:p>
      <w:pPr/>
      <w:r>
        <w:rPr>
          <w:b/>
        </w:rPr>
        <w:t>Shared claim-specific concepts:</w:t>
      </w:r>
      <w:r>
        <w:t xml:space="preserve"> effect, population, negative;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Dealing with disjunct populations of vascular plants: implications for assessing the effect of climate change — https://doi.org/10.1007/s00442-023-05323-y</w:t>
      </w:r>
    </w:p>
    <w:p>
      <w:pPr/>
      <w:r>
        <w:rPr>
          <w:b/>
        </w:rPr>
        <w:t>Shared claim-specific concepts:</w:t>
      </w:r>
      <w:r>
        <w:t xml:space="preserve"> effect, distribution, potential, lead; EU scope not established. This is a provisional connection, not an outcome finding.</w:t>
      </w:r>
    </w:p>
    <w:p>
      <w:pPr>
        <w:pStyle w:val="SourceNote"/>
      </w:pPr>
      <w:r>
        <w:rPr>
          <w:b/>
        </w:rPr>
        <w:t>Available abstract (not full text):</w:t>
      </w:r>
      <w:r>
        <w:t xml:space="preserve"> Species distribution models are the most widely used tool to predict species distributions for species conservation and assessment of climate change impact. However, they usually do not consider intraspecific ecological variation exhibited by many species. Overlooking the potential differentiation among groups of populations may lead to misplacing any conservation actions. This issue may be particularly relevant in species in which few populations with potential local adaptation occur, as in species with disjunct populations. Here, we used ecological niche modeling to analyze how the projections of current and future climatically suitable areas of 12 plant species can be affected using the whole taxa occurrences compared to occurrences from geographically disjunct populations. Niche analyses suggest that usually the disjunct group of populations selects the climatic conditions as similar as possible to the other according to climate availability. Integrating intraspecific variability only slightly increases models' ability to predict species occurrences. However, it results in different predictions of the magnitude of range change. In some species, integrating or not integrating intraspecific variability may lead to opposite trend in projected range change. Our results suggest that integrating intraspecific variability does not strongly improve overall models' accuracy, but it </w:t>
      </w:r>
    </w:p>
    <w:p>
      <w:pPr/>
      <w:r>
        <w:rPr>
          <w:b/>
        </w:rPr>
        <w:t>POSSIBLE 2022:</w:t>
      </w:r>
      <w:r>
        <w:t xml:space="preserve"> European Citizens’ Happiness: Key Factors and the Mediating Effect of Quality of Life, a PLS Approach — https://doi.org/10.3390/math10030367</w:t>
      </w:r>
    </w:p>
    <w:p>
      <w:pPr/>
      <w:r>
        <w:rPr>
          <w:b/>
        </w:rPr>
        <w:t>Shared claim-specific concepts:</w:t>
      </w:r>
      <w:r>
        <w:t xml:space="preserve"> effect, key, population, increasing, show; EU scope visible. This is a provisional connection, not an outcome finding.</w:t>
      </w:r>
    </w:p>
    <w:p>
      <w:pPr>
        <w:pStyle w:val="SourceNote"/>
      </w:pPr>
      <w:r>
        <w:rPr>
          <w:b/>
        </w:rPr>
        <w:t>Available abstract (not full text):</w:t>
      </w:r>
      <w:r>
        <w:t xml:space="preserve"> Happiness is a very important aspect in the life and well-being of all citizens; as such, it has become a key factor in personal preferences. For these reasons, it is relevant to study what factors principally affect the happiness of the population. However, the difficulties involved in measuring this concept mean that there are no clear criteria as to which aspects should be promoted in order for citizens to achieve greater happiness. This paper uses variance-based structural equation modelling (SEM)—partial least squares path modelling (PLS)—to analyse the direct and indirect effects of European citizens’ assessment of different aspects of their city related to safety, environmental quality and urban planning on their happiness. The source of information used in this study is the Flash Eurobarometer 419 prepared by Eurostat in 2015, with a total of 9799 observations. The results show how quality of life, safety, the environment and city planning have a positive and significant influence on European citizens’ happiness, especially safety. In addition, quality of life acts as a mediating variable, primarily increasing the influence of urban planning on happiness. The findings of the study point to the relevant policies that governments should undertake to ensure the happiness of their citizens.</w:t>
      </w:r>
    </w:p>
    <w:p>
      <w:pPr/>
      <w:r>
        <w:rPr>
          <w:b/>
        </w:rPr>
        <w:t>POSSIBLE 2022:</w:t>
      </w:r>
      <w:r>
        <w:t xml:space="preserve"> Contradictory effect of climate change on American and European populations of Impatiens capensis Meerb. - is this herb a global threat? — https://doi.org/10.1016/j.scitotenv.2022.157959</w:t>
      </w:r>
    </w:p>
    <w:p>
      <w:pPr/>
      <w:r>
        <w:rPr>
          <w:b/>
        </w:rPr>
        <w:t>Shared claim-specific concepts:</w:t>
      </w:r>
      <w:r>
        <w:t xml:space="preserve"> effect, distribution, potential; EU scope visible. This is a provisional connection, not an outcome finding.</w:t>
      </w:r>
    </w:p>
    <w:p>
      <w:pPr>
        <w:pStyle w:val="SourceNote"/>
      </w:pPr>
      <w:r>
        <w:rPr>
          <w:b/>
        </w:rPr>
        <w:t>Available abstract (not full text):</w:t>
      </w:r>
      <w:r>
        <w:t xml:space="preserve"> AIMS: The present study is the first-ever attempt to generate information on the potential present and future distribution of Impatiens capensis (orange balsam) under various climate change scenarios. Moreover, the differences in bioclimatic preferences of native and non-native populations were evaluated. LOCATION: Global. TAXON: Angiosperms. METHODS: A database of I. capensis localities was compiled based on the public database - the Global Biodiversity Information Facility (GBIF), herbarium specimens, and a field survey in Poland. The initial dataset was verified, and each record was assigned to one of two groups - native (3664 records from North America) or non-native (750 records from Europe and the western part of North America). The analyses involved bioclimatic variables in 2.5 arc-minutes of interpolated climate surface downloaded from WorldClim v. 2.1. MaxEnt version 3.3.2 was used to conduct the ecological niche modeling based on presence-only observations of I. capensis. Forecasts of the future distribution of the climatic niches of the studied species in 2080-2100 were made based on climate projections developed by the CNRM/CERFACS modeling and Model for Interdisciplinary Research on Climate (MIROC-6). MAIN CONCLUSIONS: Distribution models created for "present time" showed slightly broader potential geographical ranges of both native and invasive populations of oran</w:t>
      </w:r>
    </w:p>
    <w:p>
      <w:pPr>
        <w:pStyle w:val="Heading2"/>
      </w:pPr>
      <w:r>
        <w:t>700.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2024:</w:t>
      </w:r>
      <w:r>
        <w:t xml:space="preserve"> Exploring how Europeans understand solidarity in the EU — https://doi.org/10.4324/9781032690902-3</w:t>
      </w:r>
    </w:p>
    <w:p>
      <w:pPr/>
      <w:r>
        <w:rPr>
          <w:b/>
        </w:rPr>
        <w:t>Shared claim-specific concepts:</w:t>
      </w:r>
      <w:r>
        <w:t xml:space="preserve"> discussion, group, part;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r>
        <w:rPr>
          <w:b/>
        </w:rPr>
        <w:t>POSSIBLE 2021:</w:t>
      </w:r>
      <w:r>
        <w:t xml:space="preserve"> Islam, Europe and Democracy. Seeking answers in an ongoing discussion — https://openalex.org/W3189651574</w:t>
      </w:r>
    </w:p>
    <w:p>
      <w:pPr/>
      <w:r>
        <w:rPr>
          <w:b/>
        </w:rPr>
        <w:t>Shared claim-specific concepts:</w:t>
      </w:r>
      <w:r>
        <w:t xml:space="preserve"> discussion, brief, historical; EU scope visible. This is a provisional connection, not an outcome finding.</w:t>
      </w:r>
    </w:p>
    <w:p>
      <w:pPr>
        <w:pStyle w:val="SourceNote"/>
      </w:pPr>
      <w:r>
        <w:rPr>
          <w:b/>
        </w:rPr>
        <w:t>Available abstract (not full text):</w:t>
      </w:r>
      <w:r>
        <w:t xml:space="preserve"> Angeliki Ziaka * Islam, Europe and Democracy.Islam, Europe and Democracy.Seeking answers in an ongoing discussion.Seeking answers in an ongoing discussion.When approaching the discourse on Islam, Europe and Democracy, and laying aside apparent understandings and admissions, we are faced with certain observations and questions.This brief contribution aims at setting them.A first approach of "Islam, Europe, and Democracy" bears with it a certain consensus.That is, that Islam, as a religious system, with more or less apparent theocratic elements -depending on the countries it dominates and where it is applied, as well as due to its "essentialist" religious and political trajectory in time and sociopolitical process -does not carry with it European values and the imperatives of the West, such as Democracy and, consequently, the spirit of Enlightenment.Such values are considered shaped by the European spirit -due to both Christianity and secularism -and produced by the struggles of the French Revolution against religious authority and the tyranny of monarchy 1 .A variety of historical, spiritual, philosophical and political journeys have yielded a unique heritage for the individual, society and humanity as well, thereby safeguarding human rights and protecting the individual from the terms and imperatives of a religiously and politically pre-modern communal * Associate professor on </w:t>
      </w:r>
    </w:p>
    <w:p>
      <w:pPr/>
      <w:r>
        <w:rPr>
          <w:b/>
        </w:rPr>
        <w:t>POSSIBLE 2021:</w:t>
      </w:r>
      <w:r>
        <w:t xml:space="preserve"> Hallmark features of post-socialist urban development in Central Europe — https://doi.org/10.4324/9781003039792-13</w:t>
      </w:r>
    </w:p>
    <w:p>
      <w:pPr/>
      <w:r>
        <w:rPr>
          <w:b/>
        </w:rPr>
        <w:t>Shared claim-specific concepts:</w:t>
      </w:r>
      <w:r>
        <w:t xml:space="preserve"> discussion, brief, represent; EU scope visible. This is a provisional connection, not an outcome finding.</w:t>
      </w:r>
    </w:p>
    <w:p>
      <w:pPr>
        <w:pStyle w:val="SourceNote"/>
      </w:pPr>
      <w:r>
        <w:rPr>
          <w:b/>
        </w:rPr>
        <w:t>Available abstract (not full text):</w:t>
      </w:r>
      <w:r>
        <w:t xml:space="preserve"> Conclusions represent the thirteenth and final chapter of the edited volume focused on the post-socialist transformation of selected cities of various sizes in Central Europe. After a brief recapitulation of the background of transformational predispositions in the model region, the chapter summarises the main findings and results of theoretical assumptions and specific research from all previous parts of the book. The differences and similarities of transformation processes are reflected, the effects of transformation on the socio-economic, demographic and physical environment of cities, the approaches of city representatives, population behaviour, and possible directions of future development are discussed. We believe that the deeper analysis and discussion presented will contribute to the discovery and understanding of three decades of fundamental spatial, economic and social change in the region.</w:t>
      </w:r>
    </w:p>
    <w:p>
      <w:pPr/>
      <w:r>
        <w:rPr>
          <w:b/>
        </w:rPr>
        <w:t>POSSIBLE 2021:</w:t>
      </w:r>
      <w:r>
        <w:t xml:space="preserve"> EUROPEAN AUTONOMOUS EMPLOYEE DEFINITION. A REASON FOR A DISCUSSION OVER DEVELOPMENT OF EMPLOYMENT RIGHTS — https://doi.org/10.5604/01.3001.0015.6077</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For many years, there has been a discussion in the study of Polish labour law on the legitimacy of replacing labour law with employment law as a broader category, including also people who perform paid work on other grounds. The implementation of Directive 2019/1152 on transparent and predictable working conditions in the European Union should also cover a wider group of people performing paid work. The EU legislator, when defining the subjective scope, refers to the autonomous EU definition of an employee created by the CJEU, which is broader than many national definitions. Despite the objections raised against the concept of employment law, the implementation of the directive may be a step towards building a new field of law, just as the extension of the subjective scope of the Act on Trade Unions contributed to the creation of collective employment law.</w:t>
      </w:r>
    </w:p>
    <w:p>
      <w:pPr/>
      <w:r>
        <w:rPr>
          <w:b/>
        </w:rPr>
        <w:t>POSSIBLE 2020:</w:t>
      </w:r>
      <w:r>
        <w:t xml:space="preserve"> Perspectives for German-Polish Relations in the EU-27 — https://doi.org/10.51149/roea.2.2020.3</w:t>
      </w:r>
    </w:p>
    <w:p>
      <w:pPr/>
      <w:r>
        <w:rPr>
          <w:b/>
        </w:rPr>
        <w:t>Shared claim-specific concepts:</w:t>
      </w:r>
      <w:r>
        <w:t xml:space="preserve"> eu-27, group, historical; EU scope visible. This is a provisional connection, not an outcome finding.</w:t>
      </w:r>
    </w:p>
    <w:p>
      <w:pPr>
        <w:pStyle w:val="SourceNote"/>
      </w:pPr>
      <w:r>
        <w:rPr>
          <w:b/>
        </w:rPr>
        <w:t>Available abstract (not full text):</w:t>
      </w:r>
      <w:r>
        <w:t xml:space="preserve"> In recent years the seemingly firm historical ties between Warsaw and Berlin have become increasingly strained. This results from a growing political asymmetry between the two countries. Germany moved into a semi-hegemonial position under the conditions of the triple crisis of banking, economy and sovereign debt in the eurozone. Consequently, German chancellor Angela Merkel was in a strong enough position to implement ordoliberal reforms of the eurozone’s governance architecture, which were promoted as an approach without alternatives. Merkel maintained her uncompromising stance during the migration crisis in the summer of 2015, when she demanded implementation of compulsory migrant distribution quotas across the EU. Poland and the Visegrád countries had initially strongly supported German leadership in resolving the eurozone crisis. The alienation from Germany’s European agenda however became significant under the conditions of the migration crisis. Here the firm opposition of Poland and the rest of the Visegrád Group towards Germany’s preferences shows a strategic mismatch between the EU’s liberal core, which is spearheaded by Germany, and the concept of the “illiberal” state, which Poland has embraced under the PiS government. The willingness to resolve these differences will be crucial in determining the future shape of Polish-German relations.</w:t>
      </w:r>
    </w:p>
    <w:p>
      <w:pPr>
        <w:pStyle w:val="Heading2"/>
      </w:pPr>
      <w:r>
        <w:t>701.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2026:</w:t>
      </w:r>
      <w:r>
        <w:t xml:space="preserve"> Transition from Fossil Fuels to Renewables: A Comparative Analysis Between Energy-Rich and Energy-Poor Economies — https://doi.org/10.3390/commodities5020009</w:t>
      </w:r>
    </w:p>
    <w:p>
      <w:pPr/>
      <w:r>
        <w:rPr>
          <w:b/>
        </w:rPr>
        <w:t>Shared claim-specific concepts:</w:t>
      </w:r>
      <w:r>
        <w:t xml:space="preserve"> diversified, portfolio, renewable, sources, countries; EU scope not established. This is a provisional connection, not an outcome finding.</w:t>
      </w:r>
    </w:p>
    <w:p>
      <w:pPr>
        <w:pStyle w:val="SourceNote"/>
      </w:pPr>
      <w:r>
        <w:rPr>
          <w:b/>
        </w:rPr>
        <w:t>Available abstract (not full text):</w:t>
      </w:r>
      <w:r>
        <w:t xml:space="preserve"> The transition from non-renewable to renewable energy sources has emerged as a pressing global issue, driven by concerns over climate change, resource depletion, and the need for sustainable development. This study compares Canada, an energy-rich nation, and Bangladesh, an energy-scarce country, to understand the structural, institutional, and market factors driving their respective renewable energy transitions. Using univariate time-series models (ARIMA, ETS, and Prophet) for energy demand forecasting and extensive literature-based policy evaluation, the paper examines trends in energy production, consumption, and trade from 1990 to 2024. Our analysis indicates that Canada’s vast reserves of both renewable and non-renewable energy sources, its diversified energy portfolio, and carbon-pricing framework support a stable decarbonization pathway, with renewables projected to account for more than 20% of total supply by 2030. However, regional disparities and political resistance from the established energy sector continue to delay transition outcomes. On the other hand, Bangladesh has limited renewable and non-renewable energy sources, with its primary energy resource being natural gas reserves. Consequently, its heavy reliance on imports (over 75% of primary energy) and institutional bottlenecks expose its energy system to commodity-price volatility, undermining energy security a</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2025:</w:t>
      </w:r>
      <w:r>
        <w:t xml:space="preserve"> Autoencoder-Enhanced Ensemble Neural Network for Forced Oscillation Source Location in Renewable-Rich Power Systems — https://doi.org/10.1109/tia.2025.3625890</w:t>
      </w:r>
    </w:p>
    <w:p>
      <w:pPr/>
      <w:r>
        <w:rPr>
          <w:b/>
        </w:rPr>
        <w:t>Shared claim-specific concepts:</w:t>
      </w:r>
      <w:r>
        <w:t xml:space="preserve"> relying, sources, larger; EU scope not established. This is a provisional connection, not an outcome finding.</w:t>
      </w:r>
    </w:p>
    <w:p>
      <w:pPr>
        <w:pStyle w:val="SourceNote"/>
      </w:pPr>
      <w:r>
        <w:rPr>
          <w:b/>
        </w:rPr>
        <w:t>Available abstract (not full text):</w:t>
      </w:r>
      <w:r>
        <w:t xml:space="preserve"> Conventional energy-based methods struggle to determine the origin of Forced Oscillations (FOs) in renewable-rich systems because of their dependency on Dissipating Energy Flow (DEF) calculations. This paper proposes a novel Autoencoder Enhanced Ensemble Neural Network (AEENN) deep learning model for accurately identifying FO sources in power systems having high wind energy penetration without relying on traditional DEF calculations. The methodology incorporates a two-stage framework that enhances the scalability of the proposed method for larger and more practical power systems. It leverages Wavelet Synchrosqueezing Transform (WSST) and Multivariate Empirical Mode Decomposition (MEMD) to extract relevant harmonic components while filtering out noise. A reduced-order WSST matrix is constructed by retaining only FO-related frequency components based on an energy-based threshold. Moreover, an autoencoder effectively learns nonlinear features from PMU data in wind turbine generator (WTG)-dominated grids, enabling robust feature extraction for multivariate time-series classification. To enhance reliability, a$k$-fold ensemble classifier is employed, where multiple models trained on different data folds are combined to improve accuracy and generalisation. The efficacy of the proposed technique is examined on the IEEE 11-bus system and India's Eastern Regional Grid (ERG) model, demon</w:t>
      </w:r>
    </w:p>
    <w:p>
      <w:pPr/>
      <w:r>
        <w:rPr>
          <w:b/>
        </w:rPr>
        <w:t>POSSIBLE 2025:</w:t>
      </w:r>
      <w:r>
        <w:t xml:space="preserve"> Sustainable synthesis of nanomaterials using different renewable sources — https://doi.org/10.1186/s42269-025-01316-4</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Abstract Background The synthesis of nanomaterials has traditionally relied on methods that pose significant environmental risks due to high-energy demands, hazardous chemicals, and waste generation. For instance, conventional techniques such as chemical vapor deposition and the sol–gel process are known for their high-energy consumption and the production of toxic by-products. This context emphasizes the importance of sustainability in nanomaterial synthesis, leading to a shift toward more eco-friendly methods that integrate principles of green chemistry to lessen the influence on the environment. This transition addresses the harmful effects associated with traditional approaches and promotes the use of renewable resources, such as biomass and agricultural waste, in nanomaterial production. Main body This review focuses on sustainable nanomaterial synthesis methods that utilize renewable resources, such as biomass, agricultural waste, and natural extracts. These approaches reduce energy consumption, limit waste generation, and enhance recyclability, supporting the principles of the nanocircular economy. Various green synthesis strategies, including hydrothermal methods and green solvents, are examined for their effectiveness in producing nanomaterials with desirable properties. The review also highlights the broad applications of these sustainable nanomaterials in catalysis, </w:t>
      </w:r>
    </w:p>
    <w:p>
      <w:pPr/>
      <w:r>
        <w:rPr>
          <w:b/>
        </w:rPr>
        <w:t>POSSIBLE 2024:</w:t>
      </w:r>
      <w:r>
        <w:t xml:space="preserve"> The Economic Diversification and Sustainability Development in Oil-Rich Countries: A Panel Data Study — https://doi.org/10.1051/e3sconf/202459301001</w:t>
      </w:r>
    </w:p>
    <w:p>
      <w:pPr/>
      <w:r>
        <w:rPr>
          <w:b/>
        </w:rPr>
        <w:t>Shared claim-specific concepts:</w:t>
      </w:r>
      <w:r>
        <w:t xml:space="preserve"> sources, countries, potential; EU scope not established. This is a provisional connection, not an outcome finding.</w:t>
      </w:r>
    </w:p>
    <w:p>
      <w:pPr>
        <w:pStyle w:val="SourceNote"/>
      </w:pPr>
      <w:r>
        <w:rPr>
          <w:b/>
        </w:rPr>
        <w:t>Available abstract (not full text):</w:t>
      </w:r>
      <w:r>
        <w:t xml:space="preserve"> Diversifying income sources in oil-producing countries is necessary for achieving financial sustainability and a pathway to a more prosperous future. Despite the recognized importance of diversification, there remains a research gap in understanding the combined impact of factors like capital formation, oil rents, foreign investment, labor dynamics, rule of law, and CO2 emissions on sustainable growth. This research delves into the nexus between economic diversification and sustainable development in GCC countries, aiming to identify the key factors influencing economic diversification in this region. The study meticulously analyzes the impact of these critical variables on the economic diversification efforts of GCC countries. The findings reveal a robust positive correlation between economic diversification and these influential factors, as measured by GDP. This correlation underscores the potential benefits of economic diversification, such as enhanced sustainability and resilience, reinforcing the importance of this research topic. Also, the study emphasizes the urgent need for GCC countries to invest in non-oil economic sectors.</w:t>
      </w:r>
    </w:p>
    <w:p>
      <w:pPr/>
      <w:r>
        <w:rPr>
          <w:b/>
        </w:rPr>
        <w:t>POSSIBLE 2024:</w:t>
      </w:r>
      <w:r>
        <w:t xml:space="preserve"> ENERGY TRANSITION POLICIES: A GLOBAL REVIEW OF SHIFTS TOWARDS RENEWABLE SOURCES — https://doi.org/10.51594/estj.v5i2.752</w:t>
      </w:r>
    </w:p>
    <w:p>
      <w:pPr/>
      <w:r>
        <w:rPr>
          <w:b/>
        </w:rPr>
        <w:t>Shared claim-specific concepts:</w:t>
      </w:r>
      <w:r>
        <w:t xml:space="preserve"> renewable, sources, countries, common, mitigation; EU scope not established. This is a provisional connection, not an outcome finding.</w:t>
      </w:r>
    </w:p>
    <w:p>
      <w:pPr>
        <w:pStyle w:val="SourceNote"/>
      </w:pPr>
      <w:r>
        <w:rPr>
          <w:b/>
        </w:rPr>
        <w:t>Available abstract (not full text):</w:t>
      </w:r>
      <w:r>
        <w:t xml:space="preserve"> The global landscape of energy production is undergoing a profound transformation as nations grapple with the imperatives of sustainable development and climate change mitigation. This paper encapsulates a comprehensive review of Energy Transition Policies, specifically focusing on the global shift towards renewable energy sources. The paper delves into the myriad policy initiatives adopted by countries worldwide to transition from conventional fossil fuel-based energy systems to cleaner and more sustainable alternatives. The analysis explores the diverse motivations driving these energy transitions, ranging from environmental concerns and climate change imperatives to economic competitiveness and energy security. By examining the unique policy frameworks of different regions, the research provides valuable insights into the challenges and opportunities associated with the adoption of renewable energy sources. It investigates the regulatory mechanisms, financial incentives, and technological advancements that shape the trajectory of energy transition policies on a global scale. Furthermore, the paper sheds light on the impact of energy transition policies on various stakeholders, including governments, industries, and local communities. It examines the socio-economic implications of renewable energy integration, job creation, and the role of international collaborations in fost</w:t>
      </w:r>
    </w:p>
    <w:p>
      <w:pPr/>
      <w:r>
        <w:rPr>
          <w:b/>
        </w:rPr>
        <w:t>POSSIBLE 2024:</w:t>
      </w:r>
      <w:r>
        <w:t xml:space="preserve"> Recent Advances and Challenges of Hydrogen Production Technologies via Renewable Energy Sources — https://doi.org/10.1002/aesr.202300273</w:t>
      </w:r>
    </w:p>
    <w:p>
      <w:pPr/>
      <w:r>
        <w:rPr>
          <w:b/>
        </w:rPr>
        <w:t>Shared claim-specific concepts:</w:t>
      </w:r>
      <w:r>
        <w:t xml:space="preserve"> renewable, sources, potential; EU scope not established. This is a provisional connection, not an outcome finding.</w:t>
      </w:r>
    </w:p>
    <w:p>
      <w:pPr>
        <w:pStyle w:val="SourceNote"/>
      </w:pPr>
      <w:r>
        <w:rPr>
          <w:b/>
        </w:rPr>
        <w:t>Available abstract (not full text):</w:t>
      </w:r>
      <w:r>
        <w:t xml:space="preserve"> Currently, fossil fuels play a major role in meeting the world's energy demand. Fossil fuels, in contrast, threaten the planet's ecosystems and biological processes, contribute to global warming, and result in unfavorable climatic shifts. These energy sources are also finite and will eventually deplete. Thus, energy transition, which is the key from fossil fuels to renewable energy sources, is regarded as an essential course of action for decarbonizing the global economy and reducing the catastrophic and irreversible effects of climate change. Thereby using/consuming green hydrogen energy is a vital solution to meet the world's challenges. Subsequently, the pros and cons of several hydrogen generation methods, such as the conversion of fossil fuels, biomass, water electrolysis, microbial fermentation, and photocatalysis, are then compared and outlined in terms of their technologies, economies, consumption of energy, environmental aspects, and costs. Currently, the chemical industry uses green hydrogen (H 2 ) primarily to produce green emerging fuels methanol and ammonia (NH 3 ), which are regarded as alternate sources of energy. Finally, the current state of energy demands, recent developments in renewable energy sources, and the potential of hydrogen as a future fuel are outlined. Moreover, the discussion concludes with predicted opportunities and challenges.</w:t>
      </w:r>
    </w:p>
    <w:p>
      <w:pPr/>
      <w:r>
        <w:rPr>
          <w:b/>
        </w:rPr>
        <w:t>POSSIBLE 2024:</w:t>
      </w:r>
      <w:r>
        <w:t xml:space="preserve"> A Comparative Life Cycle Assessment of Hydrogen Production &amp; Storage with Renewable Energy Source and Grid Electricity Source — https://doi.org/10.47363/jeast/2024(6)233</w:t>
      </w:r>
    </w:p>
    <w:p>
      <w:pPr/>
      <w:r>
        <w:rPr>
          <w:b/>
        </w:rPr>
        <w:t>Shared claim-specific concepts:</w:t>
      </w:r>
      <w:r>
        <w:t xml:space="preserve"> rich, renewable, sources; EU scope visible. This is a provisional connection, not an outcome finding.</w:t>
      </w:r>
    </w:p>
    <w:p>
      <w:pPr>
        <w:pStyle w:val="SourceNote"/>
      </w:pPr>
      <w:r>
        <w:rPr>
          <w:b/>
        </w:rPr>
        <w:t>Available abstract (not full text):</w:t>
      </w:r>
      <w:r>
        <w:t xml:space="preserve"> The role of electricity is becoming significant in our advancing world. Currently, Ireland’s energy mix heavily relies on carbon-polluting fossil fuels, posing an environmental challenge. As per the Paris Agreement 2015, Ireland is ambitiously targeting to meet net zero carbon dioxide (CO2) emissions by 2050 and a 51% reduction by 2030. The country is shifting towards renewable energy sources to generate power to achieve this target. With abundant wind energy available, Ireland can meet its goal. However, due to the intermittent availability of wind energy, an energy backup for power generation is necessary. The use of curtailed or dedicated wind for producing hydrogen gas through electrolysis, and storing it in underground salt caverns is one approach to the problem. Northern Ireland has a rich source of Permian salt deposits offering a better place to store hydrogen which can be withdrawn for electricity generation, or used as fuel in transportation sectors. The Life Cycle Assessment (LCA) of the hydrogen systems can scrutinise the environmental impact of carbon emissions. This study analyses routes to reduce the environmental impact by evaluating polluting hotspots during the construction and operation phase of the system. This paper compares the impacts of the LCA on a hydrogen system which consists of a wind energy source for hydrogen production through electrolysis, trans</w:t>
      </w:r>
    </w:p>
    <w:p>
      <w:pPr/>
      <w:r>
        <w:rPr>
          <w:b/>
        </w:rPr>
        <w:t>POSSIBLE 2024:</w:t>
      </w:r>
      <w:r>
        <w:t xml:space="preserve"> Issues and Challenges of Grid-Following Converters Interfacing Renewable Energy Sources in Low Inertia Systems: A Review — https://doi.org/10.1109/access.2024.3349630</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The integration of renewable energy sources (RESs) is a key objective for energy sector decision-makers worldwide, aiming to establish renewable-rich future power grids. However, transitioning from conventional systems based on synchronous generators (SGs) or systems with a low RESs share presents challenges, particularly when accompanied by decommissioning large central generation units. This is because the reduction in inertia and system strength, traditionally provided by SGs, can lead to a loss of essential system support functions like voltage and frequency. While current converter technologies attempt to compensate for the grid support provided by SGs by enhancing converter capabilities, they still heavily rely on the presence of SGs to function effectively. These converters, known as grid-following (GFL) converters, depend on the grid to operate in a stable and secure manner. As the penetration of RESs increases, the efficacy of GFL converters diminishes, posing stability challenges in low inertia systems and limiting the integration of RESs. Therefore, it is crucial to reassess the existing GFL converter technologies, control mechanisms, and grid codes to understand their status and future requirements. This will shed light on the advancements and limitations of GFL converters, enabling greater RESs integration and grid support independent of SGs. This paper aims to pro</w:t>
      </w:r>
    </w:p>
    <w:p>
      <w:pPr/>
      <w:r>
        <w:rPr>
          <w:b/>
        </w:rPr>
        <w:t>POSSIBLE 2024:</w:t>
      </w:r>
      <w:r>
        <w:t xml:space="preserve"> The impact of renewable energy sources on the environment — https://doi.org/10.46544/ams.v28i4.13</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The use of renewable energy sources is becoming a modern phenomenon that saves energy costs and protects the environment in the long term. The contribution is mapping selected energy and environmental aspects and evaluating renewable energy sources' impact on the environment. At present, energy supply is still mostly provided by sources coming from fossil or nuclear reserves. Although the concept of the "upper limit of exhaustibility" of these resources is increasingly used, there are still disagreements between experts in the field of the life expectancy of the reserves. Population growth means higher consumer demands, which also results in higher consumption of energy resources. Environmental degradation has become a global problem that requires the emphasis of recent studies. Non-renewable energy is a significant factor in environmental degradation. Therefore, policymakers have focused on supporting the production and consumption of energy from renewable sources in all economic activities to ensure a low-carbon economy.</w:t>
      </w:r>
    </w:p>
    <w:p>
      <w:pPr/>
      <w:r>
        <w:rPr>
          <w:b/>
        </w:rPr>
        <w:t>POSSIBLE 2023:</w:t>
      </w:r>
      <w:r>
        <w:t xml:space="preserve"> Renewable Energy and Energy Storage Systems — https://doi.org/10.3390/en16031415</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The use of fossil fuels has contributed to climate change and global warming, which has led to a growing need for renewable and ecologically friendly alternatives to these. It is accepted that renewable energy sources are the ideal option to substitute fossil fuels in the near future. Significant progress has been made to produce renewable energy sources with acceptable prices at a commercial scale, such as solar, wind, and biomass energies. This success has been due to technological advances that can use renewable energy sources effectively at lower prices. More work is needed to maximize the capacity of renewable energy sources with a focus on their dispatchability, where the function of storage is considered crucial. Furthermore, hybrid renewable energy systems are needed with good energy management to balance the various renewable energy sources’ production/consumption/storage. This work covers the progress done in the main renewable energy sources at a commercial scale, including solar, wind, biomass, and hybrid renewable energy sources. Moreover, energy management between the various renewable energy sources and storage systems is discussed. Finally, this work discusses the recent progress in green hydrogen production and fuel cells that could pave the way for commercial usage of renewable energy in a wide range of applications.</w:t>
      </w:r>
    </w:p>
    <w:p>
      <w:pPr>
        <w:pStyle w:val="Heading2"/>
      </w:pPr>
      <w:r>
        <w:t>702.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sector, transport, but, also;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find, emission, commitment;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2023:</w:t>
      </w:r>
      <w:r>
        <w:t xml:space="preserve"> The Drivers of Emission Reductions in the European Carbon Market — https://openalex.org/W7111538042</w:t>
      </w:r>
    </w:p>
    <w:p>
      <w:pPr/>
      <w:r>
        <w:rPr>
          <w:b/>
        </w:rPr>
        <w:t>Shared claim-specific concepts:</w:t>
      </w:r>
      <w:r>
        <w:t xml:space="preserve"> find, emission, reductions, dominant, also; EU scope visible. This is a provisional connection, not an outcome finding.</w:t>
      </w:r>
    </w:p>
    <w:p>
      <w:pPr>
        <w:pStyle w:val="SourceNote"/>
      </w:pPr>
      <w:r>
        <w:rPr>
          <w:b/>
        </w:rPr>
        <w:t>Available abstract (not full text):</w:t>
      </w:r>
      <w:r>
        <w:t xml:space="preserve"> This paper studies the drivers of emission reductions in the carbon market of the European Union Emission Trading System (EU ETS) since its inception in 2005. We introduce a novel empirical framework that facilitates the joint identification of simultaneous demand and supply shocks underlying the European carbon market. We find that emission supply restrictions of the EU ETS were the dominant driver of emissions reductions, reducing emissions by 46%. However we also find that two opposing emission demand factors also played an important role. Demand from industrial economic activity increased emissions by 15%, while other demand-side factors, primarily reflecting the transition to low-carbon economies, reduced emissions by 21%.</w:t>
      </w:r>
    </w:p>
    <w:p>
      <w:pPr/>
      <w:r>
        <w:rPr>
          <w:b/>
        </w:rPr>
        <w:t>POSSIBLE 2023:</w:t>
      </w:r>
      <w:r>
        <w:t xml:space="preserve"> Emissions savings from equitable energy demand reduction — https://doi.org/10.1038/s41560-023-01283-y</w:t>
      </w:r>
    </w:p>
    <w:p>
      <w:pPr/>
      <w:r>
        <w:rPr>
          <w:b/>
        </w:rPr>
        <w:t>Shared claim-specific concepts:</w:t>
      </w:r>
      <w:r>
        <w:t xml:space="preserve"> reductions, energy, transport, climate; EU scope visible. This is a provisional connection, not an outcome finding.</w:t>
      </w:r>
    </w:p>
    <w:p>
      <w:pPr>
        <w:pStyle w:val="SourceNote"/>
      </w:pPr>
      <w:r>
        <w:rPr>
          <w:b/>
        </w:rPr>
        <w:t>Available abstract (not full text):</w:t>
      </w:r>
      <w:r>
        <w:t xml:space="preserve"> Abstract Energy demand reduction (EDR) will be required to reach climate targets in the Global North. To be compatible with just transitions principles, EDR needs to be equitable. Equitable EDR may involve targeting high energy users while ensuring the satisfaction of needs for all, which could require increasing consumption of low users. Emissions impacts of equitable EDR approaches have not yet been assessed. This Article finds that capping energy use of the top quintile of consumers across 27 European countries can achieve considerable greenhouse gas emissions reductions of 11.4% from domestic energy, 16.8% from transport and 9.7% from total energy consumption. Increasing consumption of low energy users in poverty reduces these savings by only 1.2, 0.9 and 1.4 percentage points, respectively. Additional high annual emissions cuts of 7.3–24.0% would be required for Europe to meet globally equitable 2050 emissions budgets. Equitable EDR could make an important contribution to increasing public acceptance of such transformative action.</w:t>
      </w:r>
    </w:p>
    <w:p>
      <w:pPr/>
      <w:r>
        <w:rPr>
          <w:b/>
        </w:rPr>
        <w:t>POSSIBLE 2023:</w:t>
      </w:r>
      <w:r>
        <w:t xml:space="preserve"> Identifying and Monitoring Priority Areas for Methane Emissions Reduction — https://doi.org/10.1596/1813-9450-10391</w:t>
      </w:r>
    </w:p>
    <w:p>
      <w:pPr/>
      <w:r>
        <w:rPr>
          <w:b/>
        </w:rPr>
        <w:t>Shared claim-specific concepts:</w:t>
      </w:r>
      <w:r>
        <w:t xml:space="preserve"> dominant, but, also; EU scope visible. This is a provisional connection, not an outcome finding.</w:t>
      </w:r>
    </w:p>
    <w:p>
      <w:pPr>
        <w:pStyle w:val="SourceNote"/>
      </w:pPr>
      <w:r>
        <w:rPr>
          <w:b/>
        </w:rPr>
        <w:t>Available abstract (not full text):</w:t>
      </w:r>
      <w:r>
        <w:t xml:space="preserve"> This paper identifies high-priority areas for methane emissions reduction and estimates recent emissions changes in those areas using atmospheric concentration data from the European Space Agency’s Sentinel-5P satellite platform. The modeling approach is illustrated with three case studies: landfills in Spain (Madrid), irrigated rice production in India (Karnal district, Haryana state), and oil production in Iraq (Al Amarah district, Maysan governorate). For each case, the paper estimates two change models by fixed effects: the monthly trend in methane concentration from January 2019 to November 2022, and the difference between mean concentration in 2022 and the previous three years. The paper estimates the change models for 775 high-priority areas and finds that cases with decreasing methane emissions are outnumbered four to one by cases with increasing emissions. The paper also analyzes trends in high-priority areas for seven major methane source sectors (agricultural soils, livestock, gas, oil, coal, landfills, and wastewater) and finds only two where emissions decreases outnumber increases (gas and oil). Among World Bank income groups, decreases outnumber increases in high-income economies but increases are hugely dominant in the other three groups. The paper concludes with a presentation of summary emissions trend reports for all 775 high-priority areas, with accompanying </w:t>
      </w:r>
    </w:p>
    <w:p>
      <w:pPr/>
      <w:r>
        <w:rPr>
          <w:b/>
        </w:rPr>
        <w:t>POSSIBLE 2023:</w:t>
      </w:r>
      <w:r>
        <w:t xml:space="preserve"> The potential role of a hydrogen network in Europe — https://doi.org/10.1016/j.joule.2023.06.016</w:t>
      </w:r>
    </w:p>
    <w:p>
      <w:pPr/>
      <w:r>
        <w:rPr>
          <w:b/>
        </w:rPr>
        <w:t>Shared claim-specific concepts:</w:t>
      </w:r>
      <w:r>
        <w:t xml:space="preserve"> find, reductions, energy, but, also; EU scope visible. This is a provisional connection, not an outcome finding.</w:t>
      </w:r>
    </w:p>
    <w:p>
      <w:pPr>
        <w:pStyle w:val="SourceNote"/>
      </w:pPr>
      <w:r>
        <w:rPr>
          <w:b/>
        </w:rPr>
        <w:t>Available abstract (not full text):</w:t>
      </w:r>
      <w:r>
        <w:t xml:space="preserve"> Europe's electricity transmission expansion suffers many delays, despite its significance for integrating renewable electricity. A hydrogen network reusing the existing gas network could not only help to supply the demand for low-emission fuels but could also balance variations in wind and solar energies across the continent and thus avoid power grid expansion. Our investigation varies the allowed expansion of electricity and hydrogen grids in net-zero CO 2 scenarios for a sector-coupled European energy system, capturing transmission bottlenecks, renewable supply and demand variability, and pipeline retrofitting and geological storage potentials. We find that a hydrogen network connecting regions with low-cost and abundant renewable potentials to demand centers, electrofuel production, and cavern storage sites reduces system costs by up to 26 bn€/a (3.4%). Although expanding both networks together can achieve the largest cost reductions, by 9.9%, the expansion of neither is essential for a net-zero system as long as higher costs can be accepted and flexibility options allow managing transmission bottlenecks.</w:t>
      </w:r>
    </w:p>
    <w:p>
      <w:pPr/>
      <w:r>
        <w:rPr>
          <w:b/>
        </w:rPr>
        <w:t>POSSIBLE 2023:</w:t>
      </w:r>
      <w:r>
        <w:t xml:space="preserve"> The land sector in the low carbon emission strategies in the European Union: role and future expectations — https://doi.org/10.1080/14693062.2023.2273948</w:t>
      </w:r>
    </w:p>
    <w:p>
      <w:pPr/>
      <w:r>
        <w:rPr>
          <w:b/>
        </w:rPr>
        <w:t>Shared claim-specific concepts:</w:t>
      </w:r>
      <w:r>
        <w:t xml:space="preserve"> emission, energy, sector, but, long-term, mitigation; EU scope visible. This is a provisional connection, not an outcome finding.</w:t>
      </w:r>
    </w:p>
    <w:p>
      <w:pPr>
        <w:pStyle w:val="SourceNote"/>
      </w:pPr>
      <w:r>
        <w:rPr>
          <w:b/>
        </w:rPr>
        <w:t>Available abstract (not full text):</w:t>
      </w:r>
      <w:r>
        <w:t xml:space="preserve"> The Land-Use, Land-Use Change and Forestry sector (LULUCF) role is of critical importance in contributing to the ambitious targets set by the European Union (EU) to reduce by 55% net greenhouse gas (GHG) emissions by 2030, compared to 1990 levels, and to become carbon neutral by 2050. The EU LULUCF regulation, approved in 2023, sets out binding targets for each individual Member State to be achieved by 2030, totaling 310 MtCO2e of net removals for the whole EU. However, it remains poorly understood to what extent the EU LULUCF climate target matches with the Member States’ strategies. The alignment between the EU governance and its Member States’ visions for the long-term will determine the achievement of the climate targets. The objective of this study is to understand the LULUCF expected contribution to the EU’s 2030 and 2050 climate goals. In doing so, we explored the European and country-level visions of LULUCF with respect to climate change mitigation and adaptation, as expressed in their Long-Term Strategies (LTSs) and national projections; we evaluated whether national level projections for LULUCF are aligned with the EU short and long term targets. We found that most countries’ LTSs envisage policies and measures in the LULUCF sector, however they are, often general and not comprehensive. Furthermore, the majority of countries’ quantitative future projections of GHG emi</w:t>
      </w:r>
    </w:p>
    <w:p>
      <w:pPr/>
      <w:r>
        <w:rPr>
          <w:b/>
        </w:rPr>
        <w:t>POSSIBLE 2023:</w:t>
      </w:r>
      <w:r>
        <w:t xml:space="preserve"> Investigating pathways to a net-zero emissions building sector in the European Union: what role for the energy efficiency first principle? — https://doi.org/10.1007/s12053-023-10100-0</w:t>
      </w:r>
    </w:p>
    <w:p>
      <w:pPr/>
      <w:r>
        <w:rPr>
          <w:b/>
        </w:rPr>
        <w:t>Shared claim-specific concepts:</w:t>
      </w:r>
      <w:r>
        <w:t xml:space="preserve"> reductions, energy, sector; EU scope visible. This is a provisional connection, not an outcome finding.</w:t>
      </w:r>
    </w:p>
    <w:p>
      <w:pPr>
        <w:pStyle w:val="SourceNote"/>
      </w:pPr>
      <w:r>
        <w:rPr>
          <w:b/>
        </w:rPr>
        <w:t>Available abstract (not full text):</w:t>
      </w:r>
      <w:r>
        <w:t xml:space="preserve"> Abstract European Union (EU) legislation is increasingly embracing the energy efficiency first (EE1st) principle. This principle seeks to prioritise energy efficiency measures whenever these involve lower costs to society than generators, networks and other energy supply options while achieving the same outcomes. This study contributes to the quantitative evidence on the relevance of EE1st by modelling the impact of moderate to ambitious end-use energy efficiency measures on energy supply and the associated system cost under a net-zero greenhouse gas emissions constraint by 2050. These measures focus on the EU building sector and include both building retrofits (e.g. wall insulation) and efficient products (e.g. lighting). The results indicate that implementing more ambitious energy saving measures reduces the total electricity, heat and hydrogen capacities needed to achieve the net-zero target. Reducing energy use in buildings by at least 21% between 2020 and 2050 is essential to avoid excessive energy supply costs. This requires actions that go well beyond business-as-usual trends. Reductions of around 30% could be justified on the grounds of (i) high fossil fuel prices and (ii) multiple impacts (e.g. health benefits). Overall, the outcomes provide reasonable justification for the EE1st principle. To put the principle into practice, policy actions such as doubling building re</w:t>
      </w:r>
    </w:p>
    <w:p>
      <w:pPr/>
      <w:r>
        <w:rPr>
          <w:b/>
        </w:rPr>
        <w:t>POSSIBLE 2022:</w:t>
      </w:r>
      <w:r>
        <w:t xml:space="preserve"> An econometric analysis of the potential emission reduction components in Indonesia — https://doi.org/10.1016/j.clpl.2022.100008</w:t>
      </w:r>
    </w:p>
    <w:p>
      <w:pPr/>
      <w:r>
        <w:rPr>
          <w:b/>
        </w:rPr>
        <w:t>Shared claim-specific concepts:</w:t>
      </w:r>
      <w:r>
        <w:t xml:space="preserve"> emission, energy, lead, climate; EU scope not established. This is a provisional connection, not an outcome finding.</w:t>
      </w:r>
    </w:p>
    <w:p>
      <w:pPr>
        <w:pStyle w:val="SourceNote"/>
      </w:pPr>
      <w:r>
        <w:rPr>
          <w:b/>
        </w:rPr>
        <w:t>Available abstract (not full text):</w:t>
      </w:r>
      <w:r>
        <w:t xml:space="preserve"> Emissions reduction and increasing environmental quality have become a global concern to ensure sustainable development and mitigate the negative impacts of global warming and climate change. However, there is a scarcity of research exploring the potential of emission reduction components by using econometric approaches. Thus, the present study investigated the role of economic growth, fossil fuel energy use, renewable energy use, technological innovation, agricultural productivity, and forested area to achieve environmental sustainability by reducing carbon dioxide emissions in Indonesia. Time series data from 1990 to 2020 were utilized by applying the Dynamic Ordinary Least Squares method. The empirical findings revealed that a 1% increase in economic growth and fossil fuel energy use will increase carbon dioxide emissions by 0.36% and 0.67% in Indonesia. Conversely, a 1% increase in renewable energy use, technological innovation, agricultural productivity, and the forested area may lead to carbon dioxide emissions reduction by 0.11%, 0.07%, 0.24%, and 2.87%, respectively in the long run. This article put forward policy recommendations in the areas of low-carbon economy, promoting renewable energy use, financing technological innovation, climate-smart agriculture, and sustainable forest management which would ensure environmental sustainability by reducing emissions in Indone</w:t>
      </w:r>
    </w:p>
    <w:p>
      <w:pPr/>
      <w:r>
        <w:rPr>
          <w:b/>
        </w:rPr>
        <w:t>POSSIBLE 2022:</w:t>
      </w:r>
      <w:r>
        <w:t xml:space="preserve"> Improved monitoring of shipping NO 2 with TROPOMI: decreasing NO x emissions in European seas during the COVID-19 pandemic — https://doi.org/10.5194/amt-15-1415-2022</w:t>
      </w:r>
    </w:p>
    <w:p>
      <w:pPr/>
      <w:r>
        <w:rPr>
          <w:b/>
        </w:rPr>
        <w:t>Shared claim-specific concepts:</w:t>
      </w:r>
      <w:r>
        <w:t xml:space="preserve"> find, emission, reductions, but; EU scope visible. This is a provisional connection, not an outcome finding.</w:t>
      </w:r>
    </w:p>
    <w:p>
      <w:pPr>
        <w:pStyle w:val="SourceNote"/>
      </w:pPr>
      <w:r>
        <w:rPr>
          <w:b/>
        </w:rPr>
        <w:t>Available abstract (not full text):</w:t>
      </w:r>
      <w:r>
        <w:t xml:space="preserve"> Abstract. TROPOMI measurements of tropospheric NO2 columns provide powerful information on emissions of air pollution by ships on open sea. This information is potentially useful for authorities to help determine the (non-)compliance of ships with increasingly stringent NOx emission regulations. We find that the information quality is improved further by recent upgrades in the TROPOMI cloud retrieval and an optimal data selection. We show that the superior spatial resolution of TROPOMI allows the detection of several lanes of NO2 pollution ranging from the Aegean Sea near Greece to the Skagerrak in Scandinavia, which have not been detected with other satellite instruments before. Additionally, we demonstrate that under conditions of sun glint TROPOMI's vertical sensitivity to NO2 in the marine boundary layer increases by up to 60 %. The benefits of sun glint are most prominent under clear-sky situations when sea surface winds are low, but slightly above zero (±2 m/s). Beyond spatial resolution and sun glint, we examine for the first time the impact of the recently improved cloud algorithm on the TROPOMI NO2 retrieval quality, both over sea and over land. We find that the new FRESCO+wide algorithm leads to 50 hPa lower cloud pressures, correcting a known high bias, and produces 1–4·1015 molec/cm2 higher retrieved NO2 columns, thereby at least partially correcting for the previou</w:t>
      </w:r>
    </w:p>
    <w:p>
      <w:pPr/>
      <w:r>
        <w:rPr>
          <w:b/>
        </w:rPr>
        <w:t>POSSIBLE 2022:</w:t>
      </w:r>
      <w:r>
        <w:t xml:space="preserve"> Evaluation of greenhouse gas emissions from the European urban wastewater sector, and options for their reduction — https://doi.org/10.1016/j.scitotenv.2022.156322</w:t>
      </w:r>
    </w:p>
    <w:p>
      <w:pPr/>
      <w:r>
        <w:rPr>
          <w:b/>
        </w:rPr>
        <w:t>Shared claim-specific concepts:</w:t>
      </w:r>
      <w:r>
        <w:t xml:space="preserve"> emission, energy, sector, includes, contribute; EU scope visible. This is a provisional connection, not an outcome finding.</w:t>
      </w:r>
    </w:p>
    <w:p>
      <w:pPr>
        <w:pStyle w:val="SourceNote"/>
      </w:pPr>
      <w:r>
        <w:rPr>
          <w:b/>
        </w:rPr>
        <w:t>Available abstract (not full text):</w:t>
      </w:r>
      <w:r>
        <w:t xml:space="preserve"> We present an assessment of greenhouse gas emissions from urban wastewater treatment plants in Europe. We propose a quantification in terms of emission factors (kilograms of carbon dioxide equivalents (CO2e) per population equivalent (PE) and year) taking into account all phases of wastewater treatment, from the construction of the infrastructure to the discharge of treated effluents. The assessment includes (1) life-cycle emissions of infrastructure; (2) emissions of dissolved methane in the sewer networks; (3) direct emissions of nitrous oxide and methane from the treatment processes; (4) emissions due to COD and nitrogen in the effluents; (5) indirect emissions due to the generation of electricity and the production of reagents; and (6) emission credits due to energy recovery or biomethane export associated with the anaerobic digestion of sludge. Our estimated emissions range between approximately 50 and 125 kg CO2e/PE/y depending on the type of treatment plant, of which about 20 to 40 are embedded in the infrastructure. We estimate that direct nitrous oxide emissions and indirect electricity emissions are the main contributors in the operation phase, followed by direct methane emissions. By extrapolating these emissions to the ensemble of the European Union's wastewater treatment plants, we estimate a cumulative emission of about 35 million tonnes CO2e/year, of which ca. 14</w:t>
      </w:r>
    </w:p>
    <w:p>
      <w:pPr>
        <w:pStyle w:val="Heading2"/>
      </w:pPr>
      <w:r>
        <w:t>703.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2025:</w:t>
      </w:r>
      <w:r>
        <w:t xml:space="preserve"> The duck curve in electricity demand — https://doi.org/10.4337/9781035310371.000120</w:t>
      </w:r>
    </w:p>
    <w:p>
      <w:pPr/>
      <w:r>
        <w:rPr>
          <w:b/>
        </w:rPr>
        <w:t>Shared claim-specific concepts:</w:t>
      </w:r>
      <w:r>
        <w:t xml:space="preserve"> electricity, either, electric, united; EU scope not established. This is a provisional connection, not an outcome finding.</w:t>
      </w:r>
    </w:p>
    <w:p>
      <w:pPr>
        <w:pStyle w:val="SourceNote"/>
      </w:pPr>
      <w:r>
        <w:rPr>
          <w:b/>
        </w:rPr>
        <w:t>Available abstract (not full text):</w:t>
      </w:r>
      <w:r>
        <w:t xml:space="preserve"> The “duck curve” is jargon in the energy industry that refers to a graph having the shape of a duck and showing the amount of power dispatched by the grid across the day. The term appeared in around 2012 and was established by the California Independent System Operator (CAISO) in the United States. It refers to the so-called duck problem that is encountered in economies with high penetration by solar power. Electricity generated from solar power starts decreasing until complete darkness falls, when there is no more sunshine. Unless there are sufficient solar energy storage amendments, the electricity demand at nighttime has to be met with other energy sources, either renewable or nonrenewable ones. The problem with evening times is that at those times demand reaches a peak because household members are at home and in need of electric power to satisfy all household needs.</w:t>
      </w:r>
    </w:p>
    <w:p>
      <w:pPr/>
      <w:r>
        <w:rPr>
          <w:b/>
        </w:rPr>
        <w:t>POSSIBLE 2025:</w:t>
      </w:r>
      <w:r>
        <w:t xml:space="preserve"> Climate crisis, war and pandemic: How weather and global events have shaped UK electricity demand — https://doi.org/10.1016/j.jenvman.2025.126937</w:t>
      </w:r>
    </w:p>
    <w:p>
      <w:pPr/>
      <w:r>
        <w:rPr>
          <w:b/>
        </w:rPr>
        <w:t>Shared claim-specific concepts:</w:t>
      </w:r>
      <w:r>
        <w:t xml:space="preserve"> electricity, carbon; EU scope not established. This is a provisional connection, not an outcome finding.</w:t>
      </w:r>
    </w:p>
    <w:p>
      <w:pPr>
        <w:pStyle w:val="SourceNote"/>
      </w:pPr>
      <w:r>
        <w:rPr>
          <w:b/>
        </w:rPr>
        <w:t>Available abstract (not full text):</w:t>
      </w:r>
      <w:r>
        <w:t xml:space="preserve"> The present study, using high-frequency hourly data from 2009 to 2023, investigates the impacts of weather conditions, carbon prices, COVID-19 pandemic, and the Russia-Ukraine war on electricity demand in the UK. Using a semi-parametric estimation technique - generalised additive models - we find that temperature, carbon prices, and snowfall have a significant non-linear impact on electricity usage. Temperature and electricity demand exhibit a non-linear, U-shaped pattern, with electricity demand decreasing during mild weather and sharply rising during extremely hot or cold weather. Carbon prices moderate the temperature effect on electricity demand, with higher prices reducing this effect. Snowfall and rain increase electricity demand due to additional heating needs. Our analyses also suggest that global events such as the COVID-19 pandemic and the Russia-Ukraine war have strongly affected the trajectory of electricity demand, reflecting broader economic disruptions driven by global and geopolitical events. The results remain consistent after controlling for electricity prices. These findings highlight the importance of adaptive energy policies, including flexible carbon pricing strategies, to effectively manage electricity demand during extreme weather events and geopolitical crises.</w:t>
      </w:r>
    </w:p>
    <w:p>
      <w:pPr/>
      <w:r>
        <w:rPr>
          <w:b/>
        </w:rPr>
        <w:t>POSSIBLE 2025:</w:t>
      </w:r>
      <w:r>
        <w:t xml:space="preserve"> Electricity Demand Characteristics in the Energy Transition Pathway Under the Carbon Neutrality Goal for China — https://doi.org/10.3390/su17041759</w:t>
      </w:r>
    </w:p>
    <w:p>
      <w:pPr/>
      <w:r>
        <w:rPr>
          <w:b/>
        </w:rPr>
        <w:t>Shared claim-specific concepts:</w:t>
      </w:r>
      <w:r>
        <w:t xml:space="preserve"> electricity, decrease, significantly, pathway, pathways, carbon; EU scope not established. This is a provisional connection, not an outcome finding.</w:t>
      </w:r>
    </w:p>
    <w:p>
      <w:pPr>
        <w:pStyle w:val="SourceNote"/>
      </w:pPr>
      <w:r>
        <w:rPr>
          <w:b/>
        </w:rPr>
        <w:t>Available abstract (not full text):</w:t>
      </w:r>
      <w:r>
        <w:t xml:space="preserve"> The energy transition towards achieving carbon neutrality is marked by the decarbonization of the power system and a high degree of electrification in end-use sectors. The decarbonization of the power system primarily relies on large-scale renewable energy, nuclear power, and fossil fuel-based power with carbon capture technologies. This structure of power supply introduces significant uncertainty in electricity supply. Due to the technological progress in end-use sectors and spatial reallocation of industries in China, the load curve and power supply curve is very different today. However, most studies’ analyses of future electricity systems are based on today’s load curve, which could be misleading when seeking to understand future electricity systems. Therefore, it is essential to thoroughly analyze changes in end-use load curves to better align electricity demand with supply. This paper analyzes the characteristics of electricity demand load under China’s future energy transition and economic transformation pathways using the Integrated Energy and Environment Policy Assessment model of China (IPAC). It examines the electricity and energy usage characteristics of various sectors in six typical regions, provides 24-h load curves for two representative days, and evaluates the effectiveness of demand-side response in selected provinces in 2050. The study reveals that, with the </w:t>
      </w:r>
    </w:p>
    <w:p>
      <w:pPr/>
      <w:r>
        <w:rPr>
          <w:b/>
        </w:rPr>
        <w:t>POSSIBLE 2025:</w:t>
      </w:r>
      <w:r>
        <w:t xml:space="preserve"> Supply and Demand Situation and Development Pathway of China's Green Electricity and Green Certificate Markets — https://doi.org/10.1007/978-981-96-2042-5_27</w:t>
      </w:r>
    </w:p>
    <w:p>
      <w:pPr/>
      <w:r>
        <w:rPr>
          <w:b/>
        </w:rPr>
        <w:t>Shared claim-specific concepts:</w:t>
      </w:r>
      <w:r>
        <w:t xml:space="preserve"> electricity, pathway;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Pathways for Net-Zero: How Future Electricity Demand Shapes India’s Power Sector Decarbonization Strategies — https://doi.org/10.2139/ssrn.5964754</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pStyle w:val="Heading2"/>
      </w:pPr>
      <w:r>
        <w:t>704.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2026:</w:t>
      </w:r>
      <w:r>
        <w:t xml:space="preserve"> Carbon reduction commitment, carbon emission intensity, and financial default risk: An empirical analysis of European firms — https://doi.org/10.1177/0958305x261481733</w:t>
      </w:r>
    </w:p>
    <w:p>
      <w:pPr/>
      <w:r>
        <w:rPr>
          <w:b/>
        </w:rPr>
        <w:t>Shared claim-specific concepts:</w:t>
      </w:r>
      <w:r>
        <w:t xml:space="preserve"> union, set, reduce, carbon, intensity, emission; EU scope visible. This is a provisional connection, not an outcome finding.</w:t>
      </w:r>
    </w:p>
    <w:p>
      <w:pPr>
        <w:pStyle w:val="SourceNote"/>
      </w:pPr>
      <w:r>
        <w:rPr>
          <w:b/>
        </w:rPr>
        <w:t>Available abstract (not full text):</w:t>
      </w:r>
      <w:r>
        <w:t xml:space="preserve"> This study uses publicly listed companies headquartered in Europe (including the European Union and the United Kingdom) as a sample of 3299 observations to explore the relationship between corporate carbon reduction commitments, carbon emissions intensity, and financial default risk. Carbon reduction commitment is one of the climate transition risks (CTRs) faced by companies. This study uses a dummy variable representing whether a company has set a carbon reduction target percentage, based on data from the Refinitiv Eikon database, as a proxy for carbon reduction commitment. The data covers the period from 2016 to 2022. The study employs Altman's Z-score, Altman's modified Z’’-score (ZZ model), and Zmijewski's ZM-score models, with variable transformations to measure financial default risk. The empirical results show that higher carbon emissions intensity in Scope 1 and Scope 2 correlates with higher financial default risk. Companies with carbon reduction commitments have lower financial default risk. Further analysis using the interaction term between carbon emissions intensity and carbon reduction commitment reveals that for companies with higher carbon emissions intensity in Scope 1 and Scope 2, carbon reduction commitments have a moderating effect, reducing their financial default risk. This suggests that companies with targets to reduce greenhouse gas emissions can better </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union, set, carbon, intensity, co2, approach;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Land carbon sinks in the European Union are not keeping pace with carbon neutrality expectations — https://doi.org/10.1007/s43979-026-00185-8</w:t>
      </w:r>
    </w:p>
    <w:p>
      <w:pPr/>
      <w:r>
        <w:rPr>
          <w:b/>
        </w:rPr>
        <w:t>Shared claim-specific concepts:</w:t>
      </w:r>
      <w:r>
        <w:t xml:space="preserve"> union, reduce, carbon, substantially, reduction; EU scope visible. This is a provisional connection, not an outcome finding.</w:t>
      </w:r>
    </w:p>
    <w:p>
      <w:pPr>
        <w:pStyle w:val="SourceNote"/>
      </w:pPr>
      <w:r>
        <w:rPr>
          <w:b/>
        </w:rPr>
        <w:t>Available abstract (not full text):</w:t>
      </w:r>
      <w:r>
        <w:t xml:space="preserve"> Abstract The European Union has substantially reduced greenhouse-gas emissions since 1990, yet the land use, land-use change and forestry (LULUCF) sink has not strengthened in parallel. The EU-27 LULUCF balance was approximately −231 MtCO₂e in 2024, while the latest Member State projections indicate a remaining gap of 40–55 MtCO₂e to the binding −310 MtCO₂e target for 2030. Here, we synthesise recent assessments to examine the drivers of this weakening in the land carbon sink and their implications for the effectiveness of climate mitigation policy. Declining forest growth, increased harvesting, climate-driven disturbances, and rising biomass demand reduce net carbon uptake, with one 2040 GLOBIOM sensitivity analysis indicating an approximately 100 MtCO₂e reduction in the LULUCF sink under an additional 20 Mtoe of woody-biomass demand. Concurrently, the EU inventory reported 52.7% uncertainty in the 2022 LULUCF level and 29.4% uncertainty in its trend, while important soil-carbon dynamics remain incompletely represented. These findings indicate that current climate policy frameworks implicitly assume stable, scalable, and rapidly deliverable land-based removals, whereas land carbon sinks are dynamic, disturbance-sensitive, and constrained by biophysical limits. Addressing this mismatch requires land-removal plans to be evaluated through dependable removal capacity, combining ex</w:t>
      </w:r>
    </w:p>
    <w:p>
      <w:pPr/>
      <w:r>
        <w:rPr>
          <w:b/>
        </w:rPr>
        <w:t>POSSIBLE 2026:</w:t>
      </w:r>
      <w:r>
        <w:t xml:space="preserve"> Digital Infrastructure as a Catalyst for Low-Carbon Development: A Panel Data Analysis of the European Union — https://doi.org/10.47852/bonviewglce62029727</w:t>
      </w:r>
    </w:p>
    <w:p>
      <w:pPr/>
      <w:r>
        <w:rPr>
          <w:b/>
        </w:rPr>
        <w:t>Shared claim-specific concepts:</w:t>
      </w:r>
      <w:r>
        <w:t xml:space="preserve"> union, reduce, carbon, intensity, reducing; EU scope visible. This is a provisional connection, not an outcome finding.</w:t>
      </w:r>
    </w:p>
    <w:p>
      <w:pPr>
        <w:pStyle w:val="SourceNote"/>
      </w:pPr>
      <w:r>
        <w:rPr>
          <w:b/>
        </w:rPr>
        <w:t>Available abstract (not full text):</w:t>
      </w:r>
      <w:r>
        <w:t xml:space="preserve"> This study examines how digital infrastructure expansion shaped carbon intensity across the EU-27 member states from 2015 to 2021. Using a Fixed Effects panel model with White Diagonal robust standard errors, the research tests for an Environmental Kuznets Curve (EKC) pattern in digital adoption. The results of the empirical analysis confirm an inverted U-shaped relationship between fixed broadband penetration and carbon intensity, reaching an inflection threshold at approximately 24.8 subscriptions per 100 residents. Initial infrastructure build-outs raise emissions due to added power requirements. Once networks cross this 24.8 threshold, structural efficiency gains and automated energy monitoring reduce overall carbon intensity. These findings indicate that while early-stage digital expansion initially correlates with higher energy demand, advanced digitalization is associated with lower carbon intensity, reflecting structural efficiency and better energy control. Furthermore, the analysis highlights the key contribution of renewable energy and economic development in reducing the EU's environmental impact. Additional channels and heterogeneity analyses indicate that broadband connectivity is positively associated with renewable-energy deployment and that its decarbonization effect is significantly stronger in countries with higher digital maturity. These findings support a c</w:t>
      </w:r>
    </w:p>
    <w:p>
      <w:pPr/>
      <w:r>
        <w:rPr>
          <w:b/>
        </w:rPr>
        <w:t>POSSIBLE 2025:</w:t>
      </w:r>
      <w:r>
        <w:t xml:space="preserve"> Carbon Emission Intensity and Investment Efficiency in the European Union: The Moderating Role of Analyst Coverage and Environmental Innovation — https://doi.org/10.30784/epfad.1723582</w:t>
      </w:r>
    </w:p>
    <w:p>
      <w:pPr/>
      <w:r>
        <w:rPr>
          <w:b/>
        </w:rPr>
        <w:t>Shared claim-specific concepts:</w:t>
      </w:r>
      <w:r>
        <w:t xml:space="preserve"> union, set, carbon, intensity, emission; EU scope visible. This is a provisional connection, not an outcome finding.</w:t>
      </w:r>
    </w:p>
    <w:p>
      <w:pPr>
        <w:pStyle w:val="SourceNote"/>
      </w:pPr>
      <w:r>
        <w:rPr>
          <w:b/>
        </w:rPr>
        <w:t>Available abstract (not full text):</w:t>
      </w:r>
      <w:r>
        <w:t xml:space="preserve"> This study examines the impact of carbon emission intensity (CEI) on investment efficiency (IE) as well as the moderating role of analyst coverage and environmental innovation in this relationship for firms operating in the European Union (EU). A panel data set consisting of 5,501 observations of 931 firms for the period 2008-2023 is used. Empirical analyses conducted using the OLS method estimated with Driscoll-Kraay standard errors show that CEI has an overall negative effect on IE, and this effect is particularly pronounced for firms that over-invest. These main findings are robust to alternative investment efficiency measures and alternative estimation methodologies. In addition, analyst coverage and environmental innovation exacerbate the negative effect of CEI on IE. Last, heterogeneity analyses indicate that the negative effect of CEI on IE is stronger for firms with lower levels of green revenue and those not participating in the Emissions Trading System (ETS). The study reveals that policies to increase IE should be designed by taking into account firm- and sector-level conditions.</w:t>
      </w:r>
    </w:p>
    <w:p>
      <w:pPr/>
      <w:r>
        <w:rPr>
          <w:b/>
        </w:rPr>
        <w:t>POSSIBLE 2025:</w:t>
      </w:r>
      <w:r>
        <w:t xml:space="preserve"> Land-based carbon neutrality efficiency in the European Union — https://doi.org/10.1186/s13021-025-00345-w</w:t>
      </w:r>
    </w:p>
    <w:p>
      <w:pPr/>
      <w:r>
        <w:rPr>
          <w:b/>
        </w:rPr>
        <w:t>Shared claim-specific concepts:</w:t>
      </w:r>
      <w:r>
        <w:t xml:space="preserve"> union, carbon, emission, reduction; EU scope visible. This is a provisional connection, not an outcome finding.</w:t>
      </w:r>
    </w:p>
    <w:p>
      <w:pPr>
        <w:pStyle w:val="SourceNote"/>
      </w:pPr>
      <w:r>
        <w:rPr>
          <w:b/>
        </w:rPr>
        <w:t>Available abstract (not full text):</w:t>
      </w:r>
      <w:r>
        <w:t xml:space="preserve"> The European Union (EU) has promised to achieve net-zero emissions via carbon neutrality by 2050. The aim of this research is to evaluate carbon neutrality efficiencies on forest and agricultural lands in the EU. The study finds that carbon neutrality efficiency can be computed by a multiplication of carbon emissions efficiency, carbon sink efficiency, and the target of carbon neutrality. We further divide the EU countries into a green group with continuous carbon emission reduction, a gray group with a continuous carbon emission increase, and a mixed group without a continuous carbon emission reduction or increase. The findings are as follows. (i) Carbon neutrality management is less of a focus than carbon emission management. (ii) There is a trade-off relationship between forest carbon neutrality efficiency and agricultural land efficiency. (iii) Countries in the green group exhibit great heterogeneity in their GDP than those in the gray and mixed groups. (iv) The green group countries exhibit heterogeneous economic structures, and their carbon neutrality performance reflects the overall pattern observed in the EU. The EU aims for carbon neutrality by 2050. This study assesses the efficiency of forest and agricultural lands in achieving this goal, based on emissions efficiency, carbon sink efficiency, and the target. The EU is divided into three groups: green (emission reduct</w:t>
      </w:r>
    </w:p>
    <w:p>
      <w:pPr/>
      <w:r>
        <w:rPr>
          <w:b/>
        </w:rPr>
        <w:t>POSSIBLE 2025:</w:t>
      </w:r>
      <w:r>
        <w:t xml:space="preserve"> Carbon Policies and Liner Speed Optimization: Comparisons of Carbon Trading and Carbon Tax Combined with the European Union Emissions Trading Scheme — https://doi.org/10.3390/jmse13020204</w:t>
      </w:r>
    </w:p>
    <w:p>
      <w:pPr/>
      <w:r>
        <w:rPr>
          <w:b/>
        </w:rPr>
        <w:t>Shared claim-specific concepts:</w:t>
      </w:r>
      <w:r>
        <w:t xml:space="preserve"> union, reduce, carbon, defined, other, reduction; EU scope visible. This is a provisional connection, not an outcome finding.</w:t>
      </w:r>
    </w:p>
    <w:p>
      <w:pPr>
        <w:pStyle w:val="SourceNote"/>
      </w:pPr>
      <w:r>
        <w:rPr>
          <w:b/>
        </w:rPr>
        <w:t>Available abstract (not full text):</w:t>
      </w:r>
      <w:r>
        <w:t xml:space="preserve"> This paper explores how optimizing vessel speeds can help reduce carbon emissions in the maritime industry. Focusing on liner shipping routes between China and Europe, it examines how carbon pricing mechanisms, including carbon taxes and emissions trading under the European Union Emissions Trading Scheme (EU ETS), impact operational costs and emissions reduction. With the use of advanced optimization methods, such as the Non-dominated Sorting Genetic Algorithm-II (NSGA-II) and the Technique for Order of Preference by Similarity to an Ideal Solution (TOPSIS), this research explores the balance between adjusting vessel speeds and minimizing emissions. The findings show that shipping companies on the China–Europe route can reduce the financial strain of carbon pricing by carefully managing speeds and voyage times. This study compares two scenarios of carbon tax policy and carbon trading rights in terms of voyage costs and carbon emissions. The results of this comparison based on the given parameters indicate a reduction of 1124 tons of carbon emissions with the carbon tax policy scenario, while the carbon trading rights scenario allows for more voyages yearly (5.24 vs. 5.30). This demonstrates one policy being more economical, while the other is also more environmentally efficient. These insights support the development of strategies that align environmental goals with economic pr</w:t>
      </w:r>
    </w:p>
    <w:p>
      <w:pPr/>
      <w:r>
        <w:rPr>
          <w:b/>
        </w:rPr>
        <w:t>POSSIBLE 2024:</w:t>
      </w:r>
      <w:r>
        <w:t xml:space="preserve"> The European Union and the Wider Europe — https://doi.org/10.1017/9781009230322.017</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2024:</w:t>
      </w:r>
      <w:r>
        <w:t xml:space="preserve"> European Union Law — https://doi.org/10.1017/9781009230322</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2024:</w:t>
      </w:r>
      <w:r>
        <w:t xml:space="preserve"> European Integration and the Treaties on European Union — https://doi.org/10.1017/9781009230322.008</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2023:</w:t>
      </w:r>
      <w:r>
        <w:t xml:space="preserve"> Economic Interdependence between Norway and The European Union Compared to Switzerland and The European Union — https://doi.org/10.34010/gpsjournal.v7i1.8697</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Norway and Switzerland have a history of being part of the European Union (EU) and eventually opting out. Though, as a part of the European Economic Area allows Norway to integrate and participate with the EU’s single market. Similarly, Switzerland can participate in and access the European single market through a set of bilateral agreements with the EU. Consequently, both countries must accept a set of rules by the EU. This paper aims to compare and examine the bilateral relations maintained between Norway and the EU compared to Switzerland and the EU in the field of economic cooperation namely the trade and investment sectors in the aftermath of the financial crisis. This paper incorporates two types of analysis. The first part uses quantitative methods of descriptive statistical analysis and is followed by strength, weakness, opportunities, and threat (SWOT) analysis. This paper demonstrates that the bilateral relations between Norway and the EU as well as for Switzerland and the EU have created conditions of interdependence for both the EU and its partners, namely, Norway and Switzerland. Keywords— European Union, Interdependence, Norway, Switzerland</w:t>
      </w:r>
    </w:p>
    <w:p>
      <w:pPr/>
      <w:r>
        <w:rPr>
          <w:b/>
        </w:rPr>
        <w:t>POSSIBLE 2023:</w:t>
      </w:r>
      <w:r>
        <w:t xml:space="preserve"> European Union 2030 Carbon Emission Target: The Case of Turkey — https://doi.org/10.3390/su151713025</w:t>
      </w:r>
    </w:p>
    <w:p>
      <w:pPr/>
      <w:r>
        <w:rPr>
          <w:b/>
        </w:rPr>
        <w:t>Shared claim-specific concepts:</w:t>
      </w:r>
      <w:r>
        <w:t xml:space="preserve"> union, set, carbon, co2, emission; EU scope visible. This is a provisional connection, not an outcome finding.</w:t>
      </w:r>
    </w:p>
    <w:p>
      <w:pPr>
        <w:pStyle w:val="SourceNote"/>
      </w:pPr>
      <w:r>
        <w:rPr>
          <w:b/>
        </w:rPr>
        <w:t>Available abstract (not full text):</w:t>
      </w:r>
      <w:r>
        <w:t xml:space="preserve"> Climate awareness caused by the threat of global warming is the number one agenda item for developed and developing economies. Plans developed in this context, environmentally friendly trends in economic activities, and countries’ efforts to adapt to sustainable development have enabled new road maps. The most important of these efforts is the Paris Climate Agreement signed in 2015 and the Green Deal implemented by the European Union (EU) within the framework of this agreement. In this study, the carbon emissions of Turkey, which has important trade relations with the EU, were estimated using machine learning techniques, and a prediction was made for 2030 based on the results obtained. These results were evaluated in line with the targets of the Green Deal. The R2 of support vector regression (SVR), which was applied in the model as one of the machine learning techniques, was found to be 98.4%, and it was found to have the highest predictive power. This technique was followed by multiple linear regression (MLR) with a 97.6% success rate and artificial neural networks (ANN) with a 95.8% success rate, respectively. According to the estimates achieved with the most successful model, SVR, Turkey’s carbon emissions are expected to be 723.97 million metric tons (mt) of carbon dioxide (CO2) in 2030, the target year set by the EU. This level is 42% higher than the target that needs to </w:t>
      </w:r>
    </w:p>
    <w:p>
      <w:pPr>
        <w:pStyle w:val="Heading2"/>
      </w:pPr>
      <w:r>
        <w:t>705.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2026:</w:t>
      </w:r>
      <w:r>
        <w:t xml:space="preserve"> Narrating power: the European Commission and the geopolitics of the energy transition — https://doi.org/10.1080/09662839.2025.2599239</w:t>
      </w:r>
    </w:p>
    <w:p>
      <w:pPr/>
      <w:r>
        <w:rPr>
          <w:b/>
        </w:rPr>
        <w:t>Shared claim-specific concepts:</w:t>
      </w:r>
      <w:r>
        <w:t xml:space="preserve"> transition, energy, power; EU scope visible. This is a provisional connection, not an outcome finding.</w:t>
      </w:r>
    </w:p>
    <w:p>
      <w:pPr>
        <w:pStyle w:val="SourceNote"/>
      </w:pPr>
      <w:r>
        <w:rPr>
          <w:b/>
        </w:rPr>
        <w:t>Available abstract (not full text):</w:t>
      </w:r>
      <w:r>
        <w:t xml:space="preserve"> The European Commission (EC) seeks to position the EU as a global leader in the energy transition by enhancing its geopolitical influence and reducing its dependence on fossil fuels. This paper analyses the EC’s narratives on energy transition and decarbonisation in relation to the EU’s emerging geopolitical actorness. Drawing on a critical geopolitical perspective, it shows how speeches by EC representatives strategically deploy narratives to construct the EU’s identity as a leading global actor in energy transition governance, one that integrates the roles of a competitive economic power, a normative power and a geopolitical power. Furthermore, this paper illustrates that the EC simultaneously reimagines the geopolitical configuration of its energy relations by redefining its international partnerships and dependencies. In doing so, the EC reinforces the EU’s self-image as a centre of values projected onto the energy transition, even though this value framework is applied selectively.</w:t>
      </w:r>
    </w:p>
    <w:p>
      <w:pPr/>
      <w:r>
        <w:rPr>
          <w:b/>
        </w:rPr>
        <w:t>POSSIBLE 2026:</w:t>
      </w:r>
      <w:r>
        <w:t xml:space="preserve"> Editorial: Just energy transitions for Europe and beyond — https://doi.org/10.3389/fpos.2026.1815295</w:t>
      </w:r>
    </w:p>
    <w:p>
      <w:pPr/>
      <w:r>
        <w:rPr>
          <w:b/>
        </w:rPr>
        <w:t>Shared claim-specific concepts:</w:t>
      </w:r>
      <w:r>
        <w:t xml:space="preserve"> two, transition, renewable, energy, regions; EU scope visible. This is a provisional connection, not an outcome finding.</w:t>
      </w:r>
    </w:p>
    <w:p>
      <w:pPr>
        <w:pStyle w:val="SourceNote"/>
      </w:pPr>
      <w:r>
        <w:rPr>
          <w:b/>
        </w:rPr>
        <w:t>Available abstract (not full text):</w:t>
      </w:r>
      <w:r>
        <w:t xml:space="preserve"> examined. In doing so, it treats justice as both an analytical category and a governance problem. Rather than treating justice as an assumed virtue of decarbonisation, the contributions examine how it is constructed, where it is limited, and how it may be re-imagined in light of contemporary transition dynamics. The contributions move across levels of analysis, from conceptual clarification and legal design to social contestation and geopolitical restructuring, revealing how justice is constructed and constrained in practice. The contributions also touch upon various dimensions of environmental and climate justice, including their distributive and procedural dimensions. 4 A first step in this endeavour is not merely to endorse "justice" as a goal, but to understand how it is constructed across the domains that shape transition governance. Chiara et al. approach this by comparing two discursive arenas that do not always speak fluently to one another: institutional texts associated with the EU's Just Transition Mechanism, and a corpus of scientific literature on energy and environmental justice published between 2020 and 2023. Using thematic analysis, they identify three overarching dimensions through which "just transition" is articulated -its focus (including the levels of abstraction at which problems are framed), its justice claims (the forms and dimensions of justice that ar</w:t>
      </w:r>
    </w:p>
    <w:p>
      <w:pPr/>
      <w:r>
        <w:rPr>
          <w:b/>
        </w:rPr>
        <w:t>POSSIBLE 2026:</w:t>
      </w:r>
      <w:r>
        <w:t xml:space="preserve"> Energy systems in transition and post-transition — https://doi.org/10.2298/tsci260105069g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paper aims at providing an overview of the most significant theoretical concepts of transition. It introduces the concept of the energy system as a cluster of structures surrounded by external structures, and develops a corresponding set of indicators for both internal and surrounding (environmental) components. It further reviews and integrates key theoretical concepts of energy transition and out-lines relevant transition indicators. Particular attention is given to the issue of a just energy transition, based on a review of the academic literature. Furthermore, the paper develops a framework for assessing power system competitiveness along energy transition trajectories. Two categories of indicators are considered: one based on costs, CO₂ emissions as well as energy output, and an-other indicating system dispatchability. This concept is applied to real power systems in nine European countries under a hypothetical energy transition scenario and the results are evaluated. Across all cases considered, the results show that power systems exhibit higher competitiveness, according to both indicators on a transition path from solid fossil fuels to nuclear power than on a corresponding path to wind energy. The analysis is extended to issues of secondary and final energy storage in the energy transition and introduces the concept of an energy post-transition. A corresponding fram</w:t>
      </w:r>
    </w:p>
    <w:p>
      <w:pPr/>
      <w:r>
        <w:rPr>
          <w:b/>
        </w:rPr>
        <w:t>POSSIBLE 2026:</w:t>
      </w:r>
      <w:r>
        <w:t xml:space="preserve"> TRANSITION AND POST-TRANSITION OF POWER SYSTEMS — https://doi.org/10.46793/eep25.018g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most significant theoretical concepts of transition are shortly discussed. The concept of the power system as cluster of the internal structures in the environment of external structures is presented and discussed. The indicators that describe the individual structures, as well as some of the surrounding structures are proposed and discussed. An overview of the most significant energy transition’s theoretical concepts is shortly presented. The specific indicators of the energy transition are also presented and discussed. The concept of the power system’s competitiveness on the energy transition trajectory is discussed with the appropriate two types of indicators. First type comprises costs, carbon dioxide emission and energy produced, while the other indicate power system’s dispatchability. The results of the competitiveness analysis of the real power systems in nine European countries in hypothetical energy transition from solid fossil fuels to wind turbines, as well as to nuclear power plants are presented and discussed. The results point out that in each considered country power system is more competitive, on transition trajectory from solid fossil fuels to nuclear power plants than on the trajectory from solid fossil fuels to wind turbines. The problem of the power system’s dispatchability in real transition is discussed. The problems of storing the secondary and the fi</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two, transition, pathways, energy, system, current;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Power Purchase Agreements and the European Union’s Energy Transition — https://doi.org/10.26262/heal.auth.ir.373404</w:t>
      </w:r>
    </w:p>
    <w:p>
      <w:pPr/>
      <w:r>
        <w:rPr>
          <w:b/>
        </w:rPr>
        <w:t>Shared claim-specific concepts:</w:t>
      </w:r>
      <w:r>
        <w:t xml:space="preserve"> two, transition, energy, power, electricity; EU scope visible. This is a provisional connection, not an outcome finding.</w:t>
      </w:r>
    </w:p>
    <w:p>
      <w:pPr>
        <w:pStyle w:val="SourceNote"/>
      </w:pPr>
      <w:r>
        <w:rPr>
          <w:b/>
        </w:rPr>
        <w:t>Available abstract (not full text):</w:t>
      </w:r>
      <w:r>
        <w:t xml:space="preserve"> In my thesis I focused on the fundamental components of Power Purchase Agreements (PPAs), its advantages and risks and their connection to the European Union (EU) energy transition. Power Purchase Agreements are long-term contracts that specify the terms of selling electricity, such as price, quantity, and duration, between an energy producer and an energy consumer. Moreover, the project finance plays a major role in PPAs as it is the process by which lenders and equity investors fund a project firm based on the anticipated (contractual) cashflows of the project and the value of the underlying power assets. If parties remain in disagreement after completing the PPA process, they can resort to dispute resolution process. Arbitration and an expert determination are two well-known alternatives to litigation. In conclusion, for the Energy Union to be effective, and for PPAs to develop, energy market regulation must contribute in national markets' integration into the EU's Internal Energy Market (IEM), in increased energy security and in reduced consumer costs.</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transition, renewable, energy, sector, electricity, current;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2023:</w:t>
      </w:r>
      <w:r>
        <w:t xml:space="preserve"> An assessment of different transition pathways to a green global economy — https://doi.org/10.1038/s43247-023-01109-5</w:t>
      </w:r>
    </w:p>
    <w:p>
      <w:pPr/>
      <w:r>
        <w:rPr>
          <w:b/>
        </w:rPr>
        <w:t>Shared claim-specific concepts:</w:t>
      </w:r>
      <w:r>
        <w:t xml:space="preserve"> transition, pathways, renewable, energy, sector; EU scope not established. This is a provisional connection, not an outcome finding.</w:t>
      </w:r>
    </w:p>
    <w:p>
      <w:pPr>
        <w:pStyle w:val="SourceNote"/>
      </w:pPr>
      <w:r>
        <w:rPr>
          <w:b/>
        </w:rPr>
        <w:t>Available abstract (not full text):</w:t>
      </w:r>
      <w:r>
        <w:t xml:space="preserve"> Abstract Transition to green economy is urgently needed in order to reach the climate targets by the end of this century. We investigate the optimal pathways for transitioning of the global economy from one dominated by the fossil-fueled (brown) sector to one dominated by the zero-emission (green) sector. We consider three transition regimes: a "Linear" regime with a constant growth rate of the green sector, a "Delayed" regime composed of a much lower early growth rate until 2050 followed by a higher growth rate afterwards, and a "Fast" regime composed of a much higher early growth rate until 2050 followed by a slower growth rate afterwards. Our results indicate that the labor market is more sensitive to the pace of transition than the capital market. We also find that slow green growth under the "Delayed" regime induces higher rates of abatement in the brown sector which are amplified by early R&amp;D investment in green capital productivity. Finally, we show that rapid transition to green economy requires substantial upfront investment in renewable energy infrastructure and human capital development which in turn, reduces greenhouse gas emissions by 60% in 2050 compared to the "Delayed" regime.</w:t>
      </w:r>
    </w:p>
    <w:p>
      <w:pPr>
        <w:pStyle w:val="Heading2"/>
      </w:pPr>
      <w:r>
        <w:t>706.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2025:</w:t>
      </w:r>
      <w:r>
        <w:t xml:space="preserve"> Towards a Digital Europe: Cluster-Based Insights into Technology, Knowledge, and Readiness — https://doi.org/10.56082/jkd.2025.1.64</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Digital transformation is an essential process for contemporary economic and social development. This paper aims to explore the evolution and disparities of digital transformation across European Union (EU) member states by analyzing their digital profiles and classifying them into homogeneous groups based on their performance. Thus, the research draws on secondary quantitative data from the World Digital Competitiveness Rankings developed by International Institute for Management Development (IMD), focusing on three critical dimensions: knowledge, technology and futureproofing. These dimensions capture countries' educational and research capacity, digital infrastructure and societal adaptability to digital change. In this research, a cluster analysis was performed using SPSS Two-Step Clustering, supported by visual and statistical tools, to identify clustering patterns among 26 EU countries (excluding Malta due to missing data). The research design includes four steps: time trend analysis, geographical mapping, cluster identification, and testing the significance of inter-cluster differences using Mann-Whitney U-tests. The results show a clear bifurcation between digitally advanced countries (e.g., Denmark, Netherlands, Sweden) and those with lower performance (e.g., Romania, Bulgaria, Greece). Significant statistical differences exist across all three analyzed dimensions. The</w:t>
      </w:r>
    </w:p>
    <w:p>
      <w:pPr/>
      <w:r>
        <w:rPr>
          <w:b/>
        </w:rPr>
        <w:t>POSSIBLE 2024:</w:t>
      </w:r>
      <w:r>
        <w:t xml:space="preserve"> Housing conditions in European one-person households — https://doi.org/10.1371/journal.pone.0303295</w:t>
      </w:r>
    </w:p>
    <w:p>
      <w:pPr/>
      <w:r>
        <w:rPr>
          <w:b/>
        </w:rPr>
        <w:t>Shared claim-specific concepts:</w:t>
      </w:r>
      <w:r>
        <w:t xml:space="preserve"> them, both, actions; EU scope visible. This is a provisional connection, not an outcome finding.</w:t>
      </w:r>
    </w:p>
    <w:p>
      <w:pPr>
        <w:pStyle w:val="SourceNote"/>
      </w:pPr>
      <w:r>
        <w:rPr>
          <w:b/>
        </w:rPr>
        <w:t>Available abstract (not full text):</w:t>
      </w:r>
      <w:r>
        <w:t xml:space="preserve">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pPr/>
      <w:r>
        <w:rPr>
          <w:b/>
        </w:rPr>
        <w:t>POSSIBLE 2023:</w:t>
      </w:r>
      <w:r>
        <w:t xml:space="preserve"> Fighting depopulation in Europe by analyzing the financial risks of local governments — https://doi.org/10.1177/00208523231158982</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Throughout Europe, one of the main problems facing policymakers is that of falling rural populations. In many cases, this is aggravated by high levels of local government borrowing. Although researchers have sought to determine the causes of this debt, much remains to be known about the factors influencing the default risk of small- and medium-sized towns, information that would help them formulate policies to combat the loss of population. The aim of our study is to identify factors relevant to this default risk. We analyzed demographic, socioeconomic, and financial factors in a sample of 6456 Spanish local governments by their population size. Our findings show that financial policies applied to reduce this risk should vary according to the population size, as certain factors exert a specific influence on smaller municipalities. Nevertheless, socioeconomic and financial variables have more impact on default risk than demographic factors. Our findings are novel and useful for all concerned in combating the depopulation of rural areas in Europe, owing to the relevance of conclusions for the design of public policies based on the sustainability of public services in small municipalities. Points for practitioners The measurement of the default risk in local governments reveals very relevant information for the design of public policies against depopulation. Socioeconomic and fina</w:t>
      </w:r>
    </w:p>
    <w:p>
      <w:pPr/>
      <w:r>
        <w:rPr>
          <w:b/>
        </w:rPr>
        <w:t>POSSIBLE 2023:</w:t>
      </w:r>
      <w:r>
        <w:t xml:space="preserve"> Leadership styles: a study in Latin America, the United States and Europe — https://doi.org/10.56294/saludcyt2023401</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Introduction: leadership styles vary in organizations due to multiple factors, such as policies or organizational culture. Today's globalized world and post-pandemic times require a leader capable of integrating people and motivating them to achieve objectives. Objective: the aim of this study was to analyze leadership styles in organizations in Latin America, the United States and Europe. Method: a sample of eighty-one leaders were administered a questionnaire composed of twenty-one items, in order to evaluate the leadership style with the Blake and Mouton test, in order to identify whether leaders are people-oriented or task-oriented. Results: once the test was applied to the leaders of the study sample, it was found that 1,23 % are social leaders, 4,94 % are authoritarian leaders and 93,83 % are team leaders.Conclusions: today's society demands an integrative leadership style that helps transform the work team. Research on leadership identifies multiple factors that can lead to the selection of a leadership style. In this regard, the results obtained revealed that the team leadership style is the one most used by leaders</w:t>
      </w:r>
    </w:p>
    <w:p>
      <w:pPr/>
      <w:r>
        <w:rPr>
          <w:b/>
        </w:rPr>
        <w:t>POSSIBLE 2023:</w:t>
      </w:r>
      <w:r>
        <w:t xml:space="preserve"> Membership Trends in European Countries — https://doi.org/10.1353/ben.2023.a923758</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Membership Trends in European Countries Thomas Piazza (bio) Thomas Piazza Thomas Piazza is a retired survey research designer and statistician from the University of California, Berkeley. He was a Benedictine monk of St. Leo Abbey in Florida during the 1960s. Footnotes 1. Thomas Piazza, "Regional Trends in the Benedictine Confederation," American Benedictine Review 73, no. 3 (September 2022): 322–330. The number of monks considered as being in Europe in that article include 16 monks from Australia (rather than simply dropping them from the analysis) and 9 monks mistakenly classified as being in the UK instead of the U.S. Therefore, the current article counts 25 monks fewer in Europe than the earlier one. 2. See Piazza, "Regional Trends," 329–330. 3. Catalogus Monasteriorum O.S.B. Monachorum (Rome: The Benedictine Confederation, 2020). The Catalogus has been published by the Curia of the Abbot Primate in Rome at Sant'Anselmo approximately every five years since 1880 (except during periods of major wars). The Catalogus reports membership statistics for professed monks plus a few claustral oblates. We are grateful to Fr. Patrick Carter, O.S.B., for carrying out the computer work to digitize the 2020 Catalogus and to Fr. Geraldo González y Lima, O.S.B., for facilitating access to the data file. 4. The number of professed monks in the Confederation declined about 20 percent during t</w:t>
      </w:r>
    </w:p>
    <w:p>
      <w:pPr/>
      <w:r>
        <w:rPr>
          <w:b/>
        </w:rPr>
        <w:t>POSSIBLE 2023:</w:t>
      </w:r>
      <w:r>
        <w:t xml:space="preserve"> Knowledge: A Factor for Acceptance of Insects as Food — https://doi.org/10.3390/su15064820</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The role that insects will play in a healthier and more sustainable diet has been highlighted in the last years, at the European level. In future, due to environmental concerns and population growth, eating insects might be a solution for many problems. However, populations without the tradition of eating insects are still reluctant in accepting such a food as part of their diet. The present observational study highlights some factors that are influencing the acceptance of insects as food in Romania, in 2022. A number of 496 Romanian adults, 433 women and 63 men, with the mean age 39.3 ± 11 years, completed a validated questionnaire analyzing food behaviors, as well as attitudes and knowledge in relation to insects, including sustainability, nutrition and food safety aspects. Only 6.3% of participants had already eaten insects, while 43.8% claimed their openness to do it in future. Insect-based products were accepted more than insects that can be perceived as such. The most frequent words associated with insects were rather deleterious: disgust, odd, nausea, not to eat, or curiosity. Investigating the factors involved in insect acceptability in Romanians’ diets, we found a statistically significant correlation between openness to eat them and the knowledge about insects as being a valuable, sustainable and safe source of nutrients. Targeted education seems to be an important to</w:t>
      </w:r>
    </w:p>
    <w:p>
      <w:pPr/>
      <w:r>
        <w:rPr>
          <w:b/>
        </w:rPr>
        <w:t>POSSIBLE 2023:</w:t>
      </w:r>
      <w:r>
        <w:t xml:space="preserve"> The value of reverse knowledge transfer: Case of Austrian Bank subsidiary in Slovakia — https://doi.org/10.15549/jeecar.v10i5.1253</w:t>
      </w:r>
    </w:p>
    <w:p>
      <w:pPr/>
      <w:r>
        <w:rPr>
          <w:b/>
        </w:rPr>
        <w:t>Shared claim-specific concepts:</w:t>
      </w:r>
      <w:r>
        <w:t xml:space="preserve"> analyzing, them, valuable, knowledge, other, specific; EU scope visible. This is a provisional connection, not an outcome finding.</w:t>
      </w:r>
    </w:p>
    <w:p>
      <w:pPr>
        <w:pStyle w:val="SourceNote"/>
      </w:pPr>
      <w:r>
        <w:rPr>
          <w:b/>
        </w:rPr>
        <w:t>Available abstract (not full text):</w:t>
      </w:r>
      <w:r>
        <w:t xml:space="preserve"> This research focuses on reverse knowledge transfer from Central Europe to Western Europe by analyzing the contribution of a specific Slovak subsidiary to MNC knowledge. It explores the first digital bank created in Slovakia, its origin, expectations, results, and expertise transmitted from the daughter company to the Austrian headquarters. The paper analyses the situation of Raiffeisen Bank International, headquartered in Vienna, and its digital daughter company ZUNO founded in Slovakia in 2010. It identifies the learnings transferred to the parent in digital banking, marketing, operational, HR, and strategic management. The authors also study subsidiary integration within MNC, alignment of its structure and processes with the parent and conclude that the new knowledge generation was especially valuable in digital banking, at work with new client segments, in implementing new forms of marketing, working with new technologies, creating new structures, and transferring them to the other foreign markets.</w:t>
      </w:r>
    </w:p>
    <w:p>
      <w:pPr/>
      <w:r>
        <w:rPr>
          <w:b/>
        </w:rPr>
        <w:t>POSSIBLE 2022:</w:t>
      </w:r>
      <w:r>
        <w:t xml:space="preserve"> Review and Analysis of National Monitoring Systems for Antimicrobial Resistance in Animal Bacterial Pathogens in Europe: A Basis for the Development of the European Antimicrobial Resistance Surveillance Network in Veterinary Medicine (EARS-Vet) — https://doi.org/10.3389/fmicb.2022.838490</w:t>
      </w:r>
    </w:p>
    <w:p>
      <w:pPr/>
      <w:r>
        <w:rPr>
          <w:b/>
        </w:rPr>
        <w:t>Shared claim-specific concepts:</w:t>
      </w:r>
      <w:r>
        <w:t xml:space="preserve"> them, one, both, but; EU scope visible. This is a provisional connection, not an outcome finding.</w:t>
      </w:r>
    </w:p>
    <w:p>
      <w:pPr>
        <w:pStyle w:val="SourceNote"/>
      </w:pPr>
      <w:r>
        <w:rPr>
          <w:b/>
        </w:rPr>
        <w:t>Available abstract (not full text):</w:t>
      </w:r>
      <w:r>
        <w:t xml:space="preserve"> The monitoring of antimicrobial resistance (AMR) in bacterial pathogens of animals is not currently coordinated at European level. To fill this gap, experts of the European Union Joint Action on Antimicrobial Resistance and Healthcare Associated Infections (EU-JAMRAI) recommended building the European Antimicrobial Resistance Surveillance network in Veterinary medicine (EARS-Vet). In this study, we (i) identified national monitoring systems for AMR in bacterial pathogens of animals (both companion and food-producing) among 27 countries affiliated to EU-JAMRAI, (ii) described their structures and operations, and (iii) analyzed their respective strengths, weaknesses, opportunities and threats (SWOT). Twelve countries reported having at least one national monitoring system in place, representing an opportunity to launch EARS-Vet, but highlighting important gaps in AMR data generation in Europe. In total, 15 national monitoring systems from 11 countries were described and analyzed. They displayed diverse structures and operations, but most of them shared common weaknesses (e.g., data management and representativeness) and common threats (e.g., economic vulnerability and data access), which could be addressed collectively under EARS-Vet. This work generated useful information to countries planning to build or improve their system, by learning from others' experience. It also enabled</w:t>
      </w:r>
    </w:p>
    <w:p>
      <w:pPr/>
      <w:r>
        <w:rPr>
          <w:b/>
        </w:rPr>
        <w:t>POSSIBLE 2022:</w:t>
      </w:r>
      <w:r>
        <w:t xml:space="preserve"> Continual Learning Objective for Analyzing Complex Knowledge Representations — https://doi.org/10.3390/s22041667</w:t>
      </w:r>
    </w:p>
    <w:p>
      <w:pPr/>
      <w:r>
        <w:rPr>
          <w:b/>
        </w:rPr>
        <w:t>Shared claim-specific concepts:</w:t>
      </w:r>
      <w:r>
        <w:t xml:space="preserve"> analyzing, them, knowledge; EU scope not established. This is a provisional connection, not an outcome finding.</w:t>
      </w:r>
    </w:p>
    <w:p>
      <w:pPr>
        <w:pStyle w:val="SourceNote"/>
      </w:pPr>
      <w:r>
        <w:rPr>
          <w:b/>
        </w:rPr>
        <w:t>Available abstract (not full text):</w:t>
      </w:r>
      <w:r>
        <w:t xml:space="preserve"> Human beings tend to incrementally learn from the rapidly changing environment without comprising or forgetting the already learned representations. Although deep learning also has the potential to mimic such human behaviors to some extent, it suffers from catastrophic forgetting due to which its performance on already learned tasks drastically decreases while learning about newer knowledge. Many researchers have proposed promising solutions to eliminate such catastrophic forgetting during the knowledge distillation process. However, to our best knowledge, there is no literature available to date that exploits the complex relationships between these solutions and utilizes them for the effective learning that spans over multiple datasets and even multiple domains. In this paper, we propose a continual learning objective that encompasses mutual distillation loss to understand such complex relationships and allows deep learning models to effectively retain the prior knowledge while adapting to the new classes, new datasets, and even new applications. The proposed objective was rigorously tested on nine publicly available, multi-vendor, and multimodal datasets that span over three applications, and it achieved the top-1 accuracy of 0.9863% and an F1-score of 0.9930.</w:t>
      </w:r>
    </w:p>
    <w:p>
      <w:pPr/>
      <w:r>
        <w:rPr>
          <w:b/>
        </w:rPr>
        <w:t>POSSIBLE 2022:</w:t>
      </w:r>
      <w:r>
        <w:t xml:space="preserve"> Analyzing the Level of Digitalization among the Enterprises of the European Union Member States and Their Impact on Economic Growth — https://doi.org/10.3390/joitmc8020070</w:t>
      </w:r>
    </w:p>
    <w:p>
      <w:pPr/>
      <w:r>
        <w:rPr>
          <w:b/>
        </w:rPr>
        <w:t>Shared claim-specific concepts:</w:t>
      </w:r>
      <w:r>
        <w:t xml:space="preserve"> analyzing, knowledge, both; EU scope visible. This is a provisional connection, not an outcome finding.</w:t>
      </w:r>
    </w:p>
    <w:p>
      <w:pPr>
        <w:pStyle w:val="SourceNote"/>
      </w:pPr>
      <w:r>
        <w:rPr>
          <w:b/>
        </w:rPr>
        <w:t>Available abstract (not full text):</w:t>
      </w:r>
      <w:r>
        <w:t xml:space="preserve"> The dynamic development of information and communication technology (ICT) reported in recent years has caused significant changes in almost all areas of social and economic life. The digitalization process resulting from this development is now becoming a determinant of both progress and modernity. This issue has been addressed in this paper, and thereby we present a methodology developed to study the level of digitalization and the use of innovative technologies among the enterprises of the EU-27 countries. The research was conducted using selected indicators—determinants (10) characterizing the main digital technologies and infrastructure associated with their implementation in the enterprises under study. Based on these indicators, the Entropy-Multi-Objective Optimization on the basis of Ratio Analysis (MOORA) method was used to determine the index (level) of digitalization among the companies of the EU-27. The level of use of digital technologies and infrastructure for Industry 4.0 was also determined. Another important goal of the study was to determine a relationship between the values of the digitalization index for the EU-27 countries and the economic parameters characterizing their economies. For this analysis, non-parametric tests such as the Kendall’s Tau and Spearman’s rank correlation coefficients were applied. The results significantly enrich the knowledge of meth</w:t>
      </w:r>
    </w:p>
    <w:p>
      <w:pPr>
        <w:pStyle w:val="Heading2"/>
      </w:pPr>
      <w:r>
        <w:t>707.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2025:</w:t>
      </w:r>
      <w:r>
        <w:t xml:space="preserve"> Simple Decision Making In Renewable Energy Planning — https://doi.org/10.62872/2dtp3r72</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Renewable energy planning is a complex process, involving multiple dimensions, including natural resource availability, government policies, and socio-economic factors. This study emphasizes the importance of a decision-making approach that is not only technically based, but also considers the social and political factors that influence policy implementation. Decision-making in renewable energy planning is often hampered by information inequality between stakeholders, social resistance, and policy instability that can slow down a sustainable energy transition. Multi-Criteria Decision Making (MCDM) methods have been used to help stakeholders choose the best option, but overly technical approaches can be a barrier in developing countries. Therefore, simpler and more data-driven approaches, such as heuristic models, become more relevant in contexts of uncertainty. This research uses a descriptive qualitative approach through case studies to explore the dynamics of decision-making in renewable energy planning. Data were collected through in-depth interviews, focus group discussions (FGDs), and document analysis. The results show that transparency, open communication and stakeholder participation are essential to overcome social and political barriers and support effective and sustainable renewable energy policy implementation.</w:t>
      </w:r>
    </w:p>
    <w:p>
      <w:pPr/>
      <w:r>
        <w:rPr>
          <w:b/>
        </w:rPr>
        <w:t>POSSIBLE 2024:</w:t>
      </w:r>
      <w:r>
        <w:t xml:space="preserve"> Sea Level Rise in Europe: Adaptation measures and decision-making principles — https://doi.org/10.5194/sp-3-slre1-6-2024</w:t>
      </w:r>
    </w:p>
    <w:p>
      <w:pPr/>
      <w:r>
        <w:rPr>
          <w:b/>
        </w:rPr>
        <w:t>Shared claim-specific concepts:</w:t>
      </w:r>
      <w:r>
        <w:t xml:space="preserve"> decision-making, technological, different;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Multi-Criteria Decision-Making Approach for Optimal Energy Storage System Selection and Applications in Oman — https://doi.org/10.3390/en17205197</w:t>
      </w:r>
    </w:p>
    <w:p>
      <w:pPr/>
      <w:r>
        <w:rPr>
          <w:b/>
        </w:rPr>
        <w:t>Shared claim-specific concepts:</w:t>
      </w:r>
      <w:r>
        <w:t xml:space="preserve"> decision-making, transition, energy, goals; EU scope not established. This is a provisional connection, not an outcome finding.</w:t>
      </w:r>
    </w:p>
    <w:p>
      <w:pPr>
        <w:pStyle w:val="SourceNote"/>
      </w:pPr>
      <w:r>
        <w:rPr>
          <w:b/>
        </w:rPr>
        <w:t>Available abstract (not full text):</w:t>
      </w:r>
      <w:r>
        <w:t xml:space="preserve"> This research aims to support the goals of Oman Vision 2040 by reducing the dependency on non-renewable energy resources and increasing the utilization of the national natural renewable energy resources. Selecting appropriate energy storage systems (ESSs) will play a key role in achieving this vision by enabling a greater integration of solar and other renewable energy. ESSs allow for solar power generated during daylight hours to be stored for use during peak demand periods. Additionally, the proposed framework provides guidance for large-scale ESS infrastructure planning and investments to support Oman’s renewable energy goals. As the global renewable energy market grows rapidly and Oman implements economic reforms, the ESS market is expected to flourish in Oman. In the near future, ESS is expected to contribute to lower electricity costs and enhance stability compared to traditional energy systems. While ESS technologies have been studied broadly, there is a lack of comprehensive analysis for optimal ESS selection tailored to Oman’s unique geographical, technical, and policy context. The main objective of this study is to provide a comprehensive evaluation of ESS options and identify the type(s) most suitable for integration with Oman’s national grid using a multi-criteria decision-making (MCDM) methodology. This study addresses this gap by applying the Hesitate Fuzzy Analyt</w:t>
      </w:r>
    </w:p>
    <w:p>
      <w:pPr/>
      <w:r>
        <w:rPr>
          <w:b/>
        </w:rPr>
        <w:t>POSSIBLE 2024:</w:t>
      </w:r>
      <w:r>
        <w:t xml:space="preserve"> Renewable Energy Preferences of European Countries and Türkiye: Use of Multi-Criteria Decision Making — https://doi.org/10.1007/s40866-024-00194-5</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Decision-making in Transition to Sustainable Energy — https://doi.org/10.7250/9789934229091</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The goal of the Thesis is to create an algorithm of decision-making, which takes into account existing knowledge about barriers and policies that hamper or facilitate development of sustainable energy by focusing on identifying and analysing stages and steps of decision-making throughout policy lifecycle, as well as identifying suitable methods of analysis at each stage and step of making decisions to support decision-making about energy and climate policy, and integrating those in the decision-making process with the purpose of ensuring a policy lifecycle leading to sustainable energy system.</w:t>
      </w:r>
    </w:p>
    <w:p>
      <w:pPr/>
      <w:r>
        <w:rPr>
          <w:b/>
        </w:rPr>
        <w:t>POSSIBLE 2023:</w:t>
      </w:r>
      <w:r>
        <w:t xml:space="preserve"> Multiplayer game for decision-making in energy communities — https://doi.org/10.54337/ijsepm.7549</w:t>
      </w:r>
    </w:p>
    <w:p>
      <w:pPr/>
      <w:r>
        <w:rPr>
          <w:b/>
        </w:rPr>
        <w:t>Shared claim-specific concepts:</w:t>
      </w:r>
      <w:r>
        <w:t xml:space="preserve"> decision-making, energy, goals; EU scope not established. This is a provisional connection, not an outcome finding.</w:t>
      </w:r>
    </w:p>
    <w:p>
      <w:pPr>
        <w:pStyle w:val="SourceNote"/>
      </w:pPr>
      <w:r>
        <w:rPr>
          <w:b/>
        </w:rPr>
        <w:t>Available abstract (not full text):</w:t>
      </w:r>
      <w:r>
        <w:t xml:space="preserve"> Energy communities are widely studied from various perspectives, especially in the context of geopolitical events of recent years, when humanity is faced with the need for urgent solutions to promote climate change and alleviate the crisis of energy resources. Although citizens' interest in the use of renewable resources has gradually grown, energy policy support measures for more active participation of society in the implementation of energy efficiency measures are still being implemented with variable success, especially through mutual agreement. Serious games are a rapidly growing tool for awareness and collaboration on a single platform for gamers seeking solutions to energy resource optimization issues. The paper focuses on energy community versus energy use practices, trends, and intervention strategies in multifamily residential blocks, using serious gaming and direct user online feedback. This study uses a multi-player simulation tool to enable the modelling of scenarios for energy efficiency measures for apartment building block residents and energy community target goals for decision-making decisions. User experience and game mechanics were tested on a pre-selected group. The results indicate positive feedback, including a practical application for both energy community and professionals, and provide valuable recommendations for further research and improvement of th</w:t>
      </w:r>
    </w:p>
    <w:p>
      <w:pPr/>
      <w:r>
        <w:rPr>
          <w:b/>
        </w:rPr>
        <w:t>POSSIBLE 2023:</w:t>
      </w:r>
      <w:r>
        <w:t xml:space="preserve"> Digital product passports for a circular economy: Data needs for product life cycle decision-making — https://doi.org/10.1016/j.spc.2023.02.021</w:t>
      </w:r>
    </w:p>
    <w:p>
      <w:pPr/>
      <w:r>
        <w:rPr>
          <w:b/>
        </w:rPr>
        <w:t>Shared claim-specific concepts:</w:t>
      </w:r>
      <w:r>
        <w:t xml:space="preserve"> decision-making, economy, three; EU scope not established. This is a provisional connection, not an outcome finding.</w:t>
      </w:r>
    </w:p>
    <w:p>
      <w:pPr>
        <w:pStyle w:val="SourceNote"/>
      </w:pPr>
      <w:r>
        <w:rPr>
          <w:b/>
        </w:rPr>
        <w:t>Available abstract (not full text):</w:t>
      </w:r>
      <w:r>
        <w:t xml:space="preserve"> Digital product passports have been proposed as a policy instrument to enable decision-making throughout product life cycles in favour of a circular economy. However, due to nascent conceptualisation and weak industrial embeddedness, the contents of such an instrument are a source of uncertainty. Situated in a mechatronics context, this multiple-case study explores the data needs for digital product passports. Extant research reveals seven data clusters: (1) usage and maintenance, (2) product identification, (3) products and materials, (4) guidelines and manuals, (5) supply chain and reverse logistics, (6) environmental data and (7) compliance. To contextualise these clusters, interviews with three original equipment manufacturers (OEMs) as well as their respective customers, service partners, suppliers and third-party recycling companies were conducted. Through a survey, each specific data point was assessed in terms of importance, availability and sensitivity. The findings show differentiating needs for data across these actors, yet the exchange of data and its supporting infrastructure for closing resource loops remain at low maturity. Consequently, policymakers are recommended to roll out digital product passports in gradual stages, while industrial managers should proactively reconfigure data flows to account for decision-making in a reverse supply chain. Future research i</w:t>
      </w:r>
    </w:p>
    <w:p>
      <w:pPr/>
      <w:r>
        <w:rPr>
          <w:b/>
        </w:rPr>
        <w:t>POSSIBLE 2023:</w:t>
      </w:r>
      <w:r>
        <w:t xml:space="preserve"> DanRETwin: A Digital Twin Solution for Optimal Energy Retrofit Decision-Making and Decarbonization of the Danish Building Stock — https://doi.org/10.3390/app13179778</w:t>
      </w:r>
    </w:p>
    <w:p>
      <w:pPr/>
      <w:r>
        <w:rPr>
          <w:b/>
        </w:rPr>
        <w:t>Shared claim-specific concepts:</w:t>
      </w:r>
      <w:r>
        <w:t xml:space="preserve"> decision-making, energy, challenging, assumptions; EU scope not established. This is a provisional connection, not an outcome finding.</w:t>
      </w:r>
    </w:p>
    <w:p>
      <w:pPr>
        <w:pStyle w:val="SourceNote"/>
      </w:pPr>
      <w:r>
        <w:rPr>
          <w:b/>
        </w:rPr>
        <w:t>Available abstract (not full text):</w:t>
      </w:r>
      <w:r>
        <w:t xml:space="preserve"> The current trend in renovating existing buildings is to perform retrofits on a case-by-case basis without a systematic assessment, using static tools with broad assumptions and generic inputs. As a result, only about 1% of the building stock undergoes energy renovations each year. To address this issue, new approaches and modern tools are necessary to enhance and expedite energy retrofits in Danish buildings. While there were a few initiatives and projects exploring the implementation of digital twins in building applications, the focus is primarily on newly constructed, highly energy-efficient buildings with integrated building information models (BIM). Conversely, existing and older buildings often lack any form of digital modeling, making it challenging to implement digital twins in those contexts. This paper presents an innovative digital twin solution, ‘DanRETwin’, which will provide decision-making support, retro-commissioning, and data-driven performance optimization for non-residential existing buildings. The proposed solution will utilize building operational data, employing machine learning and artificial intelligence techniques to develop scalable data-driven models of building energy. Additionally, clamp-on IoT sensors will be used for data collection, enabling a fully automated and flexible solution. By utilizing DanRETwin, building owners will enjoy higher energy</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transition, pathway, energy, economy;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pStyle w:val="Heading2"/>
      </w:pPr>
      <w:r>
        <w:t>708.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2026:</w:t>
      </w:r>
      <w:r>
        <w:t xml:space="preserve"> Emergent constraint indicates forced decline in European winter windstorm frequency — https://doi.org/10.1088/1748-9326/ae845f</w:t>
      </w:r>
    </w:p>
    <w:p>
      <w:pPr/>
      <w:r>
        <w:rPr>
          <w:b/>
        </w:rPr>
        <w:t>Shared claim-specific concepts:</w:t>
      </w:r>
      <w:r>
        <w:t xml:space="preserve"> frequency, deeper, forced, ensemble, climate, projections; EU scope visible. This is a provisional connection, not an outcome finding.</w:t>
      </w:r>
    </w:p>
    <w:p>
      <w:pPr>
        <w:pStyle w:val="SourceNote"/>
      </w:pPr>
      <w:r>
        <w:rPr>
          <w:b/>
        </w:rPr>
        <w:t>Available abstract (not full text):</w:t>
      </w:r>
      <w:r>
        <w:t xml:space="preserve"> Abstract Windstorms are among the most damaging natural hazards during western Europe winter, yet large inter-model spread limits robust assessment of future frequency changes. We show that the historical Northern Hemisphere mid-latitude meridional pressure gradient, defined as the zonal index (ZI), explains much of the inter-model variability in projected winter windstorm frequency across 20 climate model realizations. Constraining projections using the ZI reduces uncertainty by 29% and lowers the likelihood of increasing windstorm frequency more than threefold. The constrained ensemble indicates a robust decline in pan-European windstorm frequency over the twenty-first century ( − 4.5 % ∘ C − 1 ± 3.4). A plausible mechanism involves coupled atmosphere–ocean feedbacks: more zonal models develop deeper North Atlantic mixed layers and a stronger North Atlantic warming hole, enhancing baroclinicity and promoting a jet extension over Europe. These results suggest extreme increases in windstorm frequency are unlikely, despite projected increases in storm severity, with important implications for future loss and impact assessments.</w:t>
      </w:r>
    </w:p>
    <w:p>
      <w:pPr/>
      <w:r>
        <w:rPr>
          <w:b/>
        </w:rPr>
        <w:t>POSSIBLE 2026:</w:t>
      </w:r>
      <w:r>
        <w:t xml:space="preserve"> Increased Frequency, Duration, and Area of Winter Polynyas North of Greenland in a Warming Climate — https://doi.org/10.1029/2025gl121125</w:t>
      </w:r>
    </w:p>
    <w:p>
      <w:pPr/>
      <w:r>
        <w:rPr>
          <w:b/>
        </w:rPr>
        <w:t>Shared claim-specific concepts:</w:t>
      </w:r>
      <w:r>
        <w:t xml:space="preserve"> frequency, ice, increase, climate, projections; EU scope not established. This is a provisional connection, not an outcome finding.</w:t>
      </w:r>
    </w:p>
    <w:p>
      <w:pPr>
        <w:pStyle w:val="SourceNote"/>
      </w:pPr>
      <w:r>
        <w:rPr>
          <w:b/>
        </w:rPr>
        <w:t>Available abstract (not full text):</w:t>
      </w:r>
      <w:r>
        <w:t xml:space="preserve"> Abstract Polynyas play a crucial role in the polar marine ecosystems and climate system. Four winter polynya events north of Greenland have been observed, but the response of winter polynyas to climate warming remains unknown. This study investigates projected changes in winter polynyas in the Wandel Sea north of Greenland using the AWI‐CM3 climate model, which features 2‐km ocean‐ice resolution in the Arctic. We show that the model successfully simulates the main characteristics of observed polynyas. Future projections indicate that, under continued climate warming, winter polynyas will increase substantially in frequency, duration, and spatial extent once sea ice thickness falls below approximately 1.5 m. By 2100, polynyas could occur up to twice per winter, with a winter total duration exceeding 15 days under the SSP5‐8.5 scenario. Our analysis indicates that sea ice thinning is likely the primary cause of these changes, as it reduces ice strength and enhances ice mobility.</w:t>
      </w:r>
    </w:p>
    <w:p>
      <w:pPr/>
      <w:r>
        <w:rPr>
          <w:b/>
        </w:rPr>
        <w:t>POSSIBLE 2025:</w:t>
      </w:r>
      <w:r>
        <w:t xml:space="preserve"> Widespread Increase in Atmospheric River Frequency and Impacts Over the 20th Century — https://doi.org/10.1029/2025av001888</w:t>
      </w:r>
    </w:p>
    <w:p>
      <w:pPr/>
      <w:r>
        <w:rPr>
          <w:b/>
        </w:rPr>
        <w:t>Shared claim-specific concepts:</w:t>
      </w:r>
      <w:r>
        <w:t xml:space="preserve"> frequency, increase, about, climate, projections; EU scope not established. This is a provisional connection, not an outcome finding.</w:t>
      </w:r>
    </w:p>
    <w:p>
      <w:pPr>
        <w:pStyle w:val="SourceNote"/>
      </w:pPr>
      <w:r>
        <w:rPr>
          <w:b/>
        </w:rPr>
        <w:t>Available abstract (not full text):</w:t>
      </w:r>
      <w:r>
        <w:t xml:space="preserve"> Abstract Atmospheric rivers (ARs) play a dominant role in water resource availability in many regions, and can cause substantial hazards, including extreme precipitation, flooding, and moist heatwaves. Despite this, there is substantial uncertainty about recent and ongoing changes in AR frequency and impacts. Here, we place recent observed trends in their longer‐term context using AR records extending back to 1940. Our results show that AR frequency has increased broadly across the midlatitudes, bridging the apparent discrepancy between the observed satellite‐era poleward shift and the general increase simulated in climate change projections. This increase in AR frequency enhances AR‐associated precipitation and snowfall across their region of influence in the mid‐ and high‐latitudes. We also find that, despite warmer surface temperatures associated with ARs, there is a decrease in the magnitude of AR‐associated temperature anomalies in high‐latitude regions due to Arctic amplification. An increase in AR‐associated humid heatwaves underscores the societal importance of changing AR activity.</w:t>
      </w:r>
    </w:p>
    <w:p>
      <w:pPr/>
      <w:r>
        <w:rPr>
          <w:b/>
        </w:rPr>
        <w:t>POSSIBLE 2025:</w:t>
      </w:r>
      <w:r>
        <w:t xml:space="preserve"> Increased frequency of planetary wave resonance events over the past half-century — https://doi.org/10.1073/pnas.2504482122</w:t>
      </w:r>
    </w:p>
    <w:p>
      <w:pPr/>
      <w:r>
        <w:rPr>
          <w:b/>
        </w:rPr>
        <w:t>Shared claim-specific concepts:</w:t>
      </w:r>
      <w:r>
        <w:t xml:space="preserve"> frequency, increase, climate; EU scope not established. This is a provisional connection, not an outcome finding.</w:t>
      </w:r>
    </w:p>
    <w:p>
      <w:pPr>
        <w:pStyle w:val="SourceNote"/>
      </w:pPr>
      <w:r>
        <w:rPr>
          <w:b/>
        </w:rPr>
        <w:t>Available abstract (not full text):</w:t>
      </w:r>
      <w:r>
        <w:t xml:space="preserve"> We demonstrate a tripling in the frequency of planetary wave resonance events over the past halfcentury, coinciding with the rise in persistent boreal summer weather extremes. This increase aligns with changes in the underlying climate conditions favoring these events, including amplified Arctic warming and land-sea thermal contrast. We also observe increased prevalence of resonant amplification events following the mature phase of strong El Niño events, suggesting that such events may precondition the mean state conditions in ways that favor large-scale quasi-stationary wave patterns and quasi-resonant wave amplification. Since the impact of anthropogenic warming on quasi-resonant amplification is not well captured by current-generation climate models, it is likely that models are underpredicting the potential increase, indicating even greater risk of persistent extreme summer weather events with ongoing warming.</w:t>
      </w:r>
    </w:p>
    <w:p>
      <w:pPr/>
      <w:r>
        <w:rPr>
          <w:b/>
        </w:rPr>
        <w:t>POSSIBLE 2024:</w:t>
      </w:r>
      <w:r>
        <w:t xml:space="preserve"> Winter thunderstorms in Poland (1951–2020) — https://doi.org/10.2478/environ-2024-0021</w:t>
      </w:r>
    </w:p>
    <w:p>
      <w:pPr/>
      <w:r>
        <w:rPr>
          <w:b/>
        </w:rPr>
        <w:t>Shared claim-specific concepts:</w:t>
      </w:r>
      <w:r>
        <w:t xml:space="preserve"> frequency, increase, rare, climate; EU scope visible. This is a provisional connection, not an outcome finding.</w:t>
      </w:r>
    </w:p>
    <w:p>
      <w:pPr>
        <w:pStyle w:val="SourceNote"/>
      </w:pPr>
      <w:r>
        <w:rPr>
          <w:b/>
        </w:rPr>
        <w:t>Available abstract (not full text):</w:t>
      </w:r>
      <w:r>
        <w:t xml:space="preserve"> Abstract One of the climate changes observed in mid-latitudes is the increase in the frequency of winter thunderstorms. These changes are also observed in Poland. For this reason, this study presents changes in the occurrence of thunderstorms in the cold half of the year and in winter in Poland from 1951 to 2020. The synoptic and thermodynamic conditions in the atmosphere, accompanied by particularly strong thunderstorms at this time of year, were also analysed based on selected cases of winter thun derstorms. The research was carried out on the basis of data from 46 synoptic stations, and the basic indicator was a day with a thunderstorm. Additionally, three cases of dangerous winter thunderstorms that occurred in Poland in the 21st century were analysed. For this purpose, synoptic maps, data from ERA5 reanalyses, aerological data and reports from the European Severe Weather Database were analysed. On this basis, it was found that there was a clear spatial differentiation of thunderstorms occurring in the cold half of the year, which in some regions of the country accounted for even more than 8% of all cases in the year. Although these thunderstorms are extremely rare, there are signs of an increase in their frequency during the studyperiod. The strongest influence on the occurrence of these phenomena in the cold season is air circulation and local conditions. Most of the thun</w:t>
      </w:r>
    </w:p>
    <w:p>
      <w:pPr/>
      <w:r>
        <w:rPr>
          <w:b/>
        </w:rPr>
        <w:t>POSSIBLE 2023:</w:t>
      </w:r>
      <w:r>
        <w:t xml:space="preserve"> The Mid-Pleistocene Climate Transition — https://doi.org/10.1146/annurev-earth-032320-104209</w:t>
      </w:r>
    </w:p>
    <w:p>
      <w:pPr/>
      <w:r>
        <w:rPr>
          <w:b/>
        </w:rPr>
        <w:t>Shared claim-specific concepts:</w:t>
      </w:r>
      <w:r>
        <w:t xml:space="preserve"> ice, about, climate; EU scope not established. This is a provisional connection, not an outcome finding.</w:t>
      </w:r>
    </w:p>
    <w:p>
      <w:pPr>
        <w:pStyle w:val="SourceNote"/>
      </w:pPr>
      <w:r>
        <w:rPr>
          <w:b/>
        </w:rPr>
        <w:t>Available abstract (not full text):</w:t>
      </w:r>
      <w:r>
        <w:t xml:space="preserve"> The timing of ice ages over the past ∼2,600 thousand years (kyr) follows pacing by cyclical changes in three aspects of Earth's orbit that influence the solar energy received as a function of latitude and season. Explaining the large magnitude of the climate changes is challenging, particularly so across the period of time from ∼1,250 to 750 ka—the Mid-Pleistocene Transition or MPT. The average repeat time of ice age cycles changed from an earlier 41-kyr rhythm to longer and more intense glaciations at a spacing of about 100 kyr. Explaining this change is very difficult because there was no corresponding change in the orbital pacing that would trigger a change in timing. While the first generation of hypotheses looked largely to changes in the behavior of Northern Hemisphere ice sheets, more recent work integrates ice behavior with new data capturing the evolution of other important aspects of past climate. A full explanation is still lacking, but attention increasingly focuses on the ocean carbon cycle and atmospheric CO2 levels as the crucial agents involved in the MPT. ▪The pattern of climate changes connected to the ice ages of the past few million years changed radically between about 1,250 and 750 thousand years ago, a time known as the Mid-Pleistocene Transition or MPT.▪While the glacial cycles were ultimately triggered by cyclical changes in Earth's orbit, the changes a</w:t>
      </w:r>
    </w:p>
    <w:p>
      <w:pPr/>
      <w:r>
        <w:rPr>
          <w:b/>
        </w:rPr>
        <w:t>POSSIBLE 2023:</w:t>
      </w:r>
      <w:r>
        <w:t xml:space="preserve"> Winter heavy precipitation events over Northern Europe modulated by a weaker NAO variability by the end of the 21st century — https://doi.org/10.1038/s41612-023-00396-1</w:t>
      </w:r>
    </w:p>
    <w:p>
      <w:pPr/>
      <w:r>
        <w:rPr>
          <w:b/>
        </w:rPr>
        <w:t>Shared claim-specific concepts:</w:t>
      </w:r>
      <w:r>
        <w:t xml:space="preserve"> two, ensemble; EU scope visible. This is a provisional connection, not an outcome finding.</w:t>
      </w:r>
    </w:p>
    <w:p>
      <w:pPr>
        <w:pStyle w:val="SourceNote"/>
      </w:pPr>
      <w:r>
        <w:rPr>
          <w:b/>
        </w:rPr>
        <w:t>Available abstract (not full text):</w:t>
      </w:r>
      <w:r>
        <w:t xml:space="preserve"> Abstract We use an ensemble of models participating in the Coupled Model Intercomparison Project phase 6 (CMIP6) to analyse the number of days with extreme winter precipitation over Northern Europe and its relationship to the North Atlantic Oscillation (NAO), for the historical period 1950–2014 and two future 21st-century scenarios. Here we find that over Northern Europe, the models project twice more extreme precipitation days by the end of the 21st century under the high-emission scenario compared to the historical period. We also find a weakening of the NAO variability in the second half of the 21st century in the high greenhouse gas emission scenario compared to the historical period, as well as an increasing correlation between extreme winter precipitation events and the NAO index in both future scenarios. Models with a projected decrease in the NAO variability across the 21st century show a positive trend in the number of days with extreme winter precipitation over Northern Europe. These results highlight the role played by NAO in modulating extreme winter precipitation events.</w:t>
      </w:r>
    </w:p>
    <w:p>
      <w:pPr/>
      <w:r>
        <w:rPr>
          <w:b/>
        </w:rPr>
        <w:t>POSSIBLE 2022:</w:t>
      </w:r>
      <w:r>
        <w:t xml:space="preserve"> Global wood anatomical perspective on the onset of the Late Antique Little Ice Age (LALIA) in the mid-6th century CE — https://doi.org/10.1016/j.scib.2022.10.019</w:t>
      </w:r>
    </w:p>
    <w:p>
      <w:pPr/>
      <w:r>
        <w:rPr>
          <w:b/>
        </w:rPr>
        <w:t>Shared claim-specific concepts:</w:t>
      </w:r>
      <w:r>
        <w:t xml:space="preserve"> ice, two, climate; EU scope not established. This is a provisional connection, not an outcome finding.</w:t>
      </w:r>
    </w:p>
    <w:p>
      <w:pPr>
        <w:pStyle w:val="SourceNote"/>
      </w:pPr>
      <w:r>
        <w:rPr>
          <w:b/>
        </w:rPr>
        <w:t>Available abstract (not full text):</w:t>
      </w:r>
      <w:r>
        <w:t xml:space="preserve"> Linked to major volcanic eruptions around 536 and 540 CE, the onset of the Late Antique Little Ice Age has been described as the coldest period of the past two millennia. The exact timing and spatial extent of this exceptional cold phase are, however, still under debate because of the limited resolution and geographical distribution of the available proxy archives. Here, we use 106 wood anatomical thin sections from 23 forest sites and 20 tree species in both hemispheres to search for cell-level fingerprints of ephemeral summer cooling between 530 and 550 CE. After cross-dating and double-staining, we identified 89 Blue Rings (lack of cell wall lignification), nine Frost Rings (cell deformation and collapse), and 93 Light Rings (reduced cell wall thickening) in the Northern Hemisphere. Our network reveals evidence for the strongest temperature depression between mid-July and early-August 536 CE across North America and Eurasia, whereas more localised cold spells occurred in the summers of 532, 540-43, and 548 CE. The lack of anatomical signatures in the austral trees suggests limited incursion of stratospheric volcanic aerosol into the Southern Hemisphere extra-tropics, that any forcing was mitigated by atmosphere-ocean dynamical responses and/or concentrated outside the growing season, or a combination of factors. Our findings demonstrate the advantage of wood anatomical inves</w:t>
      </w:r>
    </w:p>
    <w:p>
      <w:pPr/>
      <w:r>
        <w:rPr>
          <w:b/>
        </w:rPr>
        <w:t>POSSIBLE 2022:</w:t>
      </w:r>
      <w:r>
        <w:t xml:space="preserve"> Tunnel valley formation beneath deglaciating mid-latitude ice sheets: Observations and modelling — https://doi.org/10.1016/j.quascirev.2022.107680</w:t>
      </w:r>
    </w:p>
    <w:p>
      <w:pPr/>
      <w:r>
        <w:rPr>
          <w:b/>
        </w:rPr>
        <w:t>Shared claim-specific concepts:</w:t>
      </w:r>
      <w:r>
        <w:t xml:space="preserve"> ice, climate; EU scope not established. This is a provisional connection, not an outcome finding.</w:t>
      </w:r>
    </w:p>
    <w:p>
      <w:pPr>
        <w:pStyle w:val="SourceNote"/>
      </w:pPr>
      <w:r>
        <w:rPr>
          <w:b/>
        </w:rPr>
        <w:t>Available abstract (not full text):</w:t>
      </w:r>
      <w:r>
        <w:t xml:space="preserve"> The geological record of landforms and sediments produced beneath deglaciating ice sheets offers insights into inaccessible glacial processes. Large subglacial valleys formed by meltwater erosion of sediments (tunnel valleys) are widespread in formerly glaciated regions such as the North Sea. Obtaining a better understanding of these features may help with the parameterisation of basal melt rates and the interplay between basal hydrology and ice dynamics in numerical models of past, present, and future ice-sheet configurations. However, the mechanisms and timescales over which tunnel valleys form remain poorly constrained. Here, we present a series of numerical modelling experiments, informed by new observations from high-resolution 3D seismic data (6.25 m bin size, ∼4 m vertical resolution), which test different hypotheses of tunnel valley formation and calculate subglacial water routing, seasonal water discharges, and the rates at which tunnel valleys are eroded beneath deglaciating ice sheets. Networks of smaller or abandoned channels, pervasive slump deposits, and subglacial landforms are imaged inside and at the base of larger tunnel valleys, indicating that these tunnel valleys were carved through the action of migrating smaller channels within tens of kilometres of the ice margin and were later widened by ice-contact erosion. Our model results imply that the drainage of </w:t>
      </w:r>
    </w:p>
    <w:p>
      <w:pPr/>
      <w:r>
        <w:rPr>
          <w:b/>
        </w:rPr>
        <w:t>POSSIBLE 2022:</w:t>
      </w:r>
      <w:r>
        <w:t xml:space="preserve"> Split westerlies over Europe in the early Little Ice Age — https://doi.org/10.1038/s41467-022-32654-w</w:t>
      </w:r>
    </w:p>
    <w:p>
      <w:pPr/>
      <w:r>
        <w:rPr>
          <w:b/>
        </w:rPr>
        <w:t>Shared claim-specific concepts:</w:t>
      </w:r>
      <w:r>
        <w:t xml:space="preserve"> ice, cover, climate; EU scope visible. This is a provisional connection, not an outcome finding.</w:t>
      </w:r>
    </w:p>
    <w:p>
      <w:pPr>
        <w:pStyle w:val="SourceNote"/>
      </w:pPr>
      <w:r>
        <w:rPr>
          <w:b/>
        </w:rPr>
        <w:t>Available abstract (not full text):</w:t>
      </w:r>
      <w:r>
        <w:t xml:space="preserve"> Abstract The Little Ice Age (LIA) was the coldest period of the past millennium, characterized by high-density volcanism, low solar activity, and increased Northern Hemisphere sea-ice cover. Past studies of LIA circulation changes over the North Atlantic sector have typically referenced the North Atlantic Oscillation (NAO), though recent studies have noted that LIA climate patterns appear to be possess complexity not captured by an NAO analog. Here, we present a new precipitation-sensitive stalagmite record from northern Italy that covers the past 800 years at high resolution. Combined with terrestrial and marine records in the North Atlantic realm, we show that in the early LIA (1470-1610 C.E.), a multi-decadal scale atmospheric blocking over northern Europe split the westerlies away from central and northern Europe, and towards the Arctic and the Mediterranean. This enhanced blocking results in a cold and dry climate over central and northern Europe, and wetter conditions over the Mediterranean. The LIA atmospheric blocking could be caused by the concurrent sea-ice reduction in the Arctic and the Spörer solar minimum. With ongoing ice melting in the northern high latitudes and decreasing solar irradiance in the coming years, the early LIA may potentially serve as an analog for European hydroclimatic conditions in the coming decades.</w:t>
      </w:r>
    </w:p>
    <w:p>
      <w:pPr/>
      <w:r>
        <w:rPr>
          <w:b/>
        </w:rPr>
        <w:t>POSSIBLE 2022:</w:t>
      </w:r>
      <w:r>
        <w:t xml:space="preserve"> Global tree-ring response and inferred climate variation following the mid-thirteenth century Samalas eruption — https://doi.org/10.1007/s00382-022-06141-3</w:t>
      </w:r>
    </w:p>
    <w:p>
      <w:pPr/>
      <w:r>
        <w:rPr>
          <w:b/>
        </w:rPr>
        <w:t>Shared claim-specific concepts:</w:t>
      </w:r>
      <w:r>
        <w:t xml:space="preserve"> predominantly, climate; EU scope visible. This is a provisional connection, not an outcome finding.</w:t>
      </w:r>
    </w:p>
    <w:p>
      <w:pPr>
        <w:pStyle w:val="SourceNote"/>
      </w:pPr>
      <w:r>
        <w:rPr>
          <w:b/>
        </w:rPr>
        <w:t>Available abstract (not full text):</w:t>
      </w:r>
      <w:r>
        <w:t xml:space="preserve"> Abstract The largest explosive volcanic eruption of the Common Era in terms of estimated sulphur yield to the stratosphere was identified in glaciochemical records 40 years ago, and dates to the mid-thirteenth century. Despite eventual attribution to the Samalas (Rinjani) volcano in Indonesia, the eruption date remains uncertain, and the climate response only partially understood. Seeking a more global perspective on summer surface temperature and hydroclimate change following the eruption, we present an analysis of 249 tree-ring chronologies spanning the thirteenth century and representing all continents except Antarctica. Of the 170 predominantly temperature sensitive high-frequency chronologies, the earliest hints of boreal summer cooling are the growth depressions found at sites in the western US and Canada in 1257 CE. If this response is a result of Samalas, it would be consistent with an eruption window of circa May–July 1257 CE. More widespread summer cooling across the mid-latitudes of North America and Eurasia is pronounced in 1258, while records from Scandinavia and Siberia reveal peak cooling in 1259. In contrast to the marked post-Samalas temperature response at high-elevation sites in the Northern Hemisphere, no strong hydroclimatic anomalies emerge from the 79 precipitation-sensitive chronologies. Although our findings remain spatially biased towards the western U</w:t>
      </w:r>
    </w:p>
    <w:p>
      <w:pPr/>
      <w:r>
        <w:rPr>
          <w:b/>
        </w:rPr>
        <w:t>POSSIBLE 2022:</w:t>
      </w:r>
      <w:r>
        <w:t xml:space="preserve"> Tricentennial trends in spring ice break-ups on three rivers in northern Europe — https://doi.org/10.5194/tc-16-2881-2022</w:t>
      </w:r>
    </w:p>
    <w:p>
      <w:pPr/>
      <w:r>
        <w:rPr>
          <w:b/>
        </w:rPr>
        <w:t>Shared claim-specific concepts:</w:t>
      </w:r>
      <w:r>
        <w:t xml:space="preserve"> ice, cover, two; EU scope visible. This is a provisional connection, not an outcome finding.</w:t>
      </w:r>
    </w:p>
    <w:p>
      <w:pPr>
        <w:pStyle w:val="SourceNote"/>
      </w:pPr>
      <w:r>
        <w:rPr>
          <w:b/>
        </w:rPr>
        <w:t>Available abstract (not full text):</w:t>
      </w:r>
      <w:r>
        <w:t xml:space="preserve"> Abstract. In Finland, ice breakup observations have been recorded for centuries for Aura River (1749–2020), Torne River (1693–2020) and Kokemäki River (1793–2020). The Kokemäki River is a newly revised, extended, and updated ice breakup series from Pori. The Spearman analysis shows that the correlation between Aura and Kokemäki rivers is strong, while the correlation between the two southern rivers (Aura and Kokemäki) and Torne River is weaker. The difference is attributed to the longitudinal distance between the rivers. Temperature correlations are strong for all three rivers and the long-term trends towards earlier breakups are statistically significant. Aura and Kokemäki rivers show considerable changes. Aura and Kokemäki river have had two respectively three years without a complete ice cover in the 21st century. These are the first non-freeze events in over 270 years of recorded observations. In Torne River, however, the earliest recorded breakup date has changed only marginally the last 100 years. Moreover, the earliest recorded breakup date in the 21st century occurred only five days earlier than the earliest breakup date in the 18th century. Kokemäki River did not escape the hydroelectric power plant boom in the mid-1900s, and this has speeded up the breakup process. A qualitative analysis shows that exceptionally late ice breakups occurred in all three rivers in 1807, </w:t>
      </w:r>
    </w:p>
    <w:p>
      <w:pPr>
        <w:pStyle w:val="Heading2"/>
      </w:pPr>
      <w:r>
        <w:t>709.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2023:</w:t>
      </w:r>
      <w:r>
        <w:t xml:space="preserve"> Farmland practices are driving bird population decline across Europe — https://doi.org/10.1073/pnas.2216573120</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Crime and Punishment—Crime Rates and Prison Population in Europe — https://doi.org/10.3390/laws12010019</w:t>
      </w:r>
    </w:p>
    <w:p>
      <w:pPr/>
      <w:r>
        <w:rPr>
          <w:b/>
        </w:rPr>
        <w:t>Shared claim-specific concepts:</w:t>
      </w:r>
      <w:r>
        <w:t xml:space="preserve"> here, terms, populations; EU scope visible. This is a provisional connection, not an outcome finding.</w:t>
      </w:r>
    </w:p>
    <w:p>
      <w:pPr>
        <w:pStyle w:val="SourceNote"/>
      </w:pPr>
      <w:r>
        <w:rPr>
          <w:b/>
        </w:rPr>
        <w:t>Available abstract (not full text):</w:t>
      </w:r>
      <w:r>
        <w:t xml:space="preserve"> This paper presents an attempt at establishing an association between crime levels and prison populations across European countries. We observe that the situation in Central and Eastern European countries differs distinctly from the rest of Europe. Building on this, we offer justification that is methodologically based on correlations and regressions of country incarceration rates on crime rates, with reference to governance indicators. Our cross-sectional analysis uses data on crime and prisoner rates by offence from Eurostat and SPACE for the year 2018. The paper’s empirical analysis is preceded by a discussion of the challenges faced when attempting to compare crime between countries in Europe. A review of research focused on relationships between incarceration and crime follows, with the emphasis on the deterrence effect and the prison paradox. Typically, this stream of research uses microdata covering a single country or limited to a smaller geographic area. International comparisons are rare, and are usually based on time series and trend analyses. The quantitative approach applied here is based on recognizing two clusters of countries: the Central and Eastern European (CEE) cluster and the Western European (WE) cluster. We show that the observation of higher prisoner rates and lower crime rates for CEE countries is confirmed with regression analysis. Our study encompasse</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like, system;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Neolithization and Population Replacement in Britain: An Alternative View — https://doi.org/10.1017/s0959774321000639</w:t>
      </w:r>
    </w:p>
    <w:p>
      <w:pPr/>
      <w:r>
        <w:rPr>
          <w:b/>
        </w:rPr>
        <w:t>Shared claim-specific concepts:</w:t>
      </w:r>
      <w:r>
        <w:t xml:space="preserve"> here, alternative, populations; EU scope visible. This is a provisional connection, not an outcome finding.</w:t>
      </w:r>
    </w:p>
    <w:p>
      <w:pPr>
        <w:pStyle w:val="SourceNote"/>
      </w:pPr>
      <w:r>
        <w:rPr>
          <w:b/>
        </w:rPr>
        <w:t>Available abstract (not full text):</w:t>
      </w:r>
      <w:r>
        <w:t xml:space="preserve"> Investigation of British Mesolithic and Neolithic genomes suggests discontinuity between the two and has been interpreted as indicating a significant migration of continental farmers, displacing the indigenous population. These incomers had already acquired some hunter-gatherer genetic heritage before their arrival, and this increased little in Britain. However, the proportion of hunter-gatherer genetic ancestry in British Neolithic genomes is generally greater than for most contemporary examples on the continent, particularly in emerging evidence from northern France, while the ultimate origin of British Neolithic populations in Iberia is open to question. Both the date calculated for the arrival of new people in Britain and their westerly origin are at odds with other aspects of the existing evidence. Here, a two-phase model of Neolithization is proposed. The first appearance of Neolithic things and practices significantly predated a more substantial transfer of population, creating the conditions under which new communities could be brought into being. The rather later establishment of a major migration stream coincided with an acceleration in the spread of Neolithic artefacts and activities, as well as an enrichment of the Neolithic material assemblage.</w:t>
      </w:r>
    </w:p>
    <w:p>
      <w:pPr/>
      <w:r>
        <w:rPr>
          <w:b/>
        </w:rPr>
        <w:t>POSSIBLE 2022:</w:t>
      </w:r>
      <w:r>
        <w:t xml:space="preserve"> Voluntary (NGO) Sector’s Involvement in Health Promotion for Older Population in Europe — https://doi.org/10.2427/12420</w:t>
      </w:r>
    </w:p>
    <w:p>
      <w:pPr/>
      <w:r>
        <w:rPr>
          <w:b/>
        </w:rPr>
        <w:t>Shared claim-specific concepts:</w:t>
      </w:r>
      <w:r>
        <w:t xml:space="preserve"> alternative, system, not; EU scope visible. This is a provisional connection, not an outcome finding.</w:t>
      </w:r>
    </w:p>
    <w:p>
      <w:pPr>
        <w:pStyle w:val="SourceNote"/>
      </w:pPr>
      <w:r>
        <w:rPr>
          <w:b/>
        </w:rPr>
        <w:t>Available abstract (not full text):</w:t>
      </w:r>
      <w:r>
        <w:t xml:space="preserve"> Background and objective: The NGO’s (non-governmental organisations’) role in health promotion is very much praised and encouraged. The basic features of this sector, namely social participation, voluntary activity and self-help, are by default considered as beneficial for health promotion for older people. New policy approaches stimulate NGOs involvement in it. This makes questions about this involvement – its role, context and success – increasingly relevant. Method: The research is based on narrative literature review as well as interviews and consultations with informers (practitioners and experts) in selected European countries. Results: Voluntary/NGO sector increases its role as a complimentary or alternative source of health promotion for older people in Europe. Its involvement, roles and functions as well as actual significance, however, depends on a number of factors. It depends on the sustainability of funding, stability of employment, elderly participation rate and recognized availability of services. Those factors are determined by socio-economic and systemic conditions: a country-specific model of third sector, overall social attitudes towards participation and system of governance in health promotion. Conclusion: The sector’s significance is widely acknowledged, however, its impact is often only assumed rather that sufficiently assessed and proven. By its voluntar</w:t>
      </w:r>
    </w:p>
    <w:p>
      <w:pPr/>
      <w:r>
        <w:rPr>
          <w:b/>
        </w:rPr>
        <w:t>POSSIBLE 2021:</w:t>
      </w:r>
      <w:r>
        <w:t xml:space="preserve"> Alternative Indicators of Population Ageing: An Inventory — https://doi.org/10.1553/0x003d068b</w:t>
      </w:r>
    </w:p>
    <w:p>
      <w:pPr/>
      <w:r>
        <w:rPr>
          <w:b/>
        </w:rPr>
        <w:t>Shared claim-specific concepts:</w:t>
      </w:r>
      <w:r>
        <w:t xml:space="preserve"> alternative, terms, not; EU scope not established. This is a provisional connection, not an outcome finding.</w:t>
      </w:r>
    </w:p>
    <w:p>
      <w:pPr>
        <w:pStyle w:val="SourceNote"/>
      </w:pPr>
      <w:r>
        <w:rPr>
          <w:b/>
        </w:rPr>
        <w:t>Available abstract (not full text):</w:t>
      </w:r>
      <w:r>
        <w:t xml:space="preserve"> The extent, speed and impact of population ageing have often been exaggerated becausestandard indicators such as the Old-Age Dependency Ratio or Support Ratio do not takeproper account of falling mortality, the changing relationship between age and employment,or (usually) both. Neither do such ratios consider the changing composition in terms ofeducational attainment, human capital or other population characteristics. Not surprisingly,over the last decade or so demographers have developed alternatives. This paper provides anoverview of such alternatives and briefly discusses their utility.</w:t>
      </w:r>
    </w:p>
    <w:p>
      <w:pPr/>
      <w:r>
        <w:rPr>
          <w:b/>
        </w:rPr>
        <w:t>POSSIBLE 2021:</w:t>
      </w:r>
      <w:r>
        <w:t xml:space="preserve"> Alternative Indicators of Population Ageing: An Inventory — https://doi.org/10.1553/0x003d068b</w:t>
      </w:r>
    </w:p>
    <w:p>
      <w:pPr/>
      <w:r>
        <w:rPr>
          <w:b/>
        </w:rPr>
        <w:t>Shared claim-specific concepts:</w:t>
      </w:r>
      <w:r>
        <w:t xml:space="preserve"> alternative, terms, not; EU scope not established. This is a provisional connection, not an outcome finding.</w:t>
      </w:r>
    </w:p>
    <w:p>
      <w:pPr>
        <w:pStyle w:val="SourceNote"/>
      </w:pPr>
      <w:r>
        <w:rPr>
          <w:b/>
        </w:rPr>
        <w:t>Available abstract (not full text):</w:t>
      </w:r>
      <w:r>
        <w:t xml:space="preserve"> The extent, speed and impact of population ageing have often been exaggerated becausestandard indicators such as the Old-Age Dependency Ratio or Support Ratio do not takeproper account of falling mortality, the changing relationship between age and employment,or (usually) both. Neither do such ratios consider the changing composition in terms ofeducational attainment, human capital or other population characteristics. Not surprisingly,over the last decade or so demographers have developed alternatives. This paper provides anoverview of such alternatives and briefly discusses their utility.</w:t>
      </w:r>
    </w:p>
    <w:p>
      <w:pPr/>
      <w:r>
        <w:rPr>
          <w:b/>
        </w:rPr>
        <w:t>POSSIBLE 2020:</w:t>
      </w:r>
      <w:r>
        <w:t xml:space="preserve"> Right‐Wing Populism in Rural Europe. Introduction to the Special Issue — https://doi.org/10.1111/soru.12306</w:t>
      </w:r>
    </w:p>
    <w:p>
      <w:pPr/>
      <w:r>
        <w:rPr>
          <w:b/>
        </w:rPr>
        <w:t>Shared claim-specific concepts:</w:t>
      </w:r>
      <w:r>
        <w:t xml:space="preserve"> here, built, system; EU scope visible. This is a provisional connection, not an outcome finding.</w:t>
      </w:r>
    </w:p>
    <w:p>
      <w:pPr>
        <w:pStyle w:val="SourceNote"/>
      </w:pPr>
      <w:r>
        <w:rPr>
          <w:b/>
        </w:rPr>
        <w:t>Available abstract (not full text):</w:t>
      </w:r>
      <w:r>
        <w:t xml:space="preserve"> Abstract This special issue aims to understand the rise of right‐wing populism in the European countryside, as well as the forms of resistance and the alternatives being built against it. In this short introduction, we briefly present the main objectives and conceptual position of the special issue and introduce its articles. Each article is discussed here based on its contribution to one of the following themes: (1) analysis of the existing socio‐economic system and power relations that gave rise to right‐wing populism in rural Europe; (2) critical examination of the major assumptions about rural support for populist movements; (3) problematic overlap between politics and rhetoric of right‐wing populist parties and left‐wing (green) parties and agrarian movements; (4) agrarian populism and food sovereignty movement as progressive alternatives to right‐wing politics in the European countryside.</w:t>
      </w:r>
    </w:p>
    <w:p>
      <w:pPr>
        <w:pStyle w:val="Heading2"/>
      </w:pPr>
      <w:r>
        <w:t>710.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r>
        <w:rPr>
          <w:b/>
        </w:rPr>
        <w:t>POSSIBLE 2024:</w:t>
      </w:r>
      <w:r>
        <w:t xml:space="preserve"> The LOTTE System of Tax Microsimulation Models — https://doi.org/10.34196/ijm.00308</w:t>
      </w:r>
    </w:p>
    <w:p>
      <w:pPr/>
      <w:r>
        <w:rPr>
          <w:b/>
        </w:rPr>
        <w:t>Shared claim-specific concepts:</w:t>
      </w:r>
      <w:r>
        <w:t xml:space="preserve"> microsimulation, used, labor, different; EU scope visible. This is a provisional connection, not an outcome finding.</w:t>
      </w:r>
    </w:p>
    <w:p>
      <w:pPr>
        <w:pStyle w:val="SourceNote"/>
      </w:pPr>
      <w:r>
        <w:rPr>
          <w:b/>
        </w:rPr>
        <w:t>Available abstract (not full text):</w:t>
      </w:r>
      <w:r>
        <w:t xml:space="preserve"> Microsimulation models of the LOTTE system are key tools for tax policy-making in Norway and are extensively used in the budget process.The aim of this paper is to give an overview of the different modules in the LOTTE family -a non-behavioral tax-benefit model for personal income tax (LOTTE-Skatt), a labor supply model (LOTTE-Arbeid), and a model for distributional effects of commodity taxation (LOTTE-Konsum).In addition to providing descriptions of the designs of the three microsimulation models, we give examples of how the models are used in practical and academic work.</w:t>
      </w:r>
    </w:p>
    <w:p>
      <w:pPr/>
      <w:r>
        <w:rPr>
          <w:b/>
        </w:rPr>
        <w:t>POSSIBLE 2024:</w:t>
      </w:r>
      <w:r>
        <w:t xml:space="preserve"> Accounting for Behavioral Effects in Microsimulation: A Reduced Form Approach — https://doi.org/10.34196/ijm.00311</w:t>
      </w:r>
    </w:p>
    <w:p>
      <w:pPr/>
      <w:r>
        <w:rPr>
          <w:b/>
        </w:rPr>
        <w:t>Shared claim-specific concepts:</w:t>
      </w:r>
      <w:r>
        <w:t xml:space="preserve"> microsimulation, used, labor; EU scope not established. This is a provisional connection, not an outcome finding.</w:t>
      </w:r>
    </w:p>
    <w:p>
      <w:pPr>
        <w:pStyle w:val="SourceNote"/>
      </w:pPr>
      <w:r>
        <w:rPr>
          <w:b/>
        </w:rPr>
        <w:t>Available abstract (not full text):</w:t>
      </w:r>
      <w:r>
        <w:t xml:space="preserve"> Microsimulation models are used worldwide to assist in the policy-making of governments. The simulation models may be purely non-behavioral or they may also include modules that simulate labor supply responses to the policy change in question. The present paper demonstrates how the practitioner can employ exogeneously given response estimates to account for behavioral effects in this type of work. Response estimates are combined with individual changes in work incentives at both the extensive and intensive margins. The concepts of the participation tax rate (PTR) and the effective marginal tax rate (EMTR) are employed. In the empirical illustration we discuss distributional and social welfare effects arising from the changes in Finnish taxes and benefits that took effect in 2020.</w:t>
      </w:r>
    </w:p>
    <w:p>
      <w:pPr/>
      <w:r>
        <w:rPr>
          <w:b/>
        </w:rPr>
        <w:t>POSSIBLE 2024:</w:t>
      </w:r>
      <w:r>
        <w:t xml:space="preserve"> Dynamic Microsimulations of Regional Income Inequalities in Germany — https://doi.org/10.34196/ijm.00304</w:t>
      </w:r>
    </w:p>
    <w:p>
      <w:pPr/>
      <w:r>
        <w:rPr>
          <w:b/>
        </w:rPr>
        <w:t>Shared claim-specific concepts:</w:t>
      </w:r>
      <w:r>
        <w:t xml:space="preserve"> project, population, different, dynamics, immigrants, rates; EU scope visible. This is a provisional connection, not an outcome finding.</w:t>
      </w:r>
    </w:p>
    <w:p>
      <w:pPr>
        <w:pStyle w:val="SourceNote"/>
      </w:pPr>
      <w:r>
        <w:rPr>
          <w:b/>
        </w:rPr>
        <w:t>Available abstract (not full text):</w:t>
      </w:r>
      <w:r>
        <w:t xml:space="preserve"> Income is one of the key indicators to measure individual opportunities, regional differences, and societal inequalities.Previous research has shed considerable light on gender-and migration-related disparities at the national level.However, the regional distribution of these inequalities, especially over time, has received less attention.Moreover, how these regional inequalities might develop in the future or under different conditions remains unclear.Regionalized dynamic microsimulations provide a powerful tool to analyze individual, household, as well as local long-term income developments under 'what-if' scenarios.This contribution examines the potential regional dynamics in gender and migrant income gaps across the districts in Germany.We extend the data, model, and infrastructure of the MikroSim project with an income module that accounts for migrant groups.By simulating four independent scenarios, we can isolate and evaluate their unique effects on inequality dynamics within different regions.Specifically, we adjust the full-time employment rates and tertiary education levels for a) women to align with those of men, and b) immigrants to align with those of the majority population, separately for each district.The results show that the scenarios have regionally differing effects on inequality dynamics, highlighting the considerable potential of dynamic microsimulations fo</w:t>
      </w:r>
    </w:p>
    <w:p>
      <w:pPr/>
      <w:r>
        <w:rPr>
          <w:b/>
        </w:rPr>
        <w:t>POSSIBLE 2024:</w:t>
      </w:r>
      <w:r>
        <w:t xml:space="preserve"> The gender gap in lifetime earnings: A microsimulation approach — https://doi.org/10.1111/labr.12274</w:t>
      </w:r>
    </w:p>
    <w:p>
      <w:pPr/>
      <w:r>
        <w:rPr>
          <w:b/>
        </w:rPr>
        <w:t>Shared claim-specific concepts:</w:t>
      </w:r>
      <w:r>
        <w:t xml:space="preserve"> microsimulation, gender; EU scope visible. This is a provisional connection, not an outcome finding.</w:t>
      </w:r>
    </w:p>
    <w:p>
      <w:pPr>
        <w:pStyle w:val="SourceNote"/>
      </w:pPr>
      <w:r>
        <w:rPr>
          <w:b/>
        </w:rPr>
        <w:t>Available abstract (not full text):</w:t>
      </w:r>
      <w:r>
        <w:t xml:space="preserve"> Abstract To obtain a more complete understanding of the persisting gender earnings gap in Germany, this paper investigates both the cross‐sectional and lifetime dimension of gender inequalities. Based on a dynamic microsimulation model, we analyse how gender differences accumulate over work lives to examine the lifetime dimension of the gender gap. We estimate an average gender gap in lifetime earnings of 51.5 per cent for birth cohorts 1964–72. We show that this unadjusted gender lifetime earnings gap increases strongly with the number of children, ranging from 17.3 per cent for childless women to 68.0 per cent for women with three or more children. Results from a counterfactual analysis approach show an adjusted gender gap in lifetime earnings of around 10 per cent, suggesting that the gender gap in lifetime earnings is rather driven by gender differences in observable characteristics than by differences in rewards.</w:t>
      </w:r>
    </w:p>
    <w:p>
      <w:pPr/>
      <w:r>
        <w:rPr>
          <w:b/>
        </w:rPr>
        <w:t>POSSIBLE 2023:</w:t>
      </w:r>
      <w:r>
        <w:t xml:space="preserve"> QuantMig microsimulation population projection model and migration scenarios for 31 European countries — https://doi.org/10.5281/zenodo.7728048</w:t>
      </w:r>
    </w:p>
    <w:p>
      <w:pPr/>
      <w:r>
        <w:rPr>
          <w:b/>
        </w:rPr>
        <w:t>Shared claim-specific concepts:</w:t>
      </w:r>
      <w:r>
        <w:t xml:space="preserve"> microsimulation, project, population, immigration; EU scope visible. This is a provisional connection, not an outcome finding.</w:t>
      </w:r>
    </w:p>
    <w:p>
      <w:pPr>
        <w:pStyle w:val="SourceNote"/>
      </w:pPr>
      <w:r>
        <w:rPr>
          <w:b/>
        </w:rPr>
        <w:t>Available abstract (not full text):</w:t>
      </w:r>
      <w:r>
        <w:t xml:space="preserve"> This open data deposit contains the data and model code of QuantMig-Mic microsimulation population projection model for 31 European countries and accompanies deliverables D8.3: Model outputs for dissemination and D8.1: Microsimulation projection model. This Zenodo deposit contains datasets of model input (baseline population and immigration database) and output data (demography and components output tables) and model code with parameters of the Baseline scenario (termed Default in the model code) deposited in QuantMig_mic.zip file. To view the code the users must first install MODGEN software (or can view code files in Visual Studio). All scenarios share the same parameters except the immigrant population - to change the immigration assumptions the users can import immigration assumptions for any other scenario from the ImmigDataBase.csv and change it in the immigration module using the MODGEN user interface or using Visual Studio. The file structure and codebook for the data files is included in the cover note file "readme_quantmig_datasets.pdf" Detailed information about the QuantMig-Mic microsimulation model, its modules and parameters: Marois, G., Potančoková, M., González-Leonardo, M. (2023) QuantMig-Mic microsimulation population projection model. QuantMig Project Deliverable D8.2. International Institute for Applied Systems Analysis (IIASA), Austria. Available at:http://</w:t>
      </w:r>
    </w:p>
    <w:p>
      <w:pPr/>
      <w:r>
        <w:rPr>
          <w:b/>
        </w:rPr>
        <w:t>POSSIBLE 2023:</w:t>
      </w:r>
      <w:r>
        <w:t xml:space="preserve"> MicSim, a microsimulation model for population dynamics — https://doi.org/10.21203/rs.3.rs-2986170/v1</w:t>
      </w:r>
    </w:p>
    <w:p>
      <w:pPr/>
      <w:r>
        <w:rPr>
          <w:b/>
        </w:rPr>
        <w:t>Shared claim-specific concepts:</w:t>
      </w:r>
      <w:r>
        <w:t xml:space="preserve"> microsimulation, used, project, population, different, dynamics; EU scope visible. This is a provisional connection, not an outcome finding.</w:t>
      </w:r>
    </w:p>
    <w:p>
      <w:pPr>
        <w:pStyle w:val="SourceNote"/>
      </w:pPr>
      <w:r>
        <w:rPr>
          <w:b/>
        </w:rPr>
        <w:t>Available abstract (not full text):</w:t>
      </w:r>
      <w:r>
        <w:t xml:space="preserve"> Abstract Demographers use microsimulation for studying individual life courses and their attributes; events are specified to be the result of stochastic processes based on predetermined probabilistic rules. In this study, we developed and validated a microsimulation model to reconstruct individual’s life courses and their interactions in different regions of the European Union. One of the main objectives of this study was to track migrants’ pathways in the context of three population systems, namely Sweden, the Netherlands and Spain, from 2014 to 2018. We used official datasets as data inputs to analyze and project future population dynamics. A revised version of the MicSim package which is part of the statistical software R has been used to model mobility and migration patterns at large scale. For this purpose, among other things new functions were added to make the software more efficient concerning runtimes and data handling. By analyzing the modelling results we conclude that MicSim has the potential to be applied for modelling migration and also more general population movements at a large scale. The application of the MicSim package would provide policy makers with a valid instrument for the governance of migration accounting for the demographic and social patterns of migrants and their origin-destination contextual environments.</w:t>
      </w:r>
    </w:p>
    <w:p>
      <w:pPr/>
      <w:r>
        <w:rPr>
          <w:b/>
        </w:rPr>
        <w:t>POSSIBLE 2023:</w:t>
      </w:r>
      <w:r>
        <w:t xml:space="preserve"> The Impact of Health and Education on Labor Force Participation in Aging Societies: Projections for the United States and Germany from Dynamic Microsimulations — https://doi.org/10.1007/s11113-023-09781-3</w:t>
      </w:r>
    </w:p>
    <w:p>
      <w:pPr/>
      <w:r>
        <w:rPr>
          <w:b/>
        </w:rPr>
        <w:t>Shared claim-specific concepts:</w:t>
      </w:r>
      <w:r>
        <w:t xml:space="preserve"> project, labor, force, population, different, dynamics; EU scope visible. This is a provisional connection, not an outcome finding.</w:t>
      </w:r>
    </w:p>
    <w:p>
      <w:pPr>
        <w:pStyle w:val="SourceNote"/>
      </w:pPr>
      <w:r>
        <w:rPr>
          <w:b/>
        </w:rPr>
        <w:t>Available abstract (not full text):</w:t>
      </w:r>
      <w:r>
        <w:t xml:space="preserve"> We project the labor force in the United States to 2060 and contrast the outcomes with comparative projections for Germany. In both countries, the population will age, but the demographic dynamics are fundamentally different. According to our dynamic microsimulations, the labor force in the U.S. will increase by 17 percent between 2020 and 2060 (about 29 million workers) despite population aging. In contrast, the labor force in Germany will decline by 11 percent (about 4.5 million workers). Our baseline projections indicate that an expansion of education will increase the labor force by about 3 million persons in the United States and about half a million persons in Germany by 2060. In several what-if scenarios, we examine the effects of further expanding education and of removing health barriers on labor force participation. Higher educational attainment among those with currently low education has the largest impact on labor force participation, relative to the additional years of schooling. However, health improvements and the labor market integration of people with health limitations suggest a larger increase in labor force participation rates. Using Sweden as a benchmark, we show that reducing the health participation gap would increase the U.S. labor force by as much as 13 million people in 2060 (+6.8 percent compared to our baseline).</w:t>
      </w:r>
    </w:p>
    <w:p>
      <w:pPr/>
      <w:r>
        <w:rPr>
          <w:b/>
        </w:rPr>
        <w:t>POSSIBLE 2022:</w:t>
      </w:r>
      <w:r>
        <w:t xml:space="preserve"> Health Equity and Its Economic Determinants (HEED): protocol for a pan-European microsimulation model for health impacts of income and social security policies — https://doi.org/10.1136/bmjopen-2022-062405</w:t>
      </w:r>
    </w:p>
    <w:p>
      <w:pPr/>
      <w:r>
        <w:rPr>
          <w:b/>
        </w:rPr>
        <w:t>Shared claim-specific concepts:</w:t>
      </w:r>
      <w:r>
        <w:t xml:space="preserve"> microsimulation, project, population, different; EU scope visible. This is a provisional connection, not an outcome finding.</w:t>
      </w:r>
    </w:p>
    <w:p>
      <w:pPr>
        <w:pStyle w:val="SourceNote"/>
      </w:pPr>
      <w:r>
        <w:rPr>
          <w:b/>
        </w:rPr>
        <w:t>Available abstract (not full text):</w:t>
      </w:r>
      <w:r>
        <w:t xml:space="preserve"> Introduction Government policies on taxation and social security are important determinants of population health outcomes and health inequalities. However, there is a shortage of evidence to inform policymakers of the health consequences of such policies. The Health Equity and Its Economic Determinants project aims to assess the potential impacts of different taxation and social security policies across Europe on population health and health inequalities using a computer-based simulation that provides projections over multiple health domains. Methods and analysis In the first phase, key input parameters for the model will be estimated using estimation techniques that control for the effects of prior exposure on time-varying confounders and mediators (g-methods). The second phase will involve developing and validating the microsimulation model for the UK. Policy proposals, developed with policymakers, will be simulated in the third phase to investigate the impacts of income tax and social security changes on population health and health inequalities. In the final phase, the microsimulation model will be extended across other European countries. Ethics and dissemination This project will use deidentified secondary data for which ethical approval and consents were received by the original data collectors. No further ethical approval will be required for our main analytical dataset</w:t>
      </w:r>
    </w:p>
    <w:p>
      <w:pPr/>
      <w:r>
        <w:rPr>
          <w:b/>
        </w:rPr>
        <w:t>POSSIBLE 2022:</w:t>
      </w:r>
      <w:r>
        <w:t xml:space="preserve"> Modeling Fuzzy Fidelity: Using Microsimulation to Explore Age, Period, and Cohort Effects in Secularization — https://doi.org/10.1163/2589742x-bja10012</w:t>
      </w:r>
    </w:p>
    <w:p>
      <w:pPr/>
      <w:r>
        <w:rPr>
          <w:b/>
        </w:rPr>
        <w:t>Shared claim-specific concepts:</w:t>
      </w:r>
      <w:r>
        <w:t xml:space="preserve"> microsimulation, population, period; EU scope visible. This is a provisional connection, not an outcome finding.</w:t>
      </w:r>
    </w:p>
    <w:p>
      <w:pPr>
        <w:pStyle w:val="SourceNote"/>
      </w:pPr>
      <w:r>
        <w:rPr>
          <w:b/>
        </w:rPr>
        <w:t>Available abstract (not full text):</w:t>
      </w:r>
      <w:r>
        <w:t xml:space="preserve"> Abstract This article presents a microsimulation that explores age, period, and cohort effects in the decline of religiosity in contemporary societies. The model implements a well-known and previously empirically validated theory of secularization that highlights the role of “fuzzy fidelity,” i.e., the percentage of a population whose religiosity is moderate (Voas 2009). Validation of the model involved comparing its simulation results to shifts in religiosity over 9 waves of the European Social Survey. Simulation experiments suggest that a cohort effect, based on weakened transmission of religiosity as a function of the social environment, appears to be the best explanation for secularization in the societies studied, both for the population as a whole and for the proportions of religious, fuzzy, and secular people.</w:t>
      </w:r>
    </w:p>
    <w:p>
      <w:pPr/>
      <w:r>
        <w:rPr>
          <w:b/>
        </w:rPr>
        <w:t>POSSIBLE 2022:</w:t>
      </w:r>
      <w:r>
        <w:t xml:space="preserve"> Dynamic Microsimulation for Policy Analysis. Problems and Solutions — https://doi.org/10.34196/ijm.00256</w:t>
      </w:r>
    </w:p>
    <w:p>
      <w:pPr/>
      <w:r>
        <w:rPr>
          <w:b/>
        </w:rPr>
        <w:t>Shared claim-specific concepts:</w:t>
      </w:r>
      <w:r>
        <w:t xml:space="preserve"> then, microsimulation, used, labor, population, different; EU scope visible. This is a provisional connection, not an outcome finding.</w:t>
      </w:r>
    </w:p>
    <w:p>
      <w:pPr>
        <w:pStyle w:val="SourceNote"/>
      </w:pPr>
      <w:r>
        <w:rPr>
          <w:b/>
        </w:rPr>
        <w:t>Available abstract (not full text):</w:t>
      </w:r>
      <w:r>
        <w:t xml:space="preserve"> What is micro simulation?Micro simulation is a technique that uses the capacity of modern computers to make micro units act and interact in such a way that it is possible to aggregate to the level of interest.A micro simulation model can be seen as a set of rules, which operates on a sample of micro units such as individuals, households and firms.Each micro unit is defined and characterized by a set of properties (variables) and as the model is simulated these properties are updated for each and every micro unit.The model might simply be a set of deterministic rules such as the income tax rules of a country operating on a sample of tax payers, and used to compute the distribution of after tax income, the aggregate income tax revenue or other fiscal entities of interest.But the model could also include behavioral assumptions usually formulated as stochastic models.Examples are fertility models, models for household formation and dissolution, labor supply and mobility.In micro simulation modeling there is no need to make assumptions about the average economic man.Although unpractical, we can in principle model every individual in the population.It is no simple task to model the behavior of single consumers and firms, but it is an advantage to model the decisions of those who actually make them and not the make believe decisions of some aggregate.It stimulates the researcher to pa</w:t>
      </w:r>
    </w:p>
    <w:p>
      <w:pPr>
        <w:pStyle w:val="Heading2"/>
      </w:pPr>
      <w:r>
        <w:t>711. Innovation policy and international relations: directions for EU diplomacy</w:t>
      </w:r>
    </w:p>
    <w:p>
      <w:pPr>
        <w:pStyle w:val="SourceNote"/>
      </w:pPr>
      <w:r>
        <w:rPr>
          <w:b/>
        </w:rPr>
        <w:t>Original source (2019):</w:t>
      </w:r>
      <w:r>
        <w:t xml:space="preserve"> https://doi.org/10.1186/s40309-019-0156-1</w:t>
      </w:r>
    </w:p>
    <w:p>
      <w:pPr/>
      <w:r>
        <w:t>Original wording (abstract; indexed_source_text_not_full_document_verified): The final paragraph discusses what Europe can and should do in its external relations to provide adequate answers to the forces outlined in the three scenarios.</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external, relations, outlined, three;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2022:</w:t>
      </w:r>
      <w:r>
        <w:t xml:space="preserve"> The Role of Paragraph in the Corpora of Annotated Texts — https://doi.org/10.28995/2075-7182-2022-21-273-283</w:t>
      </w:r>
    </w:p>
    <w:p>
      <w:pPr/>
      <w:r>
        <w:rPr>
          <w:b/>
        </w:rPr>
        <w:t>Shared claim-specific concepts:</w:t>
      </w:r>
      <w:r>
        <w:t xml:space="preserve"> paragraph, relations, three; EU scope not established. This is a provisional connection, not an outcome finding.</w:t>
      </w:r>
    </w:p>
    <w:p>
      <w:pPr>
        <w:pStyle w:val="SourceNote"/>
      </w:pPr>
      <w:r>
        <w:rPr>
          <w:b/>
        </w:rPr>
        <w:t>Available abstract (not full text):</w:t>
      </w:r>
      <w:r>
        <w:t xml:space="preserve"> The paper focuses on the function of paragraph both in text organization and in text annotation from the point of view of coherence. Taking as examples three major types of corpora (the RST, ANNODIS, and PDTB corpora), it shows whether and to what extent the existing approaches account for the paragraph when a discourse relation gets annotated. Then it presents the theoretical principles underlying text annotation in two databases: the Supracorpora database of connectives and the Supracorpora database of hierarchical logical-semantic relations (a new linguistic resource). Text coherence is shown to result from the interaction of various discourse phenomena, acting at the level of local and global structures. In this approach, the paragraph is assigned to the meso-level, positioned between local and global levels. The researcher may analyze the internal organization of the paragraph, limiting oneself to the intersentential level. Yet, to analyze and describe how paragraphs follow one another in the text, it is necessary to operate at the supra-sentential level, adopting a conceptual apparatus fundamentally different from the one for the description of local text structure.</w:t>
      </w:r>
    </w:p>
    <w:p>
      <w:pPr>
        <w:pStyle w:val="Heading2"/>
      </w:pPr>
      <w:r>
        <w:t>712.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2026:</w:t>
      </w:r>
      <w:r>
        <w:t xml:space="preserve"> Ex-post impact of first- and second-pillar CAP payments on farm structural change — https://doi.org/10.5281/zenodo.19633685</w:t>
      </w:r>
    </w:p>
    <w:p>
      <w:pPr/>
      <w:r>
        <w:rPr>
          <w:b/>
        </w:rPr>
        <w:t>Shared claim-specific concepts:</w:t>
      </w:r>
      <w:r>
        <w:t xml:space="preserve"> does, ex-post, environmental; EU scope visible. This is a provisional connection, not an outcome finding.</w:t>
      </w:r>
    </w:p>
    <w:p>
      <w:pPr>
        <w:pStyle w:val="SourceNote"/>
      </w:pPr>
      <w:r>
        <w:rPr>
          <w:b/>
        </w:rPr>
        <w:t>Available abstract (not full text):</w:t>
      </w:r>
      <w:r>
        <w:t xml:space="preserve"> Abstract The EU has seen a steady decline in farm numbers and agricultural labour, alongside an aging farming population. The present paper uses a non-stationary Markov chain model approach, estimated from farm level FADN data, to assess the impact of first- and second-pillar CAP payments on farm structure and employment in France over the 2004-2021 period. Farms are categorised into five economic size classes measured in euros of standard output. Results indicate that increasing either type of subsidies would have a positive effect on agricultural employment, primarily by supporting labour in farms of smaller economic size. However, the overall employment impact is positive but modest. The relative impact of first-pillar payments appears stronger, but second-pillar payments are more cost-effective per euro spent. The proposed farm-level approach will be extended to other EU member states to test the robustness and consistency of these findings, and avenues for future research are discussed. Funding acknowledgement Funded by the European Union. Grant Agreement No. 101060075. Views and opinions expressed are those of the authors only and do not necessarily reflect those of the European Union or the European Commission. Neither the European Union nor the granting authority can be held responsible for them.UK Research and Innovation Project Code: 10047415 https://gtr.ukri.org/proj</w:t>
      </w:r>
    </w:p>
    <w:p>
      <w:pPr/>
      <w:r>
        <w:rPr>
          <w:b/>
        </w:rPr>
        <w:t>POSSIBLE 2025:</w:t>
      </w:r>
      <w:r>
        <w:t xml:space="preserve"> Background report of ex-ante LCAs for CBE JU application IRIS — https://openalex.org/W7112006283</w:t>
      </w:r>
    </w:p>
    <w:p>
      <w:pPr/>
      <w:r>
        <w:rPr>
          <w:b/>
        </w:rPr>
        <w:t>Shared claim-specific concepts:</w:t>
      </w:r>
      <w:r>
        <w:t xml:space="preserve"> lca, environmental, categories, co2, reduction; EU scope visible. This is a provisional connection, not an outcome finding.</w:t>
      </w:r>
    </w:p>
    <w:p>
      <w:pPr>
        <w:pStyle w:val="SourceNote"/>
      </w:pPr>
      <w:r>
        <w:rPr>
          <w:b/>
        </w:rPr>
        <w:t>Available abstract (not full text):</w:t>
      </w:r>
      <w:r>
        <w:t xml:space="preserve"> To assess the environmental sustainability aspects of the IRIS technologies, ex-ante LCAs were carried out, considering a broad range of environmental impact categories like climate, resource efficiency and pollution (emissions to air, soil and water). The overall goal was to quantify the potential environmental effects from upscaling the technologies, in reference to a conventional benchmark considering the potential benefit of the IRIS innovations. A second goal was to identify critical issues of each technology early on, so that risks could be identified and IRIS could steer the development in the right direction. The data availability for the ex-ante LCAs varied greatly for different reasons, so each assessment should be discussed and interpreted separately. Biobased indigo: This ex-ante LCA is based on a recent internal study (2024). The alternative with the highest climate mitigation potential was the 2023 process (50%), followed by the fermentation process (46%) and finally the 2020 process (15%). The overall results from the study indicate that the proposed indigo solution has significant potential for environmental impact mitigation. Microbial dyes derived from atmospheric CO2 :This ex-ante LCA was modelled using specific process data obtained from partner’s pilot production. The results show that the climate impact of the biobased dye (2.5 kg CO2-eq/kg of dye) is 13% </w:t>
      </w:r>
    </w:p>
    <w:p>
      <w:pPr/>
      <w:r>
        <w:rPr>
          <w:b/>
        </w:rPr>
        <w:t>POSSIBLE 2025:</w:t>
      </w:r>
      <w:r>
        <w:t xml:space="preserve"> Anticipating uncertainty in infrastructure LCC, LCA, and S-LCA: A systematic, context-aware early identification framework — https://doi.org/10.1016/j.eiar.2025.108175</w:t>
      </w:r>
    </w:p>
    <w:p>
      <w:pPr/>
      <w:r>
        <w:rPr>
          <w:b/>
        </w:rPr>
        <w:t>Shared claim-specific concepts:</w:t>
      </w:r>
      <w:r>
        <w:t xml:space="preserve"> lca, indicators, across; EU scope not established. This is a provisional connection, not an outcome finding.</w:t>
      </w:r>
    </w:p>
    <w:p>
      <w:pPr>
        <w:pStyle w:val="SourceNote"/>
      </w:pPr>
      <w:r>
        <w:rPr>
          <w:b/>
        </w:rPr>
        <w:t>Available abstract (not full text):</w:t>
      </w:r>
      <w:r>
        <w:t xml:space="preserve"> Uncertainty undermines the reliability of Life Cycle Costing (LCC), Life Cycle Assessment (LCA), and Social Life Cycle Assessment (S-LCA) in Infrastructure Asset Management (IAM). Many methods for uncertainty analysis exist, but practitioners often lack systematic guidance to anticipate how uncertainties will unfold in specific assessments and thereby how to manage them. We propose a pre-emptive framework that anchors uncertainty analysis in the shared modelling structure of product systems, processes, and flows, making it transferable across the three methodologies. The framework links assessment context to uncertainty through three profiling indicators—instance count, intensity level, and prospective needs—and eleven infrastructure-specific dimensions that shape them. Mapping these dimensions across IAM decision-making levels illustrates how uncertainty escalates in the assessment contexts in which individual studies are embedded. A practitioner's checklist translates the framework into an early uncertainty profiling tool, guiding analysts to target rigorous modelling and quantification where it matters most. The discussion highlights the critical interdependencies between dimensions and identifies prospective needs as the dominant driver of uncertainty. Ultimately, by making uncertainty profiles explicit up front, the framework fosters proportionate, transparent, and context</w:t>
      </w:r>
    </w:p>
    <w:p>
      <w:pPr/>
      <w:r>
        <w:rPr>
          <w:b/>
        </w:rPr>
        <w:t>POSSIBLE 2025:</w:t>
      </w:r>
      <w:r>
        <w:t xml:space="preserve"> Monitoring the Environmental Impact of the Bioeconomy: Indicators and Models for Ex-Post and Ex-Ante Evaluation in Agriculture — https://doi.org/10.3390/su172310867</w:t>
      </w:r>
    </w:p>
    <w:p>
      <w:pPr/>
      <w:r>
        <w:rPr>
          <w:b/>
        </w:rPr>
        <w:t>Shared claim-specific concepts:</w:t>
      </w:r>
      <w:r>
        <w:t xml:space="preserve"> ex-post, environmental, indicators; EU scope visible. This is a provisional connection, not an outcome finding.</w:t>
      </w:r>
    </w:p>
    <w:p>
      <w:pPr>
        <w:pStyle w:val="SourceNote"/>
      </w:pPr>
      <w:r>
        <w:rPr>
          <w:b/>
        </w:rPr>
        <w:t>Available abstract (not full text):</w:t>
      </w:r>
      <w:r>
        <w:t xml:space="preserve"> The transformation towards a sustainable bioeconomy presents new challenges and opportunities for the agricultural sector. This paper investigates how the environmental impacts of this transformation can be effectively monitored using existing agricultural models and sustainability indicators. Drawing on comprehensive model and indicator reviews from the SYMOBIO project, we identify a set of suitable models and propose a harmonised set of 21 SMART-aligned indicators for immediate use for national and regional monitoring. The key findings highlight strong capabilities for modelling GHG and nutrient indicators, persistent gaps in biodiversity and water indicators, and the need for improved methods for using biomass as well as for representing scenario-based spatially disaggregated approaches. The findings highlight the importance of having harmonised indicators, quantitative targets, and integrated monitoring systems in place. The results mark an intermediate step in the ongoing development of national bioeconomy monitoring in Germany.</w:t>
      </w:r>
    </w:p>
    <w:p>
      <w:pPr/>
      <w:r>
        <w:rPr>
          <w:b/>
        </w:rPr>
        <w:t>POSSIBLE 2024:</w:t>
      </w:r>
      <w:r>
        <w:t xml:space="preserve"> Ex-ante LCA of magnet recycling: Progressing towards sustainable industrial-scale technology — https://doi.org/10.1016/j.jclepro.2024.142453</w:t>
      </w:r>
    </w:p>
    <w:p>
      <w:pPr/>
      <w:r>
        <w:rPr>
          <w:b/>
        </w:rPr>
        <w:t>Shared claim-specific concepts:</w:t>
      </w:r>
      <w:r>
        <w:t xml:space="preserve"> lca, environmental, categories; EU scope not established. This is a provisional connection, not an outcome finding.</w:t>
      </w:r>
    </w:p>
    <w:p>
      <w:pPr>
        <w:pStyle w:val="SourceNote"/>
      </w:pPr>
      <w:r>
        <w:rPr>
          <w:b/>
        </w:rPr>
        <w:t>Available abstract (not full text):</w:t>
      </w:r>
      <w:r>
        <w:t xml:space="preserve"> To alleviate the pressure on the rare earth supply chain, new technologies are under development for recovering, recycling and remanufacturing NdFeB magnets. In this study, the anticipated environmental performance of large-scale recycling is investigated and compared to the production of primary magnets. To do so, this ex-ante life cycle assessment combines input from measurements of pilot processes, expert technology forecasts, thermodynamic modelling, and equipment data from manufacturers. We examined the effect of four technology developments: process changes, size scaling, internal recycling, and optimization. The results show that at pilot scale, recovered NdFeB powders have lower impacts than primary powders for almost all impact categories. This demonstrates that the recovery of NdFeB alloys is environmentally beneficial. Magnets from anticipated large-scale recycling have over 80% lower impacts than primary magnets in most of the impact categories analyzed. All four investigated types of technology development contributed to this improved performance. The final configuration was validated by comparison with an industrial reference and theoretical optimum configuration. Four magnet manufacturing routes (sintering, extrusion, metal injection molding, bonding) have distinct environmental profiles, but all can progress to similarly low levels of impact. The choice among ro</w:t>
      </w:r>
    </w:p>
    <w:p>
      <w:pPr/>
      <w:r>
        <w:rPr>
          <w:b/>
        </w:rPr>
        <w:t>POSSIBLE 2024:</w:t>
      </w:r>
      <w:r>
        <w:t xml:space="preserve"> Prevention or ex-post forcing? The impact of dual environmental regulation on corporate environmental behavior — https://doi.org/10.1016/j.heliyon.2024.e30850</w:t>
      </w:r>
    </w:p>
    <w:p>
      <w:pPr/>
      <w:r>
        <w:rPr>
          <w:b/>
        </w:rPr>
        <w:t>Shared claim-specific concepts:</w:t>
      </w:r>
      <w:r>
        <w:t xml:space="preserve"> ex-post, environmental; EU scope not established. This is a provisional connection, not an outcome finding.</w:t>
      </w:r>
    </w:p>
    <w:p>
      <w:pPr>
        <w:pStyle w:val="SourceNote"/>
      </w:pPr>
      <w:r>
        <w:rPr>
          <w:b/>
        </w:rPr>
        <w:t>Available abstract (not full text):</w:t>
      </w:r>
      <w:r>
        <w:t xml:space="preserve"> Corporate reactions to environmental regulation are the hottest topics in research on corporate environmental behavior. However, a few studies incorporate other environmental behavior into the same framework. By constructing a comprehensive indicator system of dual environmental regulation, this paper uses a comparative analysis to discuss Chinese A-listed corporations' environmental behavior from 2009 to 2017, which were influenced by dual environmental regulation. The study's results show that formal environmental regulation (FER) has a significant U-shaped effect on pre-emptive environmental behavior (PEB) but an insignificant impact on ex-post environmental behavior (NEB). After categorizing the various forms of FER, this study finds that market-incentive environmental regulation has a significant inverted U-shaped effect on NEB but an insignificant impact on PEB, voluntary-participation regulation have a significant U-shaped effect on PEB and an inverted U-shaped effect on their NEB, and command-control regulation has significant influence on neither PEB nor NEB. In addition, informal environmental regulation (IER) has a significantly positive and negative effect on PEB and NEB. This study shows that corporate perceptions of policies can have a positive impact on the interaction between the FER and PEB but a negative impact on the interaction between the IER and PEB, and n</w:t>
      </w:r>
    </w:p>
    <w:p>
      <w:pPr/>
      <w:r>
        <w:rPr>
          <w:b/>
        </w:rPr>
        <w:t>POSSIBLE 2024:</w:t>
      </w:r>
      <w:r>
        <w:t xml:space="preserve"> Systematic review and meta-analysis of ex-post evaluations on the effectiveness of carbon pricing — https://doi.org/10.1038/s41467-024-48512-w</w:t>
      </w:r>
    </w:p>
    <w:p>
      <w:pPr/>
      <w:r>
        <w:rPr>
          <w:b/>
        </w:rPr>
        <w:t>Shared claim-specific concepts:</w:t>
      </w:r>
      <w:r>
        <w:t xml:space="preserve"> ex-post, across, emission; EU scope not established. This is a provisional connection, not an outcome finding.</w:t>
      </w:r>
    </w:p>
    <w:p>
      <w:pPr>
        <w:pStyle w:val="SourceNote"/>
      </w:pPr>
      <w:r>
        <w:rPr>
          <w:b/>
        </w:rPr>
        <w:t>Available abstract (not full text):</w:t>
      </w:r>
      <w:r>
        <w:t xml:space="preserve"> Today, more than 70 carbon pricing schemes have been implemented around the globe, but their contributions to emissions reductions remains a subject of heated debate in science and policy. Here we assess the effectiveness of carbon pricing in reducing emissions using a rigorous, machine-learning assisted systematic review and meta-analysis. Based on 483 effect sizes extracted from 80 causal ex-post evaluations across 21 carbon pricing schemes, we find that introducing a carbon price has yielded immediate and substantial emission reductions for at least 17 of these policies, despite the low level of prices in most instances. Statistically significant emissions reductions range between -5% to -21% across the schemes (-4% to -15% after correcting for publication bias). Our study highlights critical evidence gaps with regard to dozens of unevaluated carbon pricing schemes and the price elasticity of emissions reductions. More rigorous synthesis of carbon pricing and other climate policies is required across a range of outcomes to advance our understanding of "what works" and accelerate learning on climate solutions in science and policy.</w:t>
      </w:r>
    </w:p>
    <w:p>
      <w:pPr/>
      <w:r>
        <w:rPr>
          <w:b/>
        </w:rPr>
        <w:t>POSSIBLE 2023:</w:t>
      </w:r>
      <w:r>
        <w:t xml:space="preserve"> Waste LCA and the future — https://doi.org/10.1016/j.wasman.2023.11.021</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Life cycle assessment (LCA) models quantifying the environmental aspects of waste management have become an integral part of waste management decision-making over the last two decades and have provided ample knowledge on both environmental benefits and drawbacks in the way we handle waste. Waste management and LCA modelling of waste management systems will soon be challenged by profound changes necessary in our societies and sectors to meet sustainable development goals. Foreseen changes in energy, material, and nutrient provision will directly and indirectly affect waste management in terms of its operation and goals. This study reflects on anticipated changes in society and industrial sectors and how these changes may affect waste management and LCA modelling of waste management systems in terms of waste input, the modelling of technologies and systems and exchanges of energy, materials, and nutrients, as well as how it may affect impact assessment and the interpretation of results. The study provides practical recommendations for LCA modelling of future waste management systems, which will hopefully lead to robust assessments that can support decision-making in an evolving society subject to great changes.</w:t>
      </w:r>
    </w:p>
    <w:p>
      <w:pPr/>
      <w:r>
        <w:rPr>
          <w:b/>
        </w:rPr>
        <w:t>POSSIBLE 2023:</w:t>
      </w:r>
      <w:r>
        <w:t xml:space="preserve"> A LCA and LCC analysis of pure subtractive manufacturing, wire arc additive manufacturing, and selective laser melting approaches — https://doi.org/10.1016/j.jmapro.2023.05.102</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The development of sustainable manufacturing solutions is gaining attention in the manufacturing sector due to increased awareness about climate change and the formulation of stricter environmental legislation. Sustainable manufacturing involves the development of solutions that are environmentally friendly and cost-effective at the same time. Considering the opportunities and limitations of metal subtractive and additive manufacturing approaches from a sustainability perspective, this study aims to compare the environmental impact and production costs associated with the manufacture of a marine propeller using pure subtractive CNC milling along with additive Wire arc additive manufacturing (WAAM) and Selective Laser Melting (SLM) approaches. Life Cycle Assessment (LCA) and Life Cycle Costing (LCC) are used to quantify the environmental and economic impacts, respectively for each manufacturing approach. Based on the LCA and LCC models formulated, and the input data collected, the WAAM approach is observed to be the most environmentally and cost-efficient approach for the marine propeller analyzed. WAAM shows an environmental impact about 2.5 times and 3.4 times lower than pure CNC milling and SLM approaches, respectively mainly due to its better material and energy efficiencies. The effect of key variables on the environmental impact and production cost such as raw material, el</w:t>
      </w:r>
    </w:p>
    <w:p>
      <w:pPr/>
      <w:r>
        <w:rPr>
          <w:b/>
        </w:rPr>
        <w:t>POSSIBLE 2022:</w:t>
      </w:r>
      <w:r>
        <w:t xml:space="preserve"> Stochastic Ex-Ante LCA under Multidimensional Uncertainty: Anticipating the Production of Undiscovered Microalgal Compounds in Europe — https://doi.org/10.1021/acs.est.2c04849</w:t>
      </w:r>
    </w:p>
    <w:p>
      <w:pPr/>
      <w:r>
        <w:rPr>
          <w:b/>
        </w:rPr>
        <w:t>Shared claim-specific concepts:</w:t>
      </w:r>
      <w:r>
        <w:t xml:space="preserve"> lca, environmental; EU scope visible. This is a provisional connection, not an outcome finding.</w:t>
      </w:r>
    </w:p>
    <w:p>
      <w:pPr>
        <w:pStyle w:val="SourceNote"/>
      </w:pPr>
      <w:r>
        <w:rPr>
          <w:b/>
        </w:rPr>
        <w:t>Available abstract (not full text):</w:t>
      </w:r>
      <w:r>
        <w:t xml:space="preserve"> Due to their biodiversity, microalgae represent a promising source of high-value compounds that bioprospecting is aiming to reveal. Performing an ex-ante Life Cycle Assessment (LCA) to anticipate and potentially minimize the environmental burden associated with the European production of a bioprospected microalgal compound is subject to substantial and multi-factorial uncertainty as the compound remains undiscovered. Given that any microalgal strain could potentially host the compound of interest, the ex-ante LCA should consider this bioprospecting uncertainty together with the uncertainty on the technology and the production mix. Using a parameterized cultivation simulation and consequential LCA model and an extensive stochastic pseudo Monte Carlo approach, we define and propagate techno-operational, bioprospecting, and production mix uncertainties for a microalgal compound being currently bioprospected in Europe. We perform global sensitivity analysis using different sampling strategies to identify the main contributors to the total output variance. Overall, the uncertainty propagation allowed us to define and analyze the probabilistic scope for the potential environmental impacts in the emerging production of high-value microalgal compounds in Europe based on current knowledge. These findings can support policy-making as well as actors in the microalgal sector toward technol</w:t>
      </w:r>
    </w:p>
    <w:p>
      <w:pPr>
        <w:pStyle w:val="Heading2"/>
      </w:pPr>
      <w:r>
        <w:t>713.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2024:</w:t>
      </w:r>
      <w:r>
        <w:t xml:space="preserve"> A Novel Fuzzy Model for Knowledge-Driven Process Optimization in Renewable Energy Projects — https://doi.org/10.1007/s13132-024-02074-w</w:t>
      </w:r>
    </w:p>
    <w:p>
      <w:pPr/>
      <w:r>
        <w:rPr>
          <w:b/>
        </w:rPr>
        <w:t>Shared claim-specific concepts:</w:t>
      </w:r>
      <w:r>
        <w:t xml:space="preserve"> respect, energy, novel, technologies, use, conducted; EU scope not established. This is a provisional connection, not an outcome finding.</w:t>
      </w:r>
    </w:p>
    <w:p>
      <w:pPr>
        <w:pStyle w:val="SourceNote"/>
      </w:pPr>
      <w:r>
        <w:rPr>
          <w:b/>
        </w:rPr>
        <w:t>Available abstract (not full text):</w:t>
      </w:r>
      <w:r>
        <w:t xml:space="preserve"> Abstract This study is aimed at identifying key indicators to increase knowledge-based process optimization for renewable energy projects. Within this context, a novel fuzzy decision-making model is introduced that has two different stages. The first stage is related to the weighting of the knowledge-based determinants of process optimization in investment decisions by using quantum picture fuzzy rough sets (QPFR)-based multi-step wise weight assessment ratio analysis (M-SWARA). On the other side, the second stage consists of ranking the investment alternatives for process optimization in renewable energy projects via the QPFR-based technique for order preference by similarity (TOPSIS) methodology. The main contribution of this study is that a priority analysis is conducted for information-based factors affecting the performance of renewable energy projects. This situation provides an opportunity for the investments to implement appropriate strategies to increase the optimization of these investments. It is concluded that quality is the most essential indicator with respect to the process optimization of these projects. It can be possible to increase the efficiency of these projects by using better quality products. Innovation has an important role in ensuring the use of quality products in environmental sustainability. Owing to new technologies, it is easier to use more effect</w:t>
      </w:r>
    </w:p>
    <w:p>
      <w:pPr/>
      <w:r>
        <w:rPr>
          <w:b/>
        </w:rPr>
        <w:t>POSSIBLE 2022:</w:t>
      </w:r>
      <w:r>
        <w:t xml:space="preserve"> Future of solar energy potential in a changing climate across the world: A CMIP6 multi-model ensemble analysis — https://doi.org/10.1016/j.renene.2022.02.023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72 The butterfly project – improving treatment escalation planning in the emergency department — https://doi.org/10.1136/spcare-2021-pcc.90</w:t>
      </w:r>
    </w:p>
    <w:p>
      <w:pPr/>
      <w:r>
        <w:rPr>
          <w:b/>
        </w:rPr>
        <w:t>Shared claim-specific concepts:</w:t>
      </w:r>
      <w:r>
        <w:t xml:space="preserve"> respect, requires, rate; EU scope not established. This is a provisional connection, not an outcome finding.</w:t>
      </w:r>
    </w:p>
    <w:p>
      <w:pPr>
        <w:pStyle w:val="SourceNote"/>
      </w:pPr>
      <w:r>
        <w:rPr>
          <w:b/>
        </w:rPr>
        <w:t>Available abstract (not full text):</w:t>
      </w:r>
      <w:r>
        <w:t xml:space="preserve"> Background The 2017 End of Life Care Hospital Improvement Programme (ELCHIP) audit of deaths at the Leicester Royal Infirmary (LRI) an Emergency Department (ED) attendance may be an opportunity to proactively identify and plan for deterioration. The clinical frailty scale (CFS) can identify older people at increased risk of deterioration or dying and local data suggests a 1 year mortality rate of 50% in the cohort of patients with CFS 7–9. Methods The Butterfly Project is a multidisciplinary quality improvement project aiming to increase the percentage of older people CFS 7–9 dying in their preferred place of care, with additional outcomes based on early identification of uncertain recovery and treatment escalation planning. ED notes were reviewed for all CFS 7–9 patients dying within 30 days of an ED attendance between February 2019 and May 2020. Interventions were broadly within two streams. The first focused on improving treatment escalation planning including verbal and visual prompts and the introduction of the ReSPECT process. The second was based on improving the skillset of ED staff via educational interventions. Results Between May 2019 and May 2020, although there was no change in the percentage of patients dying in their preferred place of care, statistical process control charts showed sustained upward shift in: Identification and communication of uncertain recovery</w:t>
      </w:r>
    </w:p>
    <w:p>
      <w:pPr/>
      <w:r>
        <w:rPr>
          <w:b/>
        </w:rPr>
        <w:t>POSSIBLE 2021:</w:t>
      </w:r>
      <w:r>
        <w:t xml:space="preserve"> ASEAN’s Energy Transition towards Cleaner Energy System: Energy Modelling Scenarios and Policy Implications — https://doi.org/10.3390/su13052819</w:t>
      </w:r>
    </w:p>
    <w:p>
      <w:pPr/>
      <w:r>
        <w:rPr>
          <w:b/>
        </w:rPr>
        <w:t>Shared claim-specific concepts:</w:t>
      </w:r>
      <w:r>
        <w:t xml:space="preserve"> energy, technologies, use; EU scope not established. This is a provisional connection, not an outcome finding.</w:t>
      </w:r>
    </w:p>
    <w:p>
      <w:pPr>
        <w:pStyle w:val="SourceNote"/>
      </w:pPr>
      <w:r>
        <w:rPr>
          <w:b/>
        </w:rPr>
        <w:t>Available abstract (not full text):</w:t>
      </w:r>
      <w:r>
        <w:t xml:space="preserve"> The Association of Southeast Asian Nations (ASEAN) faces tremendous challenges regarding the future energy landscape and how the energy transition will embrace a new architecture—including sound policies and technologies to ensure energy access together with affordability, energy security, and energy sustainability. Given the high share of fossil fuels in ASEAN’s current energy mix (oil, coal, and natural gas comprise almost 80%), the clean use of fossil fuels through the deployment of clean technologies is indispensable for decarbonizing ASEAN’s emissions. The future energy landscape of ASEAN will rely on today’s actions, policies, and investments to change the fossil fuel-based energy system towards a cleaner energy system, but any decisions and energy policy measures to be rolled out during the energy transition need to be weighed against potentially higher energy costs, affordability issues, and energy security risks. This paper employs energy modelling scenarios to seek plausible policy options for ASEAN to achieve more emissions reductions as well as energy savings, and to assess the extent to which the composition of the energy mix will be changed under various energy policy scenarios. The results imply policy recommendations for accelerating the share of renewables, adopting clean technologies and the clean use of fossil fuels, and investing in climate-resilient energy </w:t>
      </w:r>
    </w:p>
    <w:p>
      <w:pPr/>
      <w:r>
        <w:rPr>
          <w:b/>
        </w:rPr>
        <w:t>POSSIBLE 2021:</w:t>
      </w:r>
      <w:r>
        <w:t xml:space="preserve"> Nuclear Energy Model Intercomparison Project — https://openalex.org/W4287197107</w:t>
      </w:r>
    </w:p>
    <w:p>
      <w:pPr/>
      <w:r>
        <w:rPr>
          <w:b/>
        </w:rPr>
        <w:t>Shared claim-specific concepts:</w:t>
      </w:r>
      <w:r>
        <w:t xml:space="preserve"> long-term, energy; EU scope not established. This is a provisional connection, not an outcome finding.</w:t>
      </w:r>
    </w:p>
    <w:p>
      <w:pPr>
        <w:pStyle w:val="SourceNote"/>
      </w:pPr>
      <w:r>
        <w:rPr>
          <w:b/>
        </w:rPr>
        <w:t>Available abstract (not full text):</w:t>
      </w:r>
      <w:r>
        <w:t xml:space="preserve"> This document summarizes the current status and future plans of the Nuclear Model Intercomparison Project. The objectives of this project are to understand how issues central to nuclear energy are modeled in long-term capacity expansion models, to investigate how model structures and input assumptions impact projections for nuclear’s role, to refine model representations of nuclear energy, and to communicate findings to the research community and decision-makers. High-level goals are discussed for each of the four participating model groups: the U.S. Energy Information Administration (EIA), U.S. Environmental Protection Agency (EPA), Electric Power Research Institute (EPRI), and National Renewable Energy Laboratory (NREL). This document summarizes scenarios and assumptions for the model comparison, outcomes from the first workshop, and next steps.</w:t>
      </w:r>
    </w:p>
    <w:p>
      <w:pPr/>
      <w:r>
        <w:rPr>
          <w:b/>
        </w:rPr>
        <w:t>POSSIBLE 2021:</w:t>
      </w:r>
      <w:r>
        <w:t xml:space="preserve"> Collaboration enhanced hybrid fuzzy decision-making approach to analyze the renewable energy investment projects — https://doi.org/10.1016/j.egyr.2021.12.006</w:t>
      </w:r>
    </w:p>
    <w:p>
      <w:pPr/>
      <w:r>
        <w:rPr>
          <w:b/>
        </w:rPr>
        <w:t>Shared claim-specific concepts:</w:t>
      </w:r>
      <w:r>
        <w:t xml:space="preserve"> respect, energy, novel, applied; EU scope not established. This is a provisional connection, not an outcome finding.</w:t>
      </w:r>
    </w:p>
    <w:p>
      <w:pPr>
        <w:pStyle w:val="SourceNote"/>
      </w:pPr>
      <w:r>
        <w:rPr>
          <w:b/>
        </w:rPr>
        <w:t>Available abstract (not full text):</w:t>
      </w:r>
      <w:r>
        <w:t xml:space="preserve"> The aim of this study is to examine the cost management strategies of low-carbon renewable energy projects. This manuscript has important contributions by evaluating different cost-management to increase renewable energy investment projects. Owing to the analysis results of this study, the ways to minimize carbon emission problem can be presented. Additionally, another important contribution of this study is to generate a novel hybrid model based on Pythagorean fuzzy DEMATEL, TOPSIS and Shapley value to find appropriate policies to improve these projects. Furthermore, the accuracy of the proposed model is measured for each cooperative cost management strategy by using the VIKOR method. In addition, sensitivity analysis is also applied with 5 cases for both the TOPSIS and VIKOR methods by changing the weighting results of the criteria consecutively. It is defined that the proposed model is coherent and applicable for the further studies. Moreover, the ranking results of the sensitivity analysis are also consistent with the different cases. The results indicate that internal process has always the lowest costs for the solar energy alternatives. In addition, customer is the lowest cost factor with respect to the wind energy alternative. Thus, it is obvious that improving the qualification of the employees is essential for the improvement of the solar energy projects. Moreover, the</w:t>
      </w:r>
    </w:p>
    <w:p>
      <w:pPr/>
      <w:r>
        <w:rPr>
          <w:b/>
        </w:rPr>
        <w:t>POSSIBLE 2021:</w:t>
      </w:r>
      <w:r>
        <w:t xml:space="preserve"> The Power of Co-Creation in the Energy Transition—DART Model in Citizen Energy Communities Projects — https://doi.org/10.3390/en14175266</w:t>
      </w:r>
    </w:p>
    <w:p>
      <w:pPr/>
      <w:r>
        <w:rPr>
          <w:b/>
        </w:rPr>
        <w:t>Shared claim-specific concepts:</w:t>
      </w:r>
      <w:r>
        <w:t xml:space="preserve"> energy, novel; EU scope visible. This is a provisional connection, not an outcome finding.</w:t>
      </w:r>
    </w:p>
    <w:p>
      <w:pPr>
        <w:pStyle w:val="SourceNote"/>
      </w:pPr>
      <w:r>
        <w:rPr>
          <w:b/>
        </w:rPr>
        <w:t>Available abstract (not full text):</w:t>
      </w:r>
      <w:r>
        <w:t xml:space="preserve"> Successful energy transformation is interconnected with greater citizenry participation as prosumers. The search for novel solutions to implement the transition to renewable energy that will neutralize the barriers to this process, e.g., the reluctance of citizens to get involved, lack of trust in decision-makers and lack of co-ownership of energy projects, is inevitable as a part of the bottom-up process. Energy communities have vast potential to scale up Renewable Energy projects. Due to the fact that in Poland, establishing citizen energy communities in the cities is not allowed, the key success factor of energy transformation is to engage housing cooperatives and other housing communities in this process. A similar legal framework prevents communities from establishing themselves in the Czech Republic and Hungary. The research problem of this paper is to identify determinants of the co-creation process in Renewable Energy project activation at the housing cooperative level. The aim is to identify key conditions that housing cooperatives should establish in order to successfully undertake Renewable Energy project implementation using a co-creation approach. The literature study shows that the term “co-creation” is not often used in energy transition projects, although many local energy transitions are indeed co-created, unfortunately not in a structured methodical manner. In</w:t>
      </w:r>
    </w:p>
    <w:p>
      <w:pPr/>
      <w:r>
        <w:rPr>
          <w:b/>
        </w:rPr>
        <w:t>POSSIBLE 2021:</w:t>
      </w:r>
      <w:r>
        <w:t xml:space="preserve"> Modelling the redistribution of benefits from joint investments in community energy projects — https://doi.org/10.1016/j.apenergy.2021.116575</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Given the widespread adoption of renewable generation, storage and new loads like electric vehicle charging, there has been a growing effort to enhance local energy resilience, particularly at the community level. This has led to increasing interest in the development of local or community energy projects, in which individual prosumers are able to generate, store and trade energy within the community — enabling a shift in market power from large utility companies to individual prosumers. Such schemes often involve a group of consumers investing in community-owned asset such as community-owned wind turbines or shared battery storage. Yet, developing methods to enable efficient control and fair sharing of jointly-owned assets is a key open question, of both research and practical importance. In this paper, we provide a method inspired from game theory concepts to fairly redistribute the benefits from community owned energy-assets such as community wind turbines and storage. We propose a heuristic-based battery control algorithm for maximization of behind-the-meter self-consumption, which considers the effect of battery life degradation. Using real consumption and production data to model a community of two hundred households, we assess and compare technical and economic benefits of investment in individually-owned or community-owned assets such as chemical storage. We show that b</w:t>
      </w:r>
    </w:p>
    <w:p>
      <w:pPr/>
      <w:r>
        <w:rPr>
          <w:b/>
        </w:rPr>
        <w:t>POSSIBLE 2021:</w:t>
      </w:r>
      <w:r>
        <w:t xml:space="preserve"> Renewable Energy Targets and Unintended Storage Cycling: Implications for Energy Modeling — https://doi.org/10.1016/j.isci.2022.104002</w:t>
      </w:r>
    </w:p>
    <w:p>
      <w:pPr/>
      <w:r>
        <w:rPr>
          <w:b/>
        </w:rPr>
        <w:t>Shared claim-specific concepts:</w:t>
      </w:r>
      <w:r>
        <w:t xml:space="preserve"> energy, modeling, use; EU scope not established. This is a provisional connection, not an outcome finding.</w:t>
      </w:r>
    </w:p>
    <w:p>
      <w:pPr>
        <w:pStyle w:val="SourceNote"/>
      </w:pPr>
      <w:r>
        <w:rPr>
          <w:b/>
        </w:rPr>
        <w:t>Available abstract (not full text):</w:t>
      </w:r>
      <w:r>
        <w:t xml:space="preserve"> To decarbonize the economy, many governments have set targets for the use of renewable energy sources. These are often formulated as relative shares of electricity demand or supply. Implementing respective constraints in energy models is a surprisingly delicate issue. They may cause a modeling artifact of excessive electricity storage use. We introduce this phenomenon as 'unintended storage cycling', which can be detected in case of simultaneous storage charging and discharging. In this paper, we provide an analytical representation of different approaches for implementing minimum renewable share constraints in models, and show how these may lead to unintended storage cycling. Using a parsimonious optimization model, we quantify related distortions of optimal dispatch and investment decisions as well as market prices, and identify important drivers of the phenomenon. Finally, we provide recommendations on how to avoid the distorting effects of unintended storage cycling in energy modeling.</w:t>
      </w:r>
    </w:p>
    <w:p>
      <w:pPr/>
      <w:r>
        <w:rPr>
          <w:b/>
        </w:rPr>
        <w:t>POSSIBLE 2021:</w:t>
      </w:r>
      <w:r>
        <w:t xml:space="preserve"> Developing a community of practice around an open source energy modelling tool — https://doi.org/10.1016/j.esr.2021.100650</w:t>
      </w:r>
    </w:p>
    <w:p>
      <w:pPr/>
      <w:r>
        <w:rPr>
          <w:b/>
        </w:rPr>
        <w:t>Shared claim-specific concepts:</w:t>
      </w:r>
      <w:r>
        <w:t xml:space="preserve"> energy, critical; EU scope not established. This is a provisional connection, not an outcome finding.</w:t>
      </w:r>
    </w:p>
    <w:p>
      <w:pPr>
        <w:pStyle w:val="SourceNote"/>
      </w:pPr>
      <w:r>
        <w:rPr>
          <w:b/>
        </w:rPr>
        <w:t>Available abstract (not full text):</w:t>
      </w:r>
      <w:r>
        <w:t xml:space="preserve"> Energy modelling is critical for addressing challenges such as integrating variable renewable energy and addressing climate impacts. This paper describes the updated code management structure and code updates, the revised community forum and the outreach activities that have built a vibrant community of practice around OSeMOSYS. The code management structure has allowed code improvements to be incorporated into the model, the community forum provides users with a place to ask and answer questions, and the outreach activities connect members of the community. Overall, these three pillars show how a community of practice can be built around an open source tool and provides an example for other developers and users of open source software wanting to build a community of practice.</w:t>
      </w:r>
    </w:p>
    <w:p>
      <w:pPr/>
      <w:r>
        <w:rPr>
          <w:b/>
        </w:rPr>
        <w:t>POSSIBLE 2021:</w:t>
      </w:r>
      <w:r>
        <w:t xml:space="preserve"> Consensus-based multidimensional due diligence of fintech-enhanced green energy investment projects — https://doi.org/10.1186/s40854-021-00289-3</w:t>
      </w:r>
    </w:p>
    <w:p>
      <w:pPr/>
      <w:r>
        <w:rPr>
          <w:b/>
        </w:rPr>
        <w:t>Shared claim-specific concepts:</w:t>
      </w:r>
      <w:r>
        <w:t xml:space="preserve"> respect, energy, applied; EU scope not established. This is a provisional connection, not an outcome finding.</w:t>
      </w:r>
    </w:p>
    <w:p>
      <w:pPr>
        <w:pStyle w:val="SourceNote"/>
      </w:pPr>
      <w:r>
        <w:rPr>
          <w:b/>
        </w:rPr>
        <w:t>Available abstract (not full text):</w:t>
      </w:r>
      <w:r>
        <w:t xml:space="preserve"> Abstract The purpose of this study is to provide a hybrid group decision-making approach to evaluate fintech-based financial alternatives for green energy investment projects. First, the multidimensional factors of due diligence for fintech-based financing alternatives of green energy investment projects are identified. In this regard, the balanced scorecard perspectives are considered. Next, consensus-based group decision-making analysis is performed. Second, impact-relation directions for fintech-based financing alternatives of green energy investment projects are defined. For this purpose, the spherical fuzzy Decision-Making Trial and Evaluation Laboratory (DEMATEL) methodology is applied. The novelty of this study is its proposal of a new outlook to due diligence of fintech-project financing for renewable energy investments by using the group and integrated decision-making approaches with spherical fuzzy DEMATEL. The findings indicate that customer expectations are the most essential factor for the revenue sharing and rewarding models. Additionally, this study identified that organizational competency plays the most important role with respect to the peer-to-business debt model. In contrast, the conclusion was reached that financial returns have the greatest importance for the equity sharing model.</w:t>
      </w:r>
    </w:p>
    <w:p>
      <w:pPr/>
      <w:r>
        <w:rPr>
          <w:b/>
        </w:rPr>
        <w:t>POSSIBLE 2020:</w:t>
      </w:r>
      <w:r>
        <w:t xml:space="preserve"> Minding the gap: identifying values to enable public and patient involvement at the pre-commencement stage of research projects — https://doi.org/10.1186/s40900-020-00220-7</w:t>
      </w:r>
    </w:p>
    <w:p>
      <w:pPr/>
      <w:r>
        <w:rPr>
          <w:b/>
        </w:rPr>
        <w:t>Shared claim-specific concepts:</w:t>
      </w:r>
      <w:r>
        <w:t xml:space="preserve"> respect, includes, critical, applied; EU scope not established. This is a provisional connection, not an outcome finding.</w:t>
      </w:r>
    </w:p>
    <w:p>
      <w:pPr>
        <w:pStyle w:val="SourceNote"/>
      </w:pPr>
      <w:r>
        <w:rPr>
          <w:b/>
        </w:rPr>
        <w:t>Available abstract (not full text):</w:t>
      </w:r>
      <w:r>
        <w:t xml:space="preserve"> BACKGROUND: The University College Dublin (UCD) Public and Patient Invovlement (PPI) ignite program is focused on embedding PPI in health and social care related research, education and training, professional practice and administration. During a PPI knowledge sharing event challenges were noted during the pre-commencement stage of research projects. This stage includes the time before a research projects/partnership starts or when funding is being applied for. As a response, we agreed there was a need to spend time developing a values-based approach to be used from the pre-commencement of PPI projects and partnerships. Values are deeply held ideals that people consider to be important. They are vital in shaping our attitudes and motivating our choices and behaviours. METHODS: Using independent facilitators, we invited a diverse group of participants to a full-day workshop in February. During the workshop, the concept of a values statement and values-based approaches was introduced. The group via a majority consensus, agreed on a core set of values and a shared understanding of them. After the workshop, a draft was shared with participants for further comment and final agreement. RESULTS: The workshop had 22 people representing experts by experience, PPI charity partners, funders, academics and national PPI Ignite partners. The group via consensus identified four values of resp</w:t>
      </w:r>
    </w:p>
    <w:p>
      <w:pPr>
        <w:pStyle w:val="Heading2"/>
      </w:pPr>
      <w:r>
        <w:t>714.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2024:</w:t>
      </w:r>
      <w:r>
        <w:t xml:space="preserve"> Regional cooling potential from expansion of perennial grasses in Europe — https://doi.org/10.1038/s43247-024-01923-5</w:t>
      </w:r>
    </w:p>
    <w:p>
      <w:pPr/>
      <w:r>
        <w:rPr>
          <w:b/>
        </w:rPr>
        <w:t>Shared claim-specific concepts:</w:t>
      </w:r>
      <w:r>
        <w:t xml:space="preserve"> potential, energy, achieve, regional;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2022:</w:t>
      </w:r>
      <w:r>
        <w:t xml:space="preserve"> Natural Fillers as Potential Modifying Agents for Epoxy Composition: A Review — https://doi.org/10.3390/polym14020265</w:t>
      </w:r>
    </w:p>
    <w:p>
      <w:pPr/>
      <w:r>
        <w:rPr>
          <w:b/>
        </w:rPr>
        <w:t>Shared claim-specific concepts:</w:t>
      </w:r>
      <w:r>
        <w:t xml:space="preserve"> potential, modifying, interest; EU scope not established. This is a provisional connection, not an outcome finding.</w:t>
      </w:r>
    </w:p>
    <w:p>
      <w:pPr>
        <w:pStyle w:val="SourceNote"/>
      </w:pPr>
      <w:r>
        <w:rPr>
          <w:b/>
        </w:rPr>
        <w:t>Available abstract (not full text):</w:t>
      </w:r>
      <w:r>
        <w:t xml:space="preserve"> Epoxy resins as important organic matrices, thanks to their chemical structure and the possibility of modification, have unique properties, which contribute to the fact that these materials have been used in many composite industries for many years. Epoxy resins are repeatedly used in exacting applications due to their exquisite mechanical properties, thermal stability, scratch resistance, and chemical resistance. Moreover, epoxy materials also have really strong resistance to solvents, chemical attacks, and climatic aging. The presented features confirm the fact that there is a constant interest of scientists in the modification of resins and understanding its mechanisms, as well as in the development of these materials to obtain systems with the required properties. Most of the recent studies in the literature are focused on green fillers such as post-agricultural waste powder (cashew nuts powder, coconut shell powder, rice husks, date seed), grass fiber (bamboo fibers), bast/leaf fiber (hemp fibers, banana bark fibers, pineapple leaf), and other natural fibers (waste tea fibers, palm ash) as reinforcement for epoxy resins rather than traditional non-biodegradable fillers due to their sustainability, low cost, wide availability, and the use of waste, which is environmentally friendly. Furthermore, the advantages of natural fillers over traditional fillers are acceptable speci</w:t>
      </w:r>
    </w:p>
    <w:p>
      <w:pPr/>
      <w:r>
        <w:rPr>
          <w:b/>
        </w:rPr>
        <w:t>POSSIBLE 2021:</w:t>
      </w:r>
      <w:r>
        <w:t xml:space="preserve"> Potential Effects of a Modified Mediterranean Diet on Body Composition in Lipoedema — https://doi.org/10.3390/nu13020358</w:t>
      </w:r>
    </w:p>
    <w:p>
      <w:pPr/>
      <w:r>
        <w:rPr>
          <w:b/>
        </w:rPr>
        <w:t>Shared claim-specific concepts:</w:t>
      </w:r>
      <w:r>
        <w:t xml:space="preserve"> all, potential, long-term; EU scope visible. This is a provisional connection, not an outcome finding.</w:t>
      </w:r>
    </w:p>
    <w:p>
      <w:pPr>
        <w:pStyle w:val="SourceNote"/>
      </w:pPr>
      <w:r>
        <w:rPr>
          <w:b/>
        </w:rPr>
        <w:t>Available abstract (not full text):</w:t>
      </w:r>
      <w:r>
        <w:t xml:space="preserve"> Lipoedema is a subcutaneous adipose tissue disease characterized by the increase in the amount and structure of fat mass (FM) in specific areas, causing pain and discomfort. 95% of patients fail to lose weight in the lipoedema areas. The study was conducted to evaluate body composition and general health status modification in a group of lipoedema patients (LIPPY) and a control group (CTRL) after four weeks of a modified Mediterranean diet therapy (mMeD). A total of 29 subjects were included in the data analysis, divided in two groups: 14 LIPPY and 15 CTRL. After the mMeD, both groups significantly decreased their weight and body mass index; the CTRL also showed a reduction of all the circumferences and all FM's compartments. LIPPY showed a decrease of FM in upper and lower limbs. No significant differences in Δ% between the groups were observed for the lean mass (LM). In LIPPY, an increase in the patients' ability to perform various daily physical activities related to the loss of arms' and legs' fat was observed. According to the European Quality of Life scale, the possibility for LIPPY subjects to perform simple daily activities with less fatigue, pain and anxiety is highlighted. Further long-term studies are recommended to confirm the mMeD as a good strategy for Lipoedema treatment.</w:t>
      </w:r>
    </w:p>
    <w:p>
      <w:pPr/>
      <w:r>
        <w:rPr>
          <w:b/>
        </w:rPr>
        <w:t>POSSIBLE 2021:</w:t>
      </w:r>
      <w:r>
        <w:t xml:space="preserve"> A modified lightning potential index for numerical models with parameterized deep convection — https://doi.org/10.5194/ems2021-253</w:t>
      </w:r>
    </w:p>
    <w:p>
      <w:pPr/>
      <w:r>
        <w:rPr>
          <w:b/>
        </w:rPr>
        <w:t>Shared claim-specific concepts:</w:t>
      </w:r>
      <w:r>
        <w:t xml:space="preserve"> shown, all, potential, international; EU scope visible. This is a provisional connection, not an outcome finding.</w:t>
      </w:r>
    </w:p>
    <w:p>
      <w:pPr>
        <w:pStyle w:val="SourceNote"/>
      </w:pPr>
      <w:r>
        <w:rPr>
          <w:b/>
        </w:rPr>
        <w:t>Available abstract (not full text):</w:t>
      </w:r>
      <w:r>
        <w:t xml:space="preserve"> A modified lightning potential index (MLPI) for numerical models with parameterized deep convection is presented. It is based on the LPI formula of Lynn and Yair (2010). Following the idea of Lopez (2016), the quantities (e.g. vertical velocity) needed in the LPI formula are derived from the updraft of the Bechtold-Tiedtke parameterization scheme (Bechtold et al., 2014). The formula is further improved by taking into account the vertical equivalent potential temperature gradient. The LPI and MLPI are tested in ICON with 20km resolution (ICON-20) over central Europe. A key component in the LPI is the vertical velocity. To assess its quality, the vertical velocity of the updraft in the convection scheme in ICON-20 is compared to updrafts in the convection-resolving COSMO model with 2.2 km resolution (COSMO-D2). It is shown that in ICON-20 the extension of the vertical velocity is generally broader with the maximum located in higher altitudes. In the charge separation area where the vertical velocity is relevant, the ICON-20 vertical velocity is less than in COSMO-D2. Consequently, the LPI values in ICON-20 are lower by a factor of 2 compared to COSMO-D2. The MLPI is verified against LINET lightning data (Betz et al. 2009) over central Europe for summer 2020 and compared to LPI in COSMO-D2. The MLPI is also compared to the LPI and the lightning flash density (LFD, Lopez, 2016), al</w:t>
      </w:r>
    </w:p>
    <w:p>
      <w:pPr/>
      <w:r>
        <w:rPr>
          <w:b/>
        </w:rPr>
        <w:t>POSSIBLE 2021:</w:t>
      </w:r>
      <w:r>
        <w:t xml:space="preserve"> Personality and Authenticity in Light of the Memory-Modifying Potential of Optogenetics — https://doi.org/10.1080/21507740.2020.1866097</w:t>
      </w:r>
    </w:p>
    <w:p>
      <w:pPr/>
      <w:r>
        <w:rPr>
          <w:b/>
        </w:rPr>
        <w:t>Shared claim-specific concepts:</w:t>
      </w:r>
      <w:r>
        <w:t xml:space="preserve"> shown, potential, interest, especially, long-term; EU scope not established. This is a provisional connection, not an outcome finding.</w:t>
      </w:r>
    </w:p>
    <w:p>
      <w:pPr>
        <w:pStyle w:val="SourceNote"/>
      </w:pPr>
      <w:r>
        <w:rPr>
          <w:b/>
        </w:rPr>
        <w:t>Available abstract (not full text):</w:t>
      </w:r>
      <w:r>
        <w:t xml:space="preserve"> There has been a growing interest in research concerning memory modification technologies (MMTs) in recent years. Neuroscientists and psychologists are beginning to explore the prospect of controllable and intentional modification of human memory. One of the technologies with the greatest potential to this end is optogenetics-an invasive neuromodulation technique involving the use of light to control the activity of individual brain cells. It has recently shown the potential to modify specific long-term memories in animal models in ways not yet possible with other MMTs. As the therapeutic potential of optogenetics has already prompted approval of the first human trials, it is especially important and timely to consider the opportunities and dangers this technology may entail. In this article, we focus on possible consequences of optogenetics as an MMT by analyzing fundamental threats potentially associated with memory modifications: the potential disruption of personality and authenticity.</w:t>
      </w:r>
    </w:p>
    <w:p>
      <w:pPr/>
      <w:r>
        <w:rPr>
          <w:b/>
        </w:rPr>
        <w:t>POSSIBLE 2021:</w:t>
      </w:r>
      <w:r>
        <w:t xml:space="preserve"> Evaluating the potential for exposure to organisms of public health concern in naturally occurring bathing waters in Europe: A scoping review. — https://doi.org/10.1016/j.watres.2021.117711</w:t>
      </w:r>
    </w:p>
    <w:p>
      <w:pPr/>
      <w:r>
        <w:rPr>
          <w:b/>
        </w:rPr>
        <w:t>Shared claim-specific concepts:</w:t>
      </w:r>
      <w:r>
        <w:t xml:space="preserve"> shown, all, countries, potential; EU scope visible. This is a provisional connection, not an outcome finding.</w:t>
      </w:r>
    </w:p>
    <w:p>
      <w:pPr>
        <w:pStyle w:val="SourceNote"/>
      </w:pPr>
      <w:r>
        <w:rPr>
          <w:b/>
        </w:rPr>
        <w:t>Available abstract (not full text):</w:t>
      </w:r>
      <w:r>
        <w:t xml:space="preserve"> Globally, water-based bathing pastimes are important for both mental and physical health. However, exposure to waterborne organisms could present a substantial public health issue. Bathing waters are shown to contribute to the transmission of illness and disease and represent a reservoir and pathway for the dissemination of antimicrobial resistant (AMR) organisms. Current bathing water quality regulations focus on enumeration of faecal indicator organisms and are not designed for detection of specific waterborne organisms of public health concern (WOPHC), such as antimicrobial resistant (AMR)/pathogenic bacteria, or viruses. This investigation presents the first scoping review of the occurrence of waterborne organisms of public health concern (WOPHC) in identified natural bathing waters across the European Union (EU), which aimed to critically evaluate the potential risk of human exposure and to assess the appropriateness of the current EU bathing water regulations for the protection of public health. Accordingly, this review sought to identify and synthesise all literature pertaining to a selection of bacterial (Campylobacter spp., Escherichia coli, Salmonella spp., Shigella spp., Vibrio spp., Pseudomonas spp., AMR bacteria), viral (Hepatitis spp., enteroviruses, rotavirus, adenovirus, norovirus), and protozoan (Giardia spp., and Cryptosporidium spp.) contaminants in EU bathin</w:t>
      </w:r>
    </w:p>
    <w:p>
      <w:pPr/>
      <w:r>
        <w:rPr>
          <w:b/>
        </w:rPr>
        <w:t>POSSIBLE 2020:</w:t>
      </w:r>
      <w:r>
        <w:t xml:space="preserve"> Instrumental Activities of Daily Living (iADL) Limitations in Europe: An Assessment of SHARE Data — https://doi.org/10.3390/ijerph17207387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This study aims to evaluate the instrumental activities of daily living (iADLs) limitations in Europe and its association with socio-demographic characteristics, economic parameters and physical and mental health status. We used data from the wave 6 of SHARE database. Individuals were classified as having either none or one or more limitations on iADLs. Participants aged 65 or more years who answered all questions for the variables included in this work were selected. A total of 54.8% of participants were female and had a mean age of 74.37 (SD = 7.08) years. A global prevalence of 1 or more iADLs in Europe was shown to be 23.8% and more prevalent in women than in men (27.1% vs. 17.6%) and in people aged 85 years or more (51.5%). Older age, female gender, lower education, physical inactivity, frailty, having two or more chronic diseases, presence of depression, polypharmacy, poor self-perception of health and lower network satisfaction were found to be factors associated with the presence of 1 or more iADLs limitation. This study highlights the burden of iADLs limitations at the European level. These are based on a multidimensional biopsychosocial model and are associated with both health conditions and environmental factors. This intersection between the physical and social world underscores its potential as a health indicator and can, to some extent, explain some of the pronou</w:t>
      </w:r>
    </w:p>
    <w:p>
      <w:pPr/>
      <w:r>
        <w:rPr>
          <w:b/>
        </w:rPr>
        <w:t>POSSIBLE 2020:</w:t>
      </w:r>
      <w:r>
        <w:t xml:space="preserve"> The burden of neurological diseases in Europe: an analysis for the Global Burden of Disease Study 2017 — https://doi.org/10.1016/s2468-2667(20)30190-0</w:t>
      </w:r>
    </w:p>
    <w:p>
      <w:pPr/>
      <w:r>
        <w:rPr>
          <w:b/>
        </w:rPr>
        <w:t>Shared claim-specific concepts:</w:t>
      </w:r>
      <w:r>
        <w:t xml:space="preserve"> shown, all, countries; EU scope visible. This is a provisional connection, not an outcome finding.</w:t>
      </w:r>
    </w:p>
    <w:p>
      <w:pPr>
        <w:pStyle w:val="SourceNote"/>
      </w:pPr>
      <w:r>
        <w:rPr>
          <w:b/>
        </w:rPr>
        <w:t>Available abstract (not full text):</w:t>
      </w:r>
      <w:r>
        <w:t xml:space="preserve"> BACKGROUND: Neurological disorders account for a large and increasing health burden worldwide, as shown in the Global Burden of Diseases (GBD) Study 2016. Unpacking how this burden varies regionally and nationally is important to inform public health policy and prevention strategies. The population in the EU is older than that of the WHO European region (western, central, and eastern Europe) and even older than the global population, suggesting that it might be particularly vulnerable to an increasing burden of age-related neurological disorders. We aimed to compare the burden of neurological disorders in the EU between 1990 and 2017 with those of the WHO European region and worldwide. METHODS: The burden of neurological disorders was calculated for the year 2017 as incidence, prevalence, mortality, disability-adjusted life-years (DALYs), years of life lost, and years lived with disability for the countries in the EU and the WHO European region, totally and, separately. Diseases analysed were Alzheimer's disease and other dementias, epilepsy, headache (migraine and tension-type headache), multiple sclerosis, Parkinson's disease, brain cancer, motor neuron diseases, neuroinfectious diseases, and stroke. Data are presented as totals and by sex, age, year, location and socio-demographic context, and shown as counts and rates. FINDINGS: In 2017, the total number of DALYs attributab</w:t>
      </w:r>
    </w:p>
    <w:p>
      <w:pPr/>
      <w:r>
        <w:rPr>
          <w:b/>
        </w:rPr>
        <w:t>POSSIBLE 2020:</w:t>
      </w:r>
      <w:r>
        <w:t xml:space="preserve"> Flood trends in Europe: are changes in small and big floods different? — https://doi.org/10.5194/hess-24-1805-2020</w:t>
      </w:r>
    </w:p>
    <w:p>
      <w:pPr/>
      <w:r>
        <w:rPr>
          <w:b/>
        </w:rPr>
        <w:t>Shared claim-specific concepts:</w:t>
      </w:r>
      <w:r>
        <w:t xml:space="preserve"> selected, especially, regional;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r>
        <w:rPr>
          <w:b/>
        </w:rPr>
        <w:t>POSSIBLE 2020:</w:t>
      </w:r>
      <w:r>
        <w:t xml:space="preserve"> Mapping interventional cardiology in Europe: the European Association of Percutaneous Cardiovascular Interventions (EAPCI) Atlas Project — https://doi.org/10.1093/eurheartj/ehaa475</w:t>
      </w:r>
    </w:p>
    <w:p>
      <w:pPr/>
      <w:r>
        <w:rPr>
          <w:b/>
        </w:rPr>
        <w:t>Shared claim-specific concepts:</w:t>
      </w:r>
      <w:r>
        <w:t xml:space="preserve"> shown, countries, international; EU scope visible. This is a provisional connection, not an outcome finding.</w:t>
      </w:r>
    </w:p>
    <w:p>
      <w:pPr>
        <w:pStyle w:val="SourceNote"/>
      </w:pPr>
      <w:r>
        <w:rPr>
          <w:b/>
        </w:rPr>
        <w:t>Available abstract (not full text):</w:t>
      </w:r>
      <w:r>
        <w:t xml:space="preserve"> AIMS: The European Association of Percutaneous Cardiovascular Interventions (EAPCI) Atlas of Interventional Cardiology has been developed to map interventional practice across European Society of Cardiology (ESC) member countries. Here we present the main findings of a 16-country survey in which we examine the national availability of interventional infrastructure, human resource, and procedure volumes. METHODS AND RESULTS: Sixteen ESC member countries participated in the EAPCI Atlas survey. Interventional data were collected by the National Cardiac Society of each participating country. An annual median of 5131 [interquartile range (IQR) 4013-5801] diagnostic heart procedures per million people were reported, ranging from &lt;2500 in Egypt and Romania to &gt;7000 in Turkey and Germany. Procedure rates showed significant correlation (r = 0.67, P = 0.013) with gross national income (GNI) per capita. An annual median of 2478 (IQR 1690-2633) percutaneous coronary interventions (PCIs) per million people were reported, ranging from &lt;1000 in Egypt and Romania to &gt;3000 in Switzerland, Poland, and Germany. Procedure rates showed significant correlation with GNI per capita (r = 0.62, P = 0.014). An annual median of 48.2 (IQR 29.1-105.2) transcatheter aortic valve implantation procedures per million people were performed, varying from &lt;25 per million people in Egypt, Romania, Turkey, and Polan</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shown, international, regional;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countries, potential, especially, regional;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715.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Climate &amp; Air Quality projections over Europe for 2030 and 2050 — https://openalex.org/W7213705154</w:t>
      </w:r>
    </w:p>
    <w:p>
      <w:pPr/>
      <w:r>
        <w:rPr>
          <w:b/>
        </w:rPr>
        <w:t>Shared claim-specific concepts:</w:t>
      </w:r>
      <w:r>
        <w:t xml:space="preserve"> projections, increases, emissions, over,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European identity's effect on immigration attitudes: Testing the predictions of the common Ingroup identity model versus ingroup projection model — https://doi.org/10.1111/pops.12970</w:t>
      </w:r>
    </w:p>
    <w:p>
      <w:pPr/>
      <w:r>
        <w:rPr>
          <w:b/>
        </w:rPr>
        <w:t>Shared claim-specific concepts:</w:t>
      </w:r>
      <w:r>
        <w:t xml:space="preserve"> not, always; EU scope visible. This is a provisional connection, not an outcome finding.</w:t>
      </w:r>
    </w:p>
    <w:p>
      <w:pPr>
        <w:pStyle w:val="SourceNote"/>
      </w:pPr>
      <w:r>
        <w:rPr>
          <w:b/>
        </w:rPr>
        <w:t>Available abstract (not full text):</w:t>
      </w:r>
      <w:r>
        <w:t xml:space="preserve"> Abstract A superordinate identity unites different subgroups into an overarching, common one. But does superordinate identification then improve or worsen attitudes towards the former outgroup? The common ingroup identity model (CIIM) asserts that recategorization ameliorates outgroup bias by reducing perceptions of intergroup threat. It predicts that superordinate identification will improve intergroup relations by promoting tolerance and acceptance of diversity. In contrast, the ingroup project model (IPM) asserts that identifying superordinately will actually exacerbate outgroup bias because ingroup members naturally project their own characteristics onto the superordinate category and will more strongly dislike the former outgroup for not fitting the “correct” superordinate prototype. Existing evidence—largely drawn from psychology lab experiments, not real‐world situations—suggests both models can be correct insofar as ingroup projection only occurs under certain conditions. In that case, which model is correct for European identity? Results from original survey data collected in three European countries (Germany, Poland, and the United Kingdom) show that increased identification with Europe is almost always associated with more favorable attitudes towards outgroup immigrants, even among those most likely to engage in ingroup projection. Future research should continue to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projections, suggest, increases, socioeconomic, climate;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Climate change projections of commercial fish distribution and suitable habitat around north western Europe — https://doi.org/10.1111/faf.12773</w:t>
      </w:r>
    </w:p>
    <w:p>
      <w:pPr/>
      <w:r>
        <w:rPr>
          <w:b/>
        </w:rPr>
        <w:t>Shared claim-specific concepts:</w:t>
      </w:r>
      <w:r>
        <w:t xml:space="preserve"> projections, temperature, climate; EU scope visible. This is a provisional connection, not an outcome finding.</w:t>
      </w:r>
    </w:p>
    <w:p>
      <w:pPr>
        <w:pStyle w:val="SourceNote"/>
      </w:pPr>
      <w:r>
        <w:rPr>
          <w:b/>
        </w:rPr>
        <w:t>Available abstract (not full text):</w:t>
      </w:r>
      <w:r>
        <w:t xml:space="preserve">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pPr/>
      <w:r>
        <w:rPr>
          <w:b/>
        </w:rPr>
        <w:t>POSSIBLE 2023:</w:t>
      </w:r>
      <w:r>
        <w:t xml:space="preserve"> Projections and uncertainties of future winter windstorm damage in Europe — https://doi.org/10.5194/egusphere-egu23-797</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Extratropical winter windstorms are among the most significant natural hazards in Europe in terms of fatalities and economic losses, and windstorm impacts projections under climate change in Europe are considerably uncertain. This study combines state-of-the-art climatic projections from 29 global climate models participating in CMIP6, with the open-source weather and climate impact-risk assessment model CLIMADA to obtain a set of relevant projections for future windstorm-induced damages over Europe. Spatial patterns of the future changes in windstorm damages projected by the multi-model ensemble show a median increase in the damages in northwestern and northern-central Europe, and a median decrease over the rest of Europe, in agreement with an eastward extension of the North Atlantic storm track into Europe. We combine all 29 available climate models in an ensemble of opportunity approach and find evidence for an overall increase in future windstorm loss events, with events with return periods of 100 years under current climate becoming events with return periods of less than 20 years under future SSP585 climate. Using an uncertainty-sensitivity quantification analysis, we find that the climate model uncertainty dominates the uncertainty in the projections of damages related to frequent events, but that stochastic uncertainty hinders the uncertainty quantification for more ext</w:t>
      </w:r>
    </w:p>
    <w:p>
      <w:pPr/>
      <w:r>
        <w:rPr>
          <w:b/>
        </w:rPr>
        <w:t>POSSIBLE 2023:</w:t>
      </w:r>
      <w:r>
        <w:t xml:space="preserve"> European projections of West Nile virus transmission under climate change scenarios — https://doi.org/10.1016/j.onehlt.2023.100509</w:t>
      </w:r>
    </w:p>
    <w:p>
      <w:pPr/>
      <w:r>
        <w:rPr>
          <w:b/>
        </w:rPr>
        <w:t>Shared claim-specific concepts:</w:t>
      </w:r>
      <w:r>
        <w:t xml:space="preserve"> projections, not, socioeconomic, climate; EU scope visible. This is a provisional connection, not an outcome finding.</w:t>
      </w:r>
    </w:p>
    <w:p>
      <w:pPr>
        <w:pStyle w:val="SourceNote"/>
      </w:pPr>
      <w:r>
        <w:rPr>
          <w:b/>
        </w:rPr>
        <w:t>Available abstract (not full text):</w:t>
      </w:r>
      <w:r>
        <w:t xml:space="preserve"> West Nile virus (WNV), a mosquito-borne zoonosis, has emerged as a disease of public health concern in Europe. Recent outbreaks have been attributed to suitable climatic conditions for its vectors favoring transmission. However, to date, projections of the risk for WNV expansion under climate change scenarios is lacking. Here, we estimate the WNV-outbreaks risk for a set of climate change and socioeconomic scenarios. We delineate the potential risk-areas and estimate the growth in the population at risk (PAR). We used supervised machine learning classifier, XGBoost, to estimate the WNV-outbreak risk using an ensemble climate model and multi-scenario approach. The model was trained by collating climatic, socioeconomic, and reported WNV-infections data (2010-22) and the out-of-sample results (1950-2009, 2023-99) were validated using a novel Confidence-Based Performance Estimation (CBPE) method. Projections of area specific outbreak risk trends, and corresponding population at risk were estimated and compared across scenarios. Our results show up to 5-fold increase in West Nile virus (WNV) risk for 2040-60 in Europe, depending on geographical region and climate scenario, compared to 2000-20. The proportion of disease-reported European land areas could increase from 15% to 23-30%, putting 161 to 244 million people at risk. Across scenarios, Western Europe appears to be facing the l</w:t>
      </w:r>
    </w:p>
    <w:p>
      <w:pPr/>
      <w:r>
        <w:rPr>
          <w:b/>
        </w:rPr>
        <w:t>POSSIBLE 2022:</w:t>
      </w:r>
      <w:r>
        <w:t xml:space="preserve"> Model Projections of Increased Severity of Heat Waves in Eastern Europe — https://doi.org/10.1029/2022gl100183</w:t>
      </w:r>
    </w:p>
    <w:p>
      <w:pPr/>
      <w:r>
        <w:rPr>
          <w:b/>
        </w:rPr>
        <w:t>Shared claim-specific concepts:</w:t>
      </w:r>
      <w:r>
        <w:t xml:space="preserve"> projections, combined, climate; EU scope visible. This is a provisional connection, not an outcome finding.</w:t>
      </w:r>
    </w:p>
    <w:p>
      <w:pPr>
        <w:pStyle w:val="SourceNote"/>
      </w:pPr>
      <w:r>
        <w:rPr>
          <w:b/>
        </w:rPr>
        <w:t>Available abstract (not full text):</w:t>
      </w:r>
      <w:r>
        <w:t xml:space="preserve"> Abstract Extreme heat is investigated in a series of high‐resolution time‐slice global simulations comparing the current and late‐21st century climates. An increase in climate‐relative extreme heat is found in the region surrounding the Black Sea. Similarities between the synoptic‐scale flows in current and future heat events combined with a decrease in future summer precipitation suggests that the increased future severity stems from strengthened land‐atmosphere feedbacks driven primarily by the changes in precipitation. The resulting intensification of heat events beyond the mean warming driven by climate change could generate significant future heat hazards in vulnerable regions. Given the continental cool bias in the present‐day simulations, the resulting estimates of future extreme heat are likely to be conservative.</w:t>
      </w:r>
    </w:p>
    <w:p>
      <w:pPr/>
      <w:r>
        <w:rPr>
          <w:b/>
        </w:rPr>
        <w:t>POSSIBLE 2022:</w:t>
      </w:r>
      <w:r>
        <w:t xml:space="preserve"> Mechanisms behind large-scale inconsistencies between regional and global climate model-based projections over Europe — https://doi.org/10.1007/s00382-022-06540-6</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The Role of the North Atlantic Oscillation for Projections of Winter Mean Precipitation in Europe — https://doi.org/10.1029/2022gl099083</w:t>
      </w:r>
    </w:p>
    <w:p>
      <w:pPr/>
      <w:r>
        <w:rPr>
          <w:b/>
        </w:rPr>
        <w:t>Shared claim-specific concepts:</w:t>
      </w:r>
      <w:r>
        <w:t xml:space="preserve"> projections, emissions, climate; EU scope visible. This is a provisional connection, not an outcome finding.</w:t>
      </w:r>
    </w:p>
    <w:p>
      <w:pPr>
        <w:pStyle w:val="SourceNote"/>
      </w:pPr>
      <w:r>
        <w:rPr>
          <w:b/>
        </w:rPr>
        <w:t>Available abstract (not full text):</w:t>
      </w:r>
      <w:r>
        <w:t xml:space="preserve"> Abstract Climate models generally project an increase in the winter North Atlantic Oscillation (NAO) index under a future high‐emissions scenario, alongside an increase in winter precipitation in northern Europe and a decrease in southern Europe. The extent to which future forced NAO trends are important for European winter precipitation trends and their uncertainty remains unclear. We show using the Multimodel Large Ensemble Archive that the NAO plays a small role in northern European mean winter precipitation projections for 2080–2099. Conversely, half of the model uncertainty in southern European mean winter precipitation projections is potentially reducible through improved understanding of the NAO projections. Extreme positive NAO winters increase in frequency in most models as a consequence of mean NAO changes. These extremes also have more severe future precipitation impacts, largely because of mean precipitation changes. This has implications for future resilience to extreme positive NAO winters, which frequently have severe societal impacts.</w:t>
      </w:r>
    </w:p>
    <w:p>
      <w:pPr>
        <w:pStyle w:val="Heading2"/>
      </w:pPr>
      <w:r>
        <w:t>716.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Good ecological status of the Danube water quality in the function of environmental protection — https://doi.org/10.5937/gu_koret26121t</w:t>
      </w:r>
    </w:p>
    <w:p>
      <w:pPr/>
      <w:r>
        <w:rPr>
          <w:b/>
        </w:rPr>
        <w:t>Shared claim-specific concepts:</w:t>
      </w:r>
      <w:r>
        <w:t xml:space="preserve"> aim, water, achieve, good, ecological, status; EU scope not established. This is a provisional connection, not an outcome finding.</w:t>
      </w:r>
    </w:p>
    <w:p>
      <w:pPr>
        <w:pStyle w:val="SourceNote"/>
      </w:pPr>
      <w:r>
        <w:rPr>
          <w:b/>
        </w:rPr>
        <w:t>Available abstract (not full text):</w:t>
      </w:r>
      <w:r>
        <w:t xml:space="preserve"> The paper analyzes changes in the ecological status of surface water with the aim of achieving the required quality of the Danube's water in order to preserve environmental conditions. The ecological classification of oxygen regime parameters clearly indicates the degree of change in the quality, structure, vitality, and functioning of the Danube's aquatic ecosystem. For surface waters, the general objective of the Water Framework Directive is to achieve "good status," i.e., Class II ecological water quality status, as a condition for meeting the required environmental standards. The relevant values of oxygen consumption indicators for the observed annual periods were compared with the threshold values of quality classes prescribed by the Regulation on limit values of pollutants in surface and groundwater and sediments, and deadlines for their achievement ("Official Gazette of the Republic of Serbia", No. 50/2012). The results for the analyzed years 2015, 2021 and 2022 show a positive change in terms of the number of oxygen regime parameters and the number of profiles that meet the required range of values for achieving a good ecological status of the Danube's water quality along its course through Serbia, in the function of environmental protection.</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2025:</w:t>
      </w:r>
      <w:r>
        <w:t xml:space="preserve"> Establishing Total Phosphorus Boundaries to Support Good Ecological Status of Greek Lakes and Reservoirs in Accordance with the Water Framework Directive — https://doi.org/10.3390/w17233349</w:t>
      </w:r>
    </w:p>
    <w:p>
      <w:pPr/>
      <w:r>
        <w:rPr>
          <w:b/>
        </w:rPr>
        <w:t>Shared claim-specific concepts:</w:t>
      </w:r>
      <w:r>
        <w:t xml:space="preserve"> water, achieve, good, ecological, status, lakes; EU scope visible. This is a provisional connection, not an outcome finding.</w:t>
      </w:r>
    </w:p>
    <w:p>
      <w:pPr>
        <w:pStyle w:val="SourceNote"/>
      </w:pPr>
      <w:r>
        <w:rPr>
          <w:b/>
        </w:rPr>
        <w:t>Available abstract (not full text):</w:t>
      </w:r>
      <w:r>
        <w:t xml:space="preserve"> Eutrophication, driven by nutrient enrichment, represents substantial anthropogenic pressure with harmful consequences for aquatic ecosystems. The Water Framework Directive provides a structured approach to addressing this challenge as it requires European Union Member States to achieve at least good ecological status for their surface waters. The establishment of realistic nutrient boundaries, above which negative effects become pronounced, is essential to guide regulatory intervention aimed at securing long-term water sustainability in Europe. Greece is one of the Member States which should determine nutrient boundaries supporting the good ecological status of lakes. Two statistical approaches, ranged major axis regression and binomial logistic regression, were applied for setting appropriate nutrient boundaries for Greek natural lakes and reservoirs, using datasets of phytoplankton and total phosphorus concentrations, retrieved from the national monitoring program (2016–2023). The predicted boundary values for total phosphorus supporting good ecological status ranged from 32 to 76 μg/L, with stricter boundaries corresponding to deep lakes. Nutrient boundaries that reflect the environmental pressures on Greek natural lakes and reservoirs are fundamental to ensure proper design of lake management strategies.</w:t>
      </w:r>
    </w:p>
    <w:p>
      <w:pPr/>
      <w:r>
        <w:rPr>
          <w:b/>
        </w:rPr>
        <w:t>POSSIBLE 2025:</w:t>
      </w:r>
      <w:r>
        <w:t xml:space="preserve"> Water governance for good ecological status and water quality in south-western Czechia – an interdisciplinary study — https://doi.org/10.1080/00207233.2025.2568342</w:t>
      </w:r>
    </w:p>
    <w:p>
      <w:pPr/>
      <w:r>
        <w:rPr>
          <w:b/>
        </w:rPr>
        <w:t>Shared claim-specific concepts:</w:t>
      </w:r>
      <w:r>
        <w:t xml:space="preserve"> water, good, ecological, status; EU scope visible. This is a provisional connection, not an outcome finding.</w:t>
      </w:r>
    </w:p>
    <w:p>
      <w:pPr>
        <w:pStyle w:val="SourceNote"/>
      </w:pPr>
      <w:r>
        <w:rPr>
          <w:b/>
        </w:rPr>
        <w:t>Available abstract (not full text):</w:t>
      </w:r>
      <w:r>
        <w:t xml:space="preserve"> This study examines stakeholder efforts to meet European targets for raw water quality. Key sources of water quality deterioration include fish farming, agricultural activities, partially treated urban sewage, and forestry. Although the forest sector and municipal wastewater treatment facilities have demonstrated progress, fish farming and agricultural sectors remain reluctant to implement effective measures. Economic considerations, level of environmental literacy, and the strength of knowledge networks emerge as critical factors influencing stakeholder actions. Non-governmental environmental organisations prioritise issues other than water quality, limiting their engagement in this domain. Moreover, the dominant role of the Ministry of Agriculture in water management appears to hinder cross-sectorial coordination and progress towards achieving good raw water quality.</w:t>
      </w:r>
    </w:p>
    <w:p>
      <w:pPr/>
      <w:r>
        <w:rPr>
          <w:b/>
        </w:rPr>
        <w:t>POSSIBLE 2024:</w:t>
      </w:r>
      <w:r>
        <w:t xml:space="preserve"> Ecological Status of Water Quality — https://doi.org/10.5772/intechopen.1003863</w:t>
      </w:r>
    </w:p>
    <w:p>
      <w:pPr/>
      <w:r>
        <w:rPr>
          <w:b/>
        </w:rPr>
        <w:t>Shared claim-specific concepts:</w:t>
      </w:r>
      <w:r>
        <w:t xml:space="preserve"> water, ecological, status, all; EU scope visible. This is a provisional connection, not an outcome finding.</w:t>
      </w:r>
    </w:p>
    <w:p>
      <w:pPr>
        <w:pStyle w:val="SourceNote"/>
      </w:pPr>
      <w:r>
        <w:rPr>
          <w:b/>
        </w:rPr>
        <w:t>Available abstract (not full text):</w:t>
      </w:r>
      <w:r>
        <w:t xml:space="preserve"> This chapter gives an overview of environmental quality standards and water quality elements according to the Water Framework Directive and all related guidance documents, Environmental Quality Standards Directive and Water Information System for Europe – WISE GIS Guidance. The chapter explains the main definitions and principles by which surface water and groundwater quality is assessed; it sets out the concepts and procedures that closely drive the development of the aquatic environment protection strategy for the basins for the purpose of preventing the damage to water bodies, as well as protecting, increasing, and rehabilitating the status of all bodies of water, both surface and groundwater ones.</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European Union Policy on Climate Change Framework — https://doi.org/10.59168/vrer2863</w:t>
      </w:r>
    </w:p>
    <w:p>
      <w:pPr/>
      <w:r>
        <w:rPr>
          <w:b/>
        </w:rPr>
        <w:t>Shared claim-specific concepts:</w:t>
      </w:r>
      <w:r>
        <w:t xml:space="preserve"> aim, water; EU scope visible. This is a provisional connection, not an outcome finding.</w:t>
      </w:r>
    </w:p>
    <w:p>
      <w:pPr>
        <w:pStyle w:val="SourceNote"/>
      </w:pPr>
      <w:r>
        <w:rPr>
          <w:b/>
        </w:rPr>
        <w:t>Available abstract (not full text):</w:t>
      </w:r>
      <w:r>
        <w:t xml:space="preserve"> The aim of the paper is to study the European policies in the matter of climate change and water resources management, especially Common Agricultural Policy, Environmental Policy, EU Emission Trading System (ETS), climate and energy policies nexus with international agreements in climate action and world global warming, and the way these European policies are settled and applied in national countries. The paper studies the manner these policies are implemented in European Union countries, funding resources for climate action, with impact on decisionmaking level and good-governance.</w:t>
      </w:r>
    </w:p>
    <w:p>
      <w:pPr/>
      <w:r>
        <w:rPr>
          <w:b/>
        </w:rPr>
        <w:t>POSSIBLE 2023:</w:t>
      </w:r>
      <w:r>
        <w:t xml:space="preserve"> A conceptual model for enabling sustainable management of soil-sediment-water ecosystems in support of European policy — https://doi.org/10.14321/aehm.026.02.063</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Abstract The health of soil-sediment-water ecosystems is under pressure from economic activities and a changing climate. This decreases health and hampers the service provision capacity of these ecosystems and thus impacts human well-being. Protecting and where feasible restoring of ecosystem health has currently become the key European environmental policy objective and for this it is needed to take an entire system approach and engage stakeholders. ‘Entire’ means that soil, sediment and water are regarded as closely interlinked environmental matrices that need to be managed by taking a ‘river (or mountain) to sea’ perspective, crossing spatial, discipline, political and cultural boundaries. This paper presents a conceptual model to support that purpose. Essentially, the conceptual model presents an approach for ecosystem-based management aimed to achieve healthy ecosystems, i.e. soil-sediment-water ecosystems that have the continued capacity to support ecosystem services to the benefit of their users. The model proposes a cyclic (iterative, learning-by-doing) approach and integrates soil-sediment-water, ecosystems, ecosystem services, users (stakeholders), pressures, information, management strategy and program of measures as building blocks. To successfully apply the model, it is above all needed to take an entrepreneurial approach, i.e. leave comfort zones, take an adventur</w:t>
      </w:r>
    </w:p>
    <w:p>
      <w:pPr/>
      <w:r>
        <w:rPr>
          <w:b/>
        </w:rPr>
        <w:t>POSSIBLE 2022:</w:t>
      </w:r>
      <w:r>
        <w:t xml:space="preserve"> Prediction of ecological status of surface water bodies with supervised machine learning classifiers — https://doi.org/10.1016/j.scitotenv.2022.159655</w:t>
      </w:r>
    </w:p>
    <w:p>
      <w:pPr/>
      <w:r>
        <w:rPr>
          <w:b/>
        </w:rPr>
        <w:t>Shared claim-specific concepts:</w:t>
      </w:r>
      <w:r>
        <w:t xml:space="preserve"> aim, water, good, ecological, status, all; EU scope visible. This is a provisional connection, not an outcome finding.</w:t>
      </w:r>
    </w:p>
    <w:p>
      <w:pPr>
        <w:pStyle w:val="SourceNote"/>
      </w:pPr>
      <w:r>
        <w:rPr>
          <w:b/>
        </w:rPr>
        <w:t>Available abstract (not full text):</w:t>
      </w:r>
      <w:r>
        <w:t xml:space="preserve"> Ensuring a good ecological status of water bodies is one of the key challenges of communities and one of the objectives of the European Water Framework Directive. Although recent works identified the most significant stressors affecting the ecological quality of rivers, the ability to predict the overall ecological status of rivers based on a limited amount of easily accessible geospatial data has not been investigated so far. Most of the analyses focus on detailed local modelling and measurements which cannot be systematically applied at regional scales for the purposes of water resources management. The aim of this work is to understand the capabilities of five supervised machine learning classifiers of predicting the ecological status of rivers based on land use, climate, morphology, and water management parameters extracted over the river catchments corresponding to the ecological monitoring stations. Moreover, the performances of machine learning classifiers are compared to the results of the canonical correlation analysis. The method is applied to 360 catchments in Tuscany (central Italy) with a median size of 33.6 km2 and a Mediterranean climate. The results show (i) a significant correlation of ecological status with summer climate (i.e., maximum temperatures and minimum precipitation), land use and water exploitation, (ii) an 80 % precision of Random Forest algorithm t</w:t>
      </w:r>
    </w:p>
    <w:p>
      <w:pPr/>
      <w:r>
        <w:rPr>
          <w:b/>
        </w:rPr>
        <w:t>POSSIBLE 2022:</w:t>
      </w:r>
      <w:r>
        <w:t xml:space="preserve"> Ecotoxicological tools in support of the aims of the European Water Framework Directive: A step towards a more holistic ecosystem-based approach — https://doi.org/10.1016/j.ecolind.2022.109645</w:t>
      </w:r>
    </w:p>
    <w:p>
      <w:pPr/>
      <w:r>
        <w:rPr>
          <w:b/>
        </w:rPr>
        <w:t>Shared claim-specific concepts:</w:t>
      </w:r>
      <w:r>
        <w:t xml:space="preserve"> water, good, ecological, status, all; EU scope visible. This is a provisional connection, not an outcome finding.</w:t>
      </w:r>
    </w:p>
    <w:p>
      <w:pPr>
        <w:pStyle w:val="SourceNote"/>
      </w:pPr>
      <w:r>
        <w:rPr>
          <w:b/>
        </w:rPr>
        <w:t>Available abstract (not full text):</w:t>
      </w:r>
      <w:r>
        <w:t xml:space="preserve"> The Water Framework Directive (WFD) aims to attain ‘good quality’ status for all European water bodies through the achievement of good ecological status. To this purpose, the WFD advocates the creation of cost-effective monitoring tools to deliver appropriate data that help to create links between chemical and ecological indicators, as those from ecotoxicological research. Here, it was evaluated whether the integration of ecotoxicological tools, as bioassays and biomarkers, did (or did not) strengthen the robustness of the assessment of the ecological status obtained through well stablished biotic indices in two Atlantic estuaries. For that, a battery of in-situ bioassays, including five macroinvertebrate species (the crab Carcinus maenas, the amphipod Echinogammarus marinus, the isopod Cyathura carinata, the snail Peringia ulvae and the polychaete Hediste diversicolor, each one providing complementary information regarding key ecological functions) and a set of biomarkers, was used. In addition, the concentrations of heavy metals in sediments, and in macroalgae (Fucus), were determined, along with sediment granulometric, water physicochemical and nutrients characterization. We show that by interpreting the values of all indicators together, along with environmental components, it is possible to perform a more holistic description of the quality status of a waterbody – and, to </w:t>
      </w:r>
    </w:p>
    <w:p>
      <w:pPr>
        <w:pStyle w:val="Heading2"/>
      </w:pPr>
      <w:r>
        <w:t>717.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2024:</w:t>
      </w:r>
      <w:r>
        <w:t xml:space="preserve"> How do emergency departments respond to ambulance pre-alert calls? A qualitative exploration of the management of pre-alerts in UK emergency departments — https://doi.org/10.1136/emermed-2023-213854</w:t>
      </w:r>
    </w:p>
    <w:p>
      <w:pPr/>
      <w:r>
        <w:rPr>
          <w:b/>
        </w:rPr>
        <w:t>Shared claim-specific concepts:</w:t>
      </w:r>
      <w:r>
        <w:t xml:space="preserve"> pre-alert, reduce, due; EU scope not established. This is a provisional connection, not an outcome finding.</w:t>
      </w:r>
    </w:p>
    <w:p>
      <w:pPr>
        <w:pStyle w:val="SourceNote"/>
      </w:pPr>
      <w:r>
        <w:rPr>
          <w:b/>
        </w:rPr>
        <w:t>Available abstract (not full text):</w:t>
      </w:r>
      <w:r>
        <w:t xml:space="preserve"> Abstract Background Whilst pre-alerts have been shown to improve outcomes for some patients requiring immediate time-critical treatment (e.g. stroke), little is known about their usefulness for other patients and what processes are used by Emergency Department (EDs) to respond to them. In the current context of high demand, it is important to understand how pre-alerts affect EDs. Methods We undertook non-participation observation (162 hours, 143 pre-alerts) and semi-structured interviews (40 staff) within six UK Emergency Departments (EDs), between August 2022-April 2023. Interview transcripts and observation notes were imported into NVivo™ and analysed using a thematic approach. Results Pre-alert calls involved significant time and resources for ED staff but enabled staff to prepare for patient’s arrival both practically and psychologically, particularly when demand was high. High demand created additional pre-alerts due to advice or ‘heads up’ calls from ambulance clinicians concerned about handover delay. Despite some pre-alert fatigue regarding patients who did not always require a special response (e.g. sepsis), ED clinicians prioritised and valued pre-alerts, perceiving higher risks from under-alerting than over-alerting. Variation in ED processes for a) senior clinical review of pre-alerted patients not brought into resus and b) receiving, documenting and informing other</w:t>
      </w:r>
    </w:p>
    <w:p>
      <w:pPr/>
      <w:r>
        <w:rPr>
          <w:b/>
        </w:rPr>
        <w:t>POSSIBLE 2024:</w:t>
      </w:r>
      <w:r>
        <w:t xml:space="preserve"> Managing heart failure in the longer term — https://doi.org/10.1136/conmed-2024-000013</w:t>
      </w:r>
    </w:p>
    <w:p>
      <w:pPr/>
      <w:r>
        <w:rPr>
          <w:b/>
        </w:rPr>
        <w:t>Shared claim-specific concepts:</w:t>
      </w:r>
      <w:r>
        <w:t xml:space="preserve"> setting, long-term, reduce; EU scope not established. This is a provisional connection, not an outcome finding.</w:t>
      </w:r>
    </w:p>
    <w:p>
      <w:pPr>
        <w:pStyle w:val="SourceNote"/>
      </w:pPr>
      <w:r>
        <w:rPr>
          <w:b/>
        </w:rPr>
        <w:t>Available abstract (not full text):</w:t>
      </w:r>
      <w:r>
        <w:t xml:space="preserve"> After initial diagnosis and treatment, patients presenting to hospital with acute heart failure (HF) are assessed and managed by the hospital HF team. Further investigations are carried out to confirm the diagnosis; existing guideline-directed medical therapies are optimised; and new treatments are initiated to stabilise the condition, manage symptoms, and reduce morbidity and mortality. A wide range of diagnostic tests and therapeutics are established for HF with reduced ejection fraction, while options for HF with preserved ejection fraction have been limited. However, repurposing of drugs originally developed for other conditions (eg, sodium-glucose co-transporter 2 inhibitors and glucagon-like receptor 1 antagonists) for use in people with heart failure and extended use of medications traditionally restricted to reduced ejection fraction, such as mineralocorticoid receptor antagonists (eg, spironolactone) and angiotensin-neprilysin inhibitors (eg, sacubitril–valsartan) in those with an EF&gt;40% is challenging established practice and increasing the options for optimisation of long-term management of patients with HF, across the entire ejection fraction spectrum. Integral to the management of chronic HF is the need to consider approaches to identify deterioration between scheduled visits, including annual electrocardiography and N-terminal pro B-type natriuretic peptide monito</w:t>
      </w:r>
    </w:p>
    <w:p>
      <w:pPr/>
      <w:r>
        <w:rPr>
          <w:b/>
        </w:rPr>
        <w:t>POSSIBLE 2023:</w:t>
      </w:r>
      <w:r>
        <w:t xml:space="preserve"> Reimagining long term care in Europe — https://doi.org/10.5334/ijic.icic23695</w:t>
      </w:r>
    </w:p>
    <w:p>
      <w:pPr/>
      <w:r>
        <w:rPr>
          <w:b/>
        </w:rPr>
        <w:t>Shared claim-specific concepts:</w:t>
      </w:r>
      <w:r>
        <w:t xml:space="preserve"> setting, long-term, planning, actions, levels; EU scope visible. This is a provisional connection, not an outcome finding.</w:t>
      </w:r>
    </w:p>
    <w:p>
      <w:pPr>
        <w:pStyle w:val="SourceNote"/>
      </w:pPr>
      <w:r>
        <w:rPr>
          <w:b/>
        </w:rPr>
        <w:t>Available abstract (not full text):</w:t>
      </w:r>
      <w:r>
        <w:t xml:space="preserve"> Introduction: This 90 minute workshop will be a collaboration between IFICs Ageing and Frailty SIG, Age Platform Europe and a group of experts who supported the government of Bizkaia in developing an empowerment model for long-term care. The session will interest policy makers, researchers, advocates, patients, carers and professionals who plan, commission, fund, provide or regulate long-term care. The European Care Strategy sets out an EU vision on a rights based approach to long-term care with a co-production and preventative approach. It calls for a social protection model for financing care to make it accessible to all. It emphasises the need to integrate and coordinate health and social care, to invest in innovative solutions to improve care and working conditions and to build capacity and skills of the care workforce. The strategy publication coincided with the launch of a report by the Bizkaia council, AGE Platform Europe and a group of European academic experts. The Bay of Care report calls for a stronger commitment to a rights-based approach to long-term care. It proposes a more holistic view of older people’s well-being and quality of life with their goals and preferences central to the design of long term care within a person-centred and integrated system. The model takes a life-course approach to healthy ageing and both gender and social equity. Structure: Welcome a</w:t>
      </w:r>
    </w:p>
    <w:p>
      <w:pPr/>
      <w:r>
        <w:rPr>
          <w:b/>
        </w:rPr>
        <w:t>POSSIBLE 2023:</w:t>
      </w:r>
      <w:r>
        <w:t xml:space="preserve"> A Confluence of Cultures: Advance Care Planning in Long-Term Care Settings — https://doi.org/10.31389/jltc.203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Context: While policies may promote Advance Care Planning (ACP) discussions in long-term care (LTC) settings, practices often result in outcomes different from residents’ wishes. We attribute this to a confluence of cultures: healthcare; LTC settings; mainstream societal; and individuals’ ethno-cultures. This research explores these cultures as reflected in focus group discussions conducted with residents and family-of-residents in two LTC homes: one exclusively Chinese (EC); one multicultural (MC). Method: Fourteen residents and 13 family members participated in the four focus groups. Discussions were audio-recorded, transcribed, and themes were extracted and compared. Results: Four themes characterized residents’ discussions: 1-Variations in Range/Type of ACP Discussions/Actions; 2-Care of Family; 3-Reliance on Staff; and 4-Quality-of-Life at End-of-Life. Exclusively Chinese residents expressed reluctance to speak about ACP, were more likely to state “family would handle it,” less likely to call upon staff, and more acquiescent concerning death. Multicultural residents were more likely to pejoratively mention pull or absence of family and reliance upon staff; also, wanting personal awareness and control at end-of-life. Family themes were 1-Timing/Focus of ACP Discussions, 2-Communication with Family, 3-Care Home and Staff Influences, and 4-Cultural and Religious Issues. Exclu</w:t>
      </w:r>
    </w:p>
    <w:p>
      <w:pPr/>
      <w:r>
        <w:rPr>
          <w:b/>
        </w:rPr>
        <w:t>POSSIBLE 2023:</w:t>
      </w:r>
      <w:r>
        <w:t xml:space="preserve"> Determination of Country-Specific Criteria Weights for Long-Term Energy Planning in Europe — https://doi.org/10.3390/en16134920</w:t>
      </w:r>
    </w:p>
    <w:p>
      <w:pPr/>
      <w:r>
        <w:rPr>
          <w:b/>
        </w:rPr>
        <w:t>Shared claim-specific concepts:</w:t>
      </w:r>
      <w:r>
        <w:t xml:space="preserve"> long-term, planning, well; EU scope visible. This is a provisional connection, not an outcome finding.</w:t>
      </w:r>
    </w:p>
    <w:p>
      <w:pPr>
        <w:pStyle w:val="SourceNote"/>
      </w:pPr>
      <w:r>
        <w:rPr>
          <w:b/>
        </w:rPr>
        <w:t>Available abstract (not full text):</w:t>
      </w:r>
      <w:r>
        <w:t xml:space="preserve">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pPr/>
      <w:r>
        <w:rPr>
          <w:b/>
        </w:rPr>
        <w:t>POSSIBLE 2023:</w:t>
      </w:r>
      <w:r>
        <w:t xml:space="preserve"> Are traditional urban greening actions compliant with the European Greening Plans guidance? — https://doi.org/10.1016/j.ufug.2023.128131</w:t>
      </w:r>
    </w:p>
    <w:p>
      <w:pPr/>
      <w:r>
        <w:rPr>
          <w:b/>
        </w:rPr>
        <w:t>Shared claim-specific concepts:</w:t>
      </w:r>
      <w:r>
        <w:t xml:space="preserve"> setting, long-term, actions, levels, due; EU scope visible. This is a provisional connection, not an outcome finding.</w:t>
      </w:r>
    </w:p>
    <w:p>
      <w:pPr>
        <w:pStyle w:val="SourceNote"/>
      </w:pPr>
      <w:r>
        <w:rPr>
          <w:b/>
        </w:rPr>
        <w:t>Available abstract (not full text):</w:t>
      </w:r>
      <w:r>
        <w:t xml:space="preserve"> The Biodiversity Strategy for 2030, embedded in the European Green Deal, is a key policy agenda promoted by the European Commission to protect nature and biodiversity. This strategy sets ambitious goals to protect and restore ecosystems, halt biodiversity decline, and improve monitoring and governance efforts. Notably, municipalities with at least 20,000 inhabitants are now invited to develop comprehensive Urban Greening Plans (UGP). To support this process, the European Commission has recently released a draft guidance document that provides step-by-step assistance in creating long-term UGPs. We conducted semi-structured interviews with 15 European cities to evaluate what kind of UGPs have already been developed and assess compliance with the European guidelines. The findings reveal that many cities have already developed greening or sustainability plans, although certain crucial steps are still lacking to ensure the long-term success of UGPs. These include securing political commitment, establishing a working structure, fostering cross-departmental collaboration, and addressing limitations in human and financial resources. Typically, greening strategies are implemented within broader sustainability initiatives such as climate adaptation or biodiversity strategy. Among the interviewed cities, four cities are in the process of developing a comprehensive greening plan that integ</w:t>
      </w:r>
    </w:p>
    <w:p>
      <w:pPr/>
      <w:r>
        <w:rPr>
          <w:b/>
        </w:rPr>
        <w:t>POSSIBLE 2023:</w:t>
      </w:r>
      <w:r>
        <w:t xml:space="preserve"> A person‐centred approach to enhance the long‐term health and wellbeing of people living with HIV in Europe — https://doi.org/10.1002/jia2.26117</w:t>
      </w:r>
    </w:p>
    <w:p>
      <w:pPr/>
      <w:r>
        <w:rPr>
          <w:b/>
        </w:rPr>
        <w:t>Shared claim-specific concepts:</w:t>
      </w:r>
      <w:r>
        <w:t xml:space="preserve"> long-term, actions, prevent; EU scope visible. This is a provisional connection, not an outcome finding.</w:t>
      </w:r>
    </w:p>
    <w:p>
      <w:pPr>
        <w:pStyle w:val="SourceNote"/>
      </w:pPr>
      <w:r>
        <w:rPr>
          <w:b/>
        </w:rPr>
        <w:t>Available abstract (not full text):</w:t>
      </w:r>
      <w:r>
        <w:t xml:space="preserve">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pPr/>
      <w:r>
        <w:rPr>
          <w:b/>
        </w:rPr>
        <w:t>POSSIBLE 2023:</w:t>
      </w:r>
      <w:r>
        <w:t xml:space="preserve"> Shaping Sustainable Cities: A Long-Term GIS-Emanated Spatial Analysis of Settlement Growth and Planning in a Coastal Mediterranean European City — https://doi.org/10.3390/su151411202</w:t>
      </w:r>
    </w:p>
    <w:p>
      <w:pPr/>
      <w:r>
        <w:rPr>
          <w:b/>
        </w:rPr>
        <w:t>Shared claim-specific concepts:</w:t>
      </w:r>
      <w:r>
        <w:t xml:space="preserve"> long-term, planning, actions, levels; EU scope visible. This is a provisional connection, not an outcome finding.</w:t>
      </w:r>
    </w:p>
    <w:p>
      <w:pPr>
        <w:pStyle w:val="SourceNote"/>
      </w:pPr>
      <w:r>
        <w:rPr>
          <w:b/>
        </w:rPr>
        <w:t>Available abstract (not full text):</w:t>
      </w:r>
      <w:r>
        <w:t xml:space="preserve"> European cities have experienced rapid (and often conflicting) transformations that include, inter alia, the environment, the economy, society, climate change, and access to affordable housing, with implications for their future development. In order to address such issues, assessing the current situation of European metropolises is crucial to understanding new urban development models. In light of these dynamics, our study focused on urban expansion in Pafos, Cyprus, between 1993 and 2021. Such dynamics were examined through photointerpretation (using kernel density estimation) via the ArcGISPro spatial analyst tool. The empirical results of this analysis are considered particularly insightful, especially those regarding urban sprawl and its implications for future land management for the study area, and could help toward shaping specific policies to guide cities towards sustainable and environmentally friendly development. The analysis reveals a gradual increase in settlements over time (55%), although the rate of growth has decreased in recent years, as a consequence of the economic crisis. Density maps revealed varying levels of urban concentration density, highlighting the presence of high-density settlement cores downtown and low-density, dispersed settlements in the surrounding districts. According to the empirical findings of this study, urban growth in Pafos features f</w:t>
      </w:r>
    </w:p>
    <w:p>
      <w:pPr/>
      <w:r>
        <w:rPr>
          <w:b/>
        </w:rPr>
        <w:t>POSSIBLE 2023:</w:t>
      </w:r>
      <w:r>
        <w:t xml:space="preserve"> The Increased Clinical and Economic Burden of Hyperkalemia in Medicare Patients Admitted to Long-Term Care Settings — https://doi.org/10.1007/s12325-022-02420-x</w:t>
      </w:r>
    </w:p>
    <w:p>
      <w:pPr/>
      <w:r>
        <w:rPr>
          <w:b/>
        </w:rPr>
        <w:t>Shared claim-specific concepts:</w:t>
      </w:r>
      <w:r>
        <w:t xml:space="preserve"> setting, long-term, levels, reduce; EU scope not established. This is a provisional connection, not an outcome finding.</w:t>
      </w:r>
    </w:p>
    <w:p>
      <w:pPr>
        <w:pStyle w:val="SourceNote"/>
      </w:pPr>
      <w:r>
        <w:rPr>
          <w:b/>
        </w:rPr>
        <w:t>Available abstract (not full text):</w:t>
      </w:r>
      <w:r>
        <w:t xml:space="preserve"> Older patients are at increased risk for hyperkalemia (HK). This study describes the prevalence, recurrence, and clinical and economic burden of HK in Medicare patients admitted to a long-term care (LTC) setting. Retrospective cohort study using 100% Medicare Fee-for-Service (FFS) claims identified patients aged ≥ 65 years with index admission between 2017 and 2019 to a LTC setting (skilled nursing, home health, inpatient rehabilitation, or long-term acute care). Beneficiaries were required to have 12 months continuous medical and pharmacy coverage prior to index LTC admission and ≥ 30 days after LTC discharge (follow-up). Patient characteristics, healthcare resource utilization, and costs were assessed. HK was defined as ICD-10 diagnosis code E87.5 in any claim position or Medicare Part D fill for oral potassium binder. Of 4,562,231 patients with a LTC stay, the prevalence of HK was 14.7% over the full study period (pre-index, index stay, and follow-up). Excluding those with HK only during the follow-up period resulted in 4,081,103 patients. Of these, 290,567 (7.1%) had HK and 3,790,536 (92.9%) did not have HK during or within 14 days prior to index LTC stay. The HK recurrence rate during index stay and follow-up was 48.3%. Unmatched HK versus non-HK patients were more often male (43.0% vs. 35.4%), Black (13.5% vs. 8.0%), dual eligible for Medicaid (34.2% vs. 25.0%), with high</w:t>
      </w:r>
    </w:p>
    <w:p>
      <w:pPr>
        <w:pStyle w:val="Heading2"/>
      </w:pPr>
      <w:r>
        <w:t>718.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State policy for stimulating investment in the development of renewable energy under wartime and European integration changes — https://doi.org/10.66556/2663-0117.51.prots-r</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purpose of the study is to substantiate the theoretical foundations of state policy for stimulating investment in renewable energy development under the simultaneous intensification of wartime and European integration changes, as well as to form a system of instruments capable of combining the need for rapid restoration of energy infrastructure with the long-term investment attractiveness of the sector. The object of the study is the processes of state influence on the formation, attraction and allocation of investment resources for the development of renewable energy sources. It is substantiated that under wartime threats investment incentives cannot be reduced to individual tax, tariff or credit preferences, since an investor's decision increasingly depends on a combination of security, financial, infrastructural, legal and market preconditions. It is determined that European integration changes simultaneously increase requirements for transparency of state support, guarantees of energy origin, market competition, technical compatibility and predictability of rules. State policy for stimulating investment is proposed to be considered as an interconnected system of strategic and target-oriented, financial and economic, guarantee and insurance, infrastructural, organizational, informational and control components. It is proved that the most important result of state influen</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energy, system, investments, needed, until, region;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Review of energy investments for strengthening resilience in energy system — https://doi.org/10.31713/m1316</w:t>
      </w:r>
    </w:p>
    <w:p>
      <w:pPr/>
      <w:r>
        <w:rPr>
          <w:b/>
        </w:rPr>
        <w:t>Shared claim-specific concepts:</w:t>
      </w:r>
      <w:r>
        <w:t xml:space="preserve"> energy, system, investments; EU scope not established. This is a provisional connection, not an outcome finding.</w:t>
      </w:r>
    </w:p>
    <w:p>
      <w:pPr>
        <w:pStyle w:val="SourceNote"/>
      </w:pPr>
      <w:r>
        <w:rPr>
          <w:b/>
        </w:rPr>
        <w:t>Available abstract (not full text):</w:t>
      </w:r>
      <w:r>
        <w:t xml:space="preserve"> The provoked shock in the energy system came into a moment in which climate impact is more and more visible and took several types. The rise of prices has determined economic incentives for increasing the offer and for choosing the alternative or more efficient ways to satisfy the demands. The shocks due to energetic security have created strong incentives for politic decisional factors for reducing the dependences and vulnerabilities, but in the same time for a lot of devel-oping countries, the financial resources are depleted. The last years were a period of extreme perturbation for energy sector.</w:t>
      </w:r>
    </w:p>
    <w:p>
      <w:pPr/>
      <w:r>
        <w:rPr>
          <w:b/>
        </w:rPr>
        <w:t>POSSIBLE 2023:</w:t>
      </w:r>
      <w:r>
        <w:t xml:space="preserve"> Long-term optimization of the Norwegian energy system under the influence of the European power market — https://doi.org/10.1109/eem58374.2023.10161972</w:t>
      </w:r>
    </w:p>
    <w:p>
      <w:pPr/>
      <w:r>
        <w:rPr>
          <w:b/>
        </w:rPr>
        <w:t>Shared claim-specific concepts:</w:t>
      </w:r>
      <w:r>
        <w:t xml:space="preserve"> energy, system, indicate, investments, modelling; EU scope visible. This is a provisional connection, not an outcome finding.</w:t>
      </w:r>
    </w:p>
    <w:p>
      <w:pPr>
        <w:pStyle w:val="SourceNote"/>
      </w:pPr>
      <w:r>
        <w:rPr>
          <w:b/>
        </w:rPr>
        <w:t>Available abstract (not full text):</w:t>
      </w:r>
      <w:r>
        <w:t xml:space="preserve"> This paper proposes a novel bidirectional linkage between a national energy system model and a European power market model. The combined modelling framework enables long-term energy system investment strategies at the national level that captures the impact and interaction with the European power system. The linking methodology is demonstrated with two models, 1) IFE-TIMES-Norway, a technology-rich model used to analyze the cost-optimal development of the Norwegian energy system, and 2) EMPIRE, a stochastic capacity expansion model optimizing operation and investments of the European power system. Two convergence criteria are used: electricity generation capacities and prices. The linkage is performed for two future transition pathways, in which convergence is reached after 3 and 4 iterations. Results indicate that the pace of convergence greatly depends on the degree of interaction with neighbouring countries, as the European prices are sensitive to the Norwegian energy mix and vice versa. The linkage also led to changes in production and export volumes in Norway, emphasizing the importance of capturing the price elasticity of Europe when designing national energy systems.</w:t>
      </w:r>
    </w:p>
    <w:p>
      <w:pPr/>
      <w:r>
        <w:rPr>
          <w:b/>
        </w:rPr>
        <w:t>POSSIBLE 2023:</w:t>
      </w:r>
      <w:r>
        <w:t xml:space="preserve"> Energy Systems — https://doi.org/10.1017/9781009157926.008</w:t>
      </w:r>
    </w:p>
    <w:p>
      <w:pPr/>
      <w:r>
        <w:rPr>
          <w:b/>
        </w:rPr>
        <w:t>Shared claim-specific concepts:</w:t>
      </w:r>
      <w:r>
        <w:t xml:space="preserve"> energy, system, investments, take; EU scope not established. This is a provisional connection, not an outcome finding.</w:t>
      </w:r>
    </w:p>
    <w:p>
      <w:pPr>
        <w:pStyle w:val="SourceNote"/>
      </w:pPr>
      <w:r>
        <w:rPr>
          <w:b/>
        </w:rPr>
        <w:t>Available abstract (not full text):</w:t>
      </w:r>
      <w:r>
        <w:t xml:space="preserve"> Warming cannot be limited to well below 2°C without rapid and deep reductions in energy system carbon dioxide (CO 2 ) and greenhouse gas (GHG) emissions.In scenarios limiting warming to 1.5°C (&gt;50%) with no or limited overshoot (2°C (&gt;67%) with action starting in 2020), net energy system CO 2 emissions (interquartile range) fall by 87-97% (60-79%) in 2050.In 2030, in scenarios limiting warming to 1.5°C (&gt;50%) with no or limited overshoot, net CO 2 and GHG emissions fall by 35-51% and 38-52% respectively.In scenarios limiting warming to 1.5°C (&gt;50%) with no or limited overshoot (2°C (&gt;67%)), net electricity sector CO 2 emissions reach zero globally between 2045 and 2055 (2050 and 2080).(high confidence) {6.7} Limiting warming to well below 2°C will require substantial energy system changes over the next 30 years.This includes reduced fossil fuel consumption, increased production from low-and zero-carbon energy sources, and increased use of electricity and alternative energy carriers.Coal consumption without carbon capture and storage (CCS) falls by 67-82% (interquartile range) in 2030 in scenarios limiting warming to 1.5°C (&gt;50%) with no or limited overshoot.Oil and gas consumption fall more slowly.Low-carbon sources produce 93-97% of global electricity by 2050 in scenarios that limit warming to 2°C (&gt;67%) with action starting in 2020.In scenarios limiting warming to 1.5°C (&gt;50%</w:t>
      </w:r>
    </w:p>
    <w:p>
      <w:pPr/>
      <w:r>
        <w:rPr>
          <w:b/>
        </w:rPr>
        <w:t>POSSIBLE 2022:</w:t>
      </w:r>
      <w:r>
        <w:t xml:space="preserve"> Indicators for the optimization of sustainable urban energy systems based on energy system modeling — https://doi.org/10.1186/s13705-021-00323-3</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Abstract Background Urban energy systems are responsible for 75% of the world’s energy consumption and for 70% of the worldwide greenhouse gas emissions. Energy system models are used to optimize, benchmark and compare such energy systems with the help of energy sustainability indicators. We discuss several indicators for their basic suitability and their response to changing boundary conditions, system structures and reference values. The most suitable parameters are applied to four different supply scenarios of a real-world urban energy system. Results There is a number of energy sustainability indicators, but not all of them are suitable for the use in urban energy system optimization models. Shortcomings originate from the omission of upstream energy supply chains (secondary energy efficiency), from limited capabilities to compare small energy systems (energy productivity), from excessive accounting expense (regeneration rate), from unsuitable accounting methods (primary energy efficiency), from a questionable impact of some indicators on the overall system sustainability (self-sufficiency), from the lack of detailed information content (share of renewables), and more. On the other hand, indicators of absolute greenhouse gas emissions, energy costs, and final energy demand are well suitable for the use in optimization models. However, each of these indicators only represent</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2022:</w:t>
      </w:r>
      <w:r>
        <w:t xml:space="preserve"> The Energy Return on Investment of Whole-Energy Systems: Application to Belgium — https://doi.org/10.1007/s41247-022-00106-0</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Planning the defossilization of energy systems while maintaining access to abundant primary energy resources is a non-trivial multi-objective problem encompassing economic, technical, environmental, and social aspects. However, most long-term policies consider the cost of the system as the leading indicator in the energy system models to decrease the carbon footprint. This paper is the first to develop a novel approach by adding a surrogate indicator for the social and economic aspects, the energy return on investment (EROI), in a whole-energy system optimization model. In addition, we conducted a global sensitivity analysis to identify the main parameters driving the EROI uncertainty. This method is illustrated in the 2035 Belgian energy system for several greenhouse gas (GHG) emissions targets. Nevertheless, it can be applied to any worldwide or country energy system. The main results are threefold when the GHG emissions are reduced by 80%: (i) the EROI decreases from 8.9 to 3.9; (ii) the imported renewable gas (methane) represents 60 % of the system primary energy mix; (iii) the sensitivity analysis reveals this fuel drives 67% of the variation of the EROI. These results raise questions about meeting the climate targets without adverse socio-economic impact, demonstrating the importance of considering the EROI in energy system models.</w:t>
      </w:r>
    </w:p>
    <w:p>
      <w:pPr/>
      <w:r>
        <w:rPr>
          <w:b/>
        </w:rPr>
        <w:t>POSSIBLE 2021:</w:t>
      </w:r>
      <w:r>
        <w:t xml:space="preserve"> Sustainable renewable energy supply networks optimization – The gradual transition to a renewable energy system within the European Union by 2050 — https://doi.org/10.1016/j.rser.2021.111186</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In order to achieve the goal of a carbon neutral EU by 2050 and meet the climate targets of the Paris Agreement, a sustainable, efficient, competitive and secure energy system needs to be developed. This paper presents the synthesis of sustainable renewable energy supply networks within the EU-27, proposing a stepwise energy transition in the transport and power sectors, achieving a carbon net neutral target by 2050. A multi-period mixed-integer programming model is developed, with the objective of maximizing sustainability net present value, considering different biomass and waste resources for the production of biofuels, renewable electricity, hydrogen, food and bioproducts, employing different types of technologies. The results show that, with further development of existing technologies, the goal of a carbon-neutral EU can be achieved without compromising food production. Wind farms have proven to be the most promising solution at present for the rapid expansion of electricity generation from renewable energy sources, while the importance of solar photovoltaics is increasing over the years, reaching the 43% share of electricity generation from RES in 2050. Moreover, the energy transition within the EU could have a significant positive impact on the economic, environmental and also social aspects of sustainability, with more than 1.5 million new job opportunities created acr</w:t>
      </w:r>
    </w:p>
    <w:p>
      <w:pPr>
        <w:pStyle w:val="Heading2"/>
      </w:pPr>
      <w:r>
        <w:t>719.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2025:</w:t>
      </w:r>
      <w:r>
        <w:t xml:space="preserve"> What good is agroecology? Predominant narratives about agroecology in Africa — https://doi.org/10.1016/j.jrurstud.2025.103706</w:t>
      </w:r>
    </w:p>
    <w:p>
      <w:pPr/>
      <w:r>
        <w:rPr>
          <w:b/>
        </w:rPr>
        <w:t>Shared claim-specific concepts:</w:t>
      </w:r>
      <w:r>
        <w:t xml:space="preserve"> three, narratives, based, nine, key, interviews; EU scope not established. This is a provisional connection, not an outcome finding.</w:t>
      </w:r>
    </w:p>
    <w:p>
      <w:pPr>
        <w:pStyle w:val="SourceNote"/>
      </w:pPr>
      <w:r>
        <w:rPr>
          <w:b/>
        </w:rPr>
        <w:t>Available abstract (not full text):</w:t>
      </w:r>
      <w:r>
        <w:t xml:space="preserve"> Agroecology is still a marginal approach to agricultural development in Africa when compared to industrial approaches, despite growing evidence of its potential to address core challenges of food insecurity, poverty, and soil degradation. This paper investigates one possible explanation for this discrepancy: the discursive landscape of African agriculture. Taking inspiration from narrative analysis, we document stories about agroecology as told by key actors in the food system: farmers, pastoralists, NGO workers, extension officers, government officials, and researchers. Based on 208 interviews with key informants (KIs) across nine African case studies, we identified three distinct narratives: Agroecology is: 1) a tool in a toolbox 2) for poor farmers 3) the better path. In addition to these narratives, we report KIs' perceptions of two narrative components, namely their definition of agroecology and the key challenges affecting agriculture in their case study site. We use these problem framings to evaluate how logically agroecology fits as a solution in this story, and thus its discursive potential as an approach to agricultural development. We find that many respondents do not consider agroecology to be an effective or relevant solution to major food system challenges, or that they have a limited understanding of the full breadth of agroecology. We suggest that organizations </w:t>
      </w:r>
    </w:p>
    <w:p>
      <w:pPr/>
      <w:r>
        <w:rPr>
          <w:b/>
        </w:rPr>
        <w:t>POSSIBLE 2025:</w:t>
      </w:r>
      <w:r>
        <w:t xml:space="preserve"> Ketamine’s Therapeutic Role in Substance Use Disorders: A Narrative Review — https://doi.org/10.3390/neurosci6030083</w:t>
      </w:r>
    </w:p>
    <w:p>
      <w:pPr/>
      <w:r>
        <w:rPr>
          <w:b/>
        </w:rPr>
        <w:t>Shared claim-specific concepts:</w:t>
      </w:r>
      <w:r>
        <w:t xml:space="preserve"> three, nine, key, literature, review; EU scope not established. This is a provisional connection, not an outcome finding.</w:t>
      </w:r>
    </w:p>
    <w:p>
      <w:pPr>
        <w:pStyle w:val="SourceNote"/>
      </w:pPr>
      <w:r>
        <w:rPr>
          <w:b/>
        </w:rPr>
        <w:t>Available abstract (not full text):</w:t>
      </w:r>
      <w:r>
        <w:t xml:space="preserve"> Interest in ketamine as a novel treatment for substance use disorders (SUDs) has been increasing due to its N-methyl-D-aspartate (NMDA) glutamate receptor antagonism and mounting evidence that glutamate neurotransmission is involved in the pathogenesis of both depression and addictions. This narrative review provides an outline of clinical evidence reported in the literature from the 1970s to 2025 that examines the efficacy of ketamine for the treatment of SUDs, focusing primarily on randomized blinded controlled trials (RBCTs). Key cohort studies, retrospective studies, secondary analyses, case reports, and relevant basic neuroscience studies are reviewed to complement the more rigorous human controlled trial data. Thus far, ketamine has been tested in nine RBCTs targeting cocaine (three studies), alcohol (three studies), opioid use disorder (two studies), and nicotine (one study), suggesting efficacy for addiction in combination with psychotherapies, and often when doses produce subjectively reported mystical or psychedelic experiences. This review highlights promising preliminary evidence, and the need for more rigorous studies to elucidate the scope of drug addictions ketamine may target, its optimal dosing or route of administration, the importance of concurrent psychotherapies, professional supervision and safety monitoring, and which psychiatric comorbidities or contexts</w:t>
      </w:r>
    </w:p>
    <w:p>
      <w:pPr/>
      <w:r>
        <w:rPr>
          <w:b/>
        </w:rPr>
        <w:t>POSSIBLE 2024:</w:t>
      </w:r>
      <w:r>
        <w:t xml:space="preserve"> Exploring the Narrative and Aesthetic Aspects of Huanglong Opera in Nong'an County Jilin Province China — https://doi.org/10.60027/ijsasr.2024.3930</w:t>
      </w:r>
    </w:p>
    <w:p>
      <w:pPr/>
      <w:r>
        <w:rPr>
          <w:b/>
        </w:rPr>
        <w:t>Shared claim-specific concepts:</w:t>
      </w:r>
      <w:r>
        <w:t xml:space="preserve"> three, narratives, key; EU scope not established. This is a provisional connection, not an outcome finding.</w:t>
      </w:r>
    </w:p>
    <w:p>
      <w:pPr>
        <w:pStyle w:val="SourceNote"/>
      </w:pPr>
      <w:r>
        <w:rPr>
          <w:b/>
        </w:rPr>
        <w:t>Available abstract (not full text):</w:t>
      </w:r>
      <w:r>
        <w:t xml:space="preserve">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pPr/>
      <w:r>
        <w:rPr>
          <w:b/>
        </w:rPr>
        <w:t>POSSIBLE 2023:</w:t>
      </w:r>
      <w:r>
        <w:t xml:space="preserve"> Elaborating, sharing, narrating: a narrative analysis of three approaches to health communication — https://doi.org/10.1590/interface.230172</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r>
        <w:rPr>
          <w:b/>
        </w:rPr>
        <w:t>POSSIBLE 2023:</w:t>
      </w:r>
      <w:r>
        <w:t xml:space="preserve"> Elaborating, sharing, narrating: a narrative analysis of three approaches to health communication — https://doi.org/10.6084/m9.figshare.23584934</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r>
        <w:rPr>
          <w:b/>
        </w:rPr>
        <w:t>POSSIBLE 2023:</w:t>
      </w:r>
      <w:r>
        <w:t xml:space="preserve"> Narrative therapy with children: A qualitative interview study with Danish therapists about the application of narrative practices — https://doi.org/10.1002/capr.12656</w:t>
      </w:r>
    </w:p>
    <w:p>
      <w:pPr/>
      <w:r>
        <w:rPr>
          <w:b/>
        </w:rPr>
        <w:t>Shared claim-specific concepts:</w:t>
      </w:r>
      <w:r>
        <w:t xml:space="preserve"> three, nine, key, interviews; EU scope not established. This is a provisional connection, not an outcome finding.</w:t>
      </w:r>
    </w:p>
    <w:p>
      <w:pPr>
        <w:pStyle w:val="SourceNote"/>
      </w:pPr>
      <w:r>
        <w:rPr>
          <w:b/>
        </w:rPr>
        <w:t>Available abstract (not full text):</w:t>
      </w:r>
      <w:r>
        <w:t xml:space="preserve"> Abstract Purpose Therapists' insights into practising narrative therapy (NT) with children can elucidate the strengths and challenges associated with this practice. Aim The aim of this study was to investigate how therapists experience the application of NT with children. Method Nine Danish narrative therapists working with children participated in semi‐structured qualitative interviews. The data were analysed using Braun and Clarke's thematic analysis. Results Three overall themes were identified; “you have to be crazy about children,” “practised ethics” and “practical challenges.” Two subthemes were generated: “acting is the key” and “the importance of the system surrounding the child.” Conclusion The narrative therapists experienced NT as applicable for children due to its potential to facilitate a safe place that integrates the child's current stage of development. NT does not serve to “fit” the child but should be perceived as a practised ethic. Therapists accentuated challenges working with NT, specifically related to outsider‐witnessing and staying in a decentred position. The results are discussed regarding their contribution to the evolvement of the narrative therapy profession and to the training and supervision of novice practitioners.</w:t>
      </w:r>
    </w:p>
    <w:p>
      <w:pPr/>
      <w:r>
        <w:rPr>
          <w:b/>
        </w:rPr>
        <w:t>POSSIBLE 2023:</w:t>
      </w:r>
      <w:r>
        <w:t xml:space="preserve"> Narrative Factuality: A Handbook — https://doi.org/10.1215/03335372-10578555</w:t>
      </w:r>
    </w:p>
    <w:p>
      <w:pPr/>
      <w:r>
        <w:rPr>
          <w:b/>
        </w:rPr>
        <w:t>Shared claim-specific concepts:</w:t>
      </w:r>
      <w:r>
        <w:t xml:space="preserve"> three, narratives, key, literature, review; EU scope not established. This is a provisional connection, not an outcome finding.</w:t>
      </w:r>
    </w:p>
    <w:p>
      <w:pPr>
        <w:pStyle w:val="SourceNote"/>
      </w:pPr>
      <w:r>
        <w:rPr>
          <w:b/>
        </w:rPr>
        <w:t>Available abstract (not full text):</w:t>
      </w:r>
      <w:r>
        <w:t xml:space="preserve"> This handbook is the result of an ambitious, interdisciplinary, and pioneering project, in that it not only opens new horizons for the study of the wide field of factual narratives across disciplines and various media, but it also charts important new trajectories for narrative theory at large. Although narratology has branched out in many interesting and new ways during the past two decades or so, it has traditionally been mainly concerned with literary or narrative fiction rather than with manifestations of narrative in nonfictional domains such as historiography, law, medicine, politics, or sociology. While various domains, forms, and functions of factual or reality-focused narratives have recently received some attention, most notably in a volume entitled Wirklichkeitserzählungen (edited by the German narrative theorists Christian Klein and Matías Martinez in 2009), the wide range of uses of narratives to convey facts and true information have still not been studied as comprehensively and systematically as literary narratives, and as they no doubt deserve to be.Although the present volume was originally conceived of as a “reference work for the PhD students of the graduate school” entitled “Factual and Fictional Narration” (which is situated at the University of Freiburg, from which this project originates), the aims and scope of this handbook are so broad that it can indee</w:t>
      </w:r>
    </w:p>
    <w:p>
      <w:pPr/>
      <w:r>
        <w:rPr>
          <w:b/>
        </w:rPr>
        <w:t>POSSIBLE 2022:</w:t>
      </w:r>
      <w:r>
        <w:t xml:space="preserve"> FRAMING AND NARRATIVES AS ASSISTANTS IN ADVANCING A SCIENCE-ORIENTED MINDSET. THE EXAMPLE OF THE POLICE IN THE BALTICS — https://doi.org/10.17770/acj.v1i93.6492</w:t>
      </w:r>
    </w:p>
    <w:p>
      <w:pPr/>
      <w:r>
        <w:rPr>
          <w:b/>
        </w:rPr>
        <w:t>Shared claim-specific concepts:</w:t>
      </w:r>
      <w:r>
        <w:t xml:space="preserve"> three, narratives, key, factors; EU scope not established. This is a provisional connection, not an outcome finding.</w:t>
      </w:r>
    </w:p>
    <w:p>
      <w:pPr>
        <w:pStyle w:val="SourceNote"/>
      </w:pPr>
      <w:r>
        <w:rPr>
          <w:b/>
        </w:rPr>
        <w:t>Available abstract (not full text):</w:t>
      </w:r>
      <w:r>
        <w:t xml:space="preserve"> Country-specific knowledge offered by police science is a necessary precondition for successful policing. However, cursory data on police science in the Baltic countries raises many questions about the real use of scientific knowledge opportunities in these countries.The paper elaborates on a framework to advance a science-oriented mindset in the police. Principles of narratives and framing were used to overcome a possible conflict between scientists and practitioners, and bridge all the parties related to policing. In this framework, scientists should take the lead. External, internal, and strategic factors, as Alisson’s three key management functions, were used to specify factors of the framework in the research. The framing process that holds a focusing function allows the use of discovered narratives and presents a variety of possible future directions. Creating a metanarrative with beginning, middle, and end grasps all the agents and ties into future developments.</w:t>
      </w:r>
    </w:p>
    <w:p>
      <w:pPr/>
      <w:r>
        <w:rPr>
          <w:b/>
        </w:rPr>
        <w:t>POSSIBLE 2022:</w:t>
      </w:r>
      <w:r>
        <w:t xml:space="preserve"> For a narrative hospital : a training model to narrative medicine at the hospital — https://openalex.org/W4399152333</w:t>
      </w:r>
    </w:p>
    <w:p>
      <w:pPr/>
      <w:r>
        <w:rPr>
          <w:b/>
        </w:rPr>
        <w:t>Shared claim-specific concepts:</w:t>
      </w:r>
      <w:r>
        <w:t xml:space="preserve"> three, narratives, elaborated, based; EU scope not established. This is a provisional connection, not an outcome finding.</w:t>
      </w:r>
    </w:p>
    <w:p>
      <w:pPr>
        <w:pStyle w:val="SourceNote"/>
      </w:pPr>
      <w:r>
        <w:rPr>
          <w:b/>
        </w:rPr>
        <w:t>Available abstract (not full text):</w:t>
      </w:r>
      <w:r>
        <w:t xml:space="preserve"> Today, the Narrative Medicine training of health providers has three main challenges. How to overcome the limitations of individual training? How to promote the spread of Narrative Medicine? How to build narrative environments? This dissertation provides theoretical and pragmatic answers by considering the Narrative Medicine training that we have been carrying out at the Centre Hospitalier Intercommunal de Créteil (CHIC) since 2019.At first, we explain the methodology of this project based on the principles and practice of Narrative Medicine, as Rita Charon has elaborated them at Columbia University. At the CHIC, five interprofessional groups attend a two-hour Narrative Medicine workshop once a month: they read, write, and share texts and narratives of different nature (literary, clinical, artistic, and musical). At least, a «literary consultant» and a health professional provide the facilitation.In the light of experience, we developed an innovative three-phase model (Basic Workshops, Creative Workshops, Cofacilitated Workshops), and we describe it broadly. Our goal is to offer a training device that can be transferable and adaptable to other hospitals.Using an approach based on the dialogical research, as established by Arthur Frank, we provide feedback from participants to evaluate the effects of this training on professional wellbeing, narrative competence, and institutiona</w:t>
      </w:r>
    </w:p>
    <w:p>
      <w:pPr/>
      <w:r>
        <w:rPr>
          <w:b/>
        </w:rPr>
        <w:t>POSSIBLE 2021:</w:t>
      </w:r>
      <w:r>
        <w:t xml:space="preserve"> Elaborating Visual Narrative into Modern Adaptation Concept for Picture Book with Indonesian Folklore Theme — https://doi.org/10.2991/assehr.k.211228.061</w:t>
      </w:r>
    </w:p>
    <w:p>
      <w:pPr/>
      <w:r>
        <w:rPr>
          <w:b/>
        </w:rPr>
        <w:t>Shared claim-specific concepts:</w:t>
      </w:r>
      <w:r>
        <w:t xml:space="preserve"> three, based, literature, content; EU scope not established. This is a provisional connection, not an outcome finding.</w:t>
      </w:r>
    </w:p>
    <w:p>
      <w:pPr>
        <w:pStyle w:val="SourceNote"/>
      </w:pPr>
      <w:r>
        <w:rPr>
          <w:b/>
        </w:rPr>
        <w:t>Available abstract (not full text):</w:t>
      </w:r>
      <w:r>
        <w:t xml:space="preserve"> Folklore shows how a culture brings its point of view and values.It is also an agent of social values such as honesty, kindness, forgiveness, and many more.Through picture book, message from folklore can lead children understanding their society.These aspects are reasons why folklore becomes a favourite genre in picture book.Hence, some argue that folklore also store up cruelty and intimidating content which are not suitable for children.This leads creator and publisher to keep up with new way of adaptation.For example, by combining the method of modern storytelling technique and the art visual narration into the plot.The objective of this study is to design a new adaptation method for Indonesian folklore story by elaborating visual narrative into its story and illustration.By creating the formula, this study will not only help conserving Indonesian folklore stories, but also help delivering social values to children without the need of frighten the readers.This study follows a qualitative method by observing and existing Indonesian folklore books, which then categorized into three genres: Mythology, folktales, and fables.Samples from each category were then picked based on its popularity.A data collection of modern storytelling method and visual narrative literature were also done, which then mapped out into an adaptation concept suitable for children.The results show that vis</w:t>
      </w:r>
    </w:p>
    <w:p>
      <w:pPr/>
      <w:r>
        <w:rPr>
          <w:b/>
        </w:rPr>
        <w:t>POSSIBLE 2021:</w:t>
      </w:r>
      <w:r>
        <w:t xml:space="preserve"> About narrative: a study of the use of narratives in fashion design — https://doi.org/10.32920/ryerson.14646882</w:t>
      </w:r>
    </w:p>
    <w:p>
      <w:pPr/>
      <w:r>
        <w:rPr>
          <w:b/>
        </w:rPr>
        <w:t>Shared claim-specific concepts:</w:t>
      </w:r>
      <w:r>
        <w:t xml:space="preserve"> three, narratives, interviews; EU scope not established. This is a provisional connection, not an outcome finding.</w:t>
      </w:r>
    </w:p>
    <w:p>
      <w:pPr>
        <w:pStyle w:val="SourceNote"/>
      </w:pPr>
      <w:r>
        <w:rPr>
          <w:b/>
        </w:rPr>
        <w:t>Available abstract (not full text):</w:t>
      </w:r>
      <w:r>
        <w:t xml:space="preserve"> This research examines the construction of narratives in fashion design. The intent is to explore how narratives emerge through this practice and how they impact the process of creation and making of fashion artefacts. It is constructed around a series of interviews with three fashion designers whose work reflects the importance of narratives as essential tools in their practice. All participants currently occupy a position in the fashion industry and have significant experiences that allowed them to share and express this area of their work. The analysis of these interviews forms the basis of a short documentary as well as the making of an art piece that are intended to encourage dialogue and deeper reflection about the ways in which narratives manifest themselves in the process of fashion design and how these they are later translated through the fashion industry. It examines how narratives can be used to generate meanings throughout the conception and production of garments and how these meanings can sensitize the consumers to the stories behind the clothes that they wear.</w:t>
      </w:r>
    </w:p>
    <w:p>
      <w:pPr>
        <w:pStyle w:val="Heading2"/>
      </w:pPr>
      <w:r>
        <w:t>720.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NEW PARADIGM OF THE VOCATIONAL EDUCATIONAL DEVELOPMENT IN EUROPEAN UNION COUNTRIES — https://doi.org/10.30525/978-9934-26-310-1-11</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basic concepts and legal principles of the formation and implementation of a new paradigm of the educational policy of the European Union are presented. It outlines strategic guidelines for the development and modernization of vocational education due to the main challenges of modern civilization. The principles of implementation are defined and the directions of development of continuous vocational education are characterized. The purpose of the paper is to identify and substantiate system-wide trends in the development of vocational education in the European Union in the context of the implementation of the lifelong education strategy. The article shows the specifics of the organization of continuous education in European countries that are currently leaders in this field and the problems that arise in the way of the implementation of the lifelong education strategy. Determination of mechanisms for regulating continuous education and substantiation of laws that determine the current processes of development of continuous vocational education within the framework of European integration. Methodology of the study is based on the use of a set of methods determined by the peculiarity of the research problem: analysis of domestic and foreign scientific literature, synthesis, systematization, generalization, abstraction, and the interpretative-analytical method, which are used </w:t>
      </w:r>
    </w:p>
    <w:p>
      <w:pPr/>
      <w:r>
        <w:rPr>
          <w:b/>
        </w:rPr>
        <w:t>POSSIBLE 2022:</w:t>
      </w:r>
      <w:r>
        <w:t xml:space="preserve"> Prevalence of most common skin diseases in Europe: a population‐based study — https://doi.org/10.1111/jdv.18050</w:t>
      </w:r>
    </w:p>
    <w:p>
      <w:pPr/>
      <w:r>
        <w:rPr>
          <w:b/>
        </w:rPr>
        <w:t>Shared claim-specific concepts:</w:t>
      </w:r>
      <w:r>
        <w:t xml:space="preserve"> population, countries, policies, across;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r>
        <w:rPr>
          <w:b/>
        </w:rPr>
        <w:t>POSSIBLE 2022:</w:t>
      </w:r>
      <w:r>
        <w:t xml:space="preserve"> Dataset on European diadromous species distributions from 1750 to present time in Europe, North Africa and the Middle East — https://doi.org/10.1016/j.dib.2022.107821</w:t>
      </w:r>
    </w:p>
    <w:p>
      <w:pPr/>
      <w:r>
        <w:rPr>
          <w:b/>
        </w:rPr>
        <w:t>Shared claim-specific concepts:</w:t>
      </w:r>
      <w:r>
        <w:t xml:space="preserve"> present, population, populations; EU scope visible. This is a provisional connection, not an outcome finding.</w:t>
      </w:r>
    </w:p>
    <w:p>
      <w:pPr>
        <w:pStyle w:val="SourceNote"/>
      </w:pPr>
      <w:r>
        <w:rPr>
          <w:b/>
        </w:rPr>
        <w:t>Available abstract (not full text):</w:t>
      </w:r>
      <w:r>
        <w:t xml:space="preserve"> EuroDiad version 4.0 is a set of data tables that store information about the presences/absences and population functionality of diadromous species (lampreys and fish) populations in selected catchments in Europe, the Middle East, and North Africa from 1750 to present time. This database contains distribution and life-history trait information for twenty-eight European diadromous species and geomorphological data for each of the selected catchments, though not every species has data for every catchment and time period. EuroDiad was originally created in 2005–2006 (EuroDiad 1.0 and 2.0), and contained data for 196 catchments and two time periods (1851–1950 and 1951–2010). It underwent a major update in 2009–2010 (EuroDiad 3.2) through a validation process by European fisheries experts. Version 3.2 included the addition of 63 small-sized catchments (&lt; 10,000 km2) and an additional time period (1751–1850) for select species and catchments. This database underwent a second validation process in 2019–2020 and was updated to v 4.0, with the primary goal of providing information for a new generation of species distribution models, referred to as hybrid models, which incorporate both habitat suitability and population dynamics within their framework. Secondary objectives of this update were to: (a) incorporate new catchments for which information was provided by additional experts, (b)</w:t>
      </w:r>
    </w:p>
    <w:p>
      <w:pPr/>
      <w:r>
        <w:rPr>
          <w:b/>
        </w:rPr>
        <w:t>POSSIBLE 2022:</w:t>
      </w:r>
      <w:r>
        <w:t xml:space="preserve"> Assessing the risk of establishment and transient populations of Spodoptera frugiperda in Europe — https://doi.org/10.1007/s10340-022-01517-0</w:t>
      </w:r>
    </w:p>
    <w:p>
      <w:pPr/>
      <w:r>
        <w:rPr>
          <w:b/>
        </w:rPr>
        <w:t>Shared claim-specific concepts:</w:t>
      </w:r>
      <w:r>
        <w:t xml:space="preserve"> present, population, demographic, potential, populations; EU scope visible. This is a provisional connection, not an outcome finding.</w:t>
      </w:r>
    </w:p>
    <w:p>
      <w:pPr>
        <w:pStyle w:val="SourceNote"/>
      </w:pPr>
      <w:r>
        <w:rPr>
          <w:b/>
        </w:rPr>
        <w:t>Available abstract (not full text):</w:t>
      </w:r>
      <w:r>
        <w:t xml:space="preserve"> Abstract The fall armyworm, Spodoptera frugiperda (J.E. Smith), is an invasive pest threatening crop production and food security worldwide. High concerns are linked to the potential establishment of the species in Europe. The high migratory capacity of S. frugiperda cause concerns about the potential impacts of transient populations invading new areas from suitable hotspots. In the present work, we developed and used a physiologically-based demographic model to quantitatively assess the risks of S. frugiperda in Europe. The risks were assessed considering a best-, a median-, and a worst-case scenario. The Mediterranean coastal areas of Southern Europe resulted suitable for the establishment of the species, with suitable areas reaching even higher latitudes, in the worst-case scenario. In Europe, up to 4 generations per year were predicted. The predicted average yearly adult population was 5 (± 4), 17 (± 5), and 139 (± 22) in the best, median-, and worst-case assessment scenario, respectively. Model results showed that Southern and Central Europe might be exposed to the risk of transient populations, at least up to the 48th parallel north, in the worst-case scenario. Depending on the latitude and on the period of arrival of the propagule, transient populations might be able to originate 1 or more generations per year. The model can be used to define strategies reducing the risk</w:t>
      </w:r>
    </w:p>
    <w:p>
      <w:pPr/>
      <w:r>
        <w:rPr>
          <w:b/>
        </w:rPr>
        <w:t>POSSIBLE 2022:</w:t>
      </w:r>
      <w:r>
        <w:t xml:space="preserve"> Population Genetics and Signatures of Selection in Early Neolithic European Farmers — https://doi.org/10.1093/molbev/msac108</w:t>
      </w:r>
    </w:p>
    <w:p>
      <w:pPr/>
      <w:r>
        <w:rPr>
          <w:b/>
        </w:rPr>
        <w:t>Shared claim-specific concepts:</w:t>
      </w:r>
      <w:r>
        <w:t xml:space="preserve"> present, population, migration, show, across; EU scope visible. This is a provisional connection, not an outcome finding.</w:t>
      </w:r>
    </w:p>
    <w:p>
      <w:pPr>
        <w:pStyle w:val="SourceNote"/>
      </w:pPr>
      <w:r>
        <w:rPr>
          <w:b/>
        </w:rPr>
        <w:t>Available abstract (not full text):</w:t>
      </w:r>
      <w:r>
        <w:t xml:space="preserve"> Human expansion in the course of the Neolithic transition in western Eurasia has been one of the major topics in ancient DNA research in the last 10 years. Multiple studies have shown that the spread of agriculture and animal husbandry from the Near East across Europe was accompanied by large-scale human expansions. Moreover, changes in subsistence and migration associated with the Neolithic transition have been hypothesized to involve genetic adaptation. Here, we present high quality genome-wide data from the Linear Pottery Culture site Derenburg-Meerenstieg II (DER) (N = 32 individuals) in Central Germany. Population genetic analyses show that the DER individuals carried predominantly Anatolian Neolithic-like ancestry and a very limited degree of local hunter-gatherer admixture, similar to other early European farmers. Increasing the Linear Pottery culture cohort size to ∼100 individuals allowed us to perform various frequency- and haplotype-based analyses to investigate signatures of selection associated with changes following the adoption of the Neolithic lifestyle. In addition, we developed a new method called Admixture-informed Maximum-likelihood Estimation for Selection Scans that allowed us test for selection signatures in an admixture-aware fashion. Focusing on the intersection of results from these selection scans, we identified various loci associated with immune fun</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countries, union, range, policies, across;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2022:</w:t>
      </w:r>
      <w:r>
        <w:t xml:space="preserve"> ASSESSMENT OF ECONOMIC CONVERGENCE AMONG COUNTRIES IN THE EUROPEAN UNION — https://doi.org/10.3846/tede.2022.17518</w:t>
      </w:r>
    </w:p>
    <w:p>
      <w:pPr/>
      <w:r>
        <w:rPr>
          <w:b/>
        </w:rPr>
        <w:t>Shared claim-specific concepts:</w:t>
      </w:r>
      <w:r>
        <w:t xml:space="preserve"> present, out, countries, union; EU scope visible. This is a provisional connection, not an outcome finding.</w:t>
      </w:r>
    </w:p>
    <w:p>
      <w:pPr>
        <w:pStyle w:val="SourceNote"/>
      </w:pPr>
      <w:r>
        <w:rPr>
          <w:b/>
        </w:rPr>
        <w:t>Available abstract (not full text):</w:t>
      </w:r>
      <w:r>
        <w:t xml:space="preserve"> The debate on the presence of economic benefits in the European Union (EU) is not over. The study responds unequivocally to this question, with the intensity of economic development in the countries that joined the European Union in 2004 and beyond twice as high as that of the countries that joined it this year, i.e. the EU’s old ones compared to the new ones; smoothness – 1.1 times and dynamics – 1.6 times. Another important trend for further development is that, as the level of economic development increases, its smoothness is diminishing. In respect of the context of the EP of all EU Members, it turned out that the higher intensity of enlargement was characterised by higher economic levels, with similar homogeneity and almost identical values for the dynamic indicator. The introduction to the article presents the context of the studies, i.e. two groups of EU Community countries are formed according to their level of economic development and the year of their accession to the Community, as well as a survey scheme. The literature review reveals the methods used to analyse the convergence of economic development in these countries, as members of the Community. The research methodology introduces the indicator of economic development of countries and provides a methodology for assessing its dynamics. The empirical part assesses the dynamics of economic development of both groups</w:t>
      </w:r>
    </w:p>
    <w:p>
      <w:pPr/>
      <w:r>
        <w:rPr>
          <w:b/>
        </w:rPr>
        <w:t>POSSIBLE 2022:</w:t>
      </w:r>
      <w:r>
        <w:t xml:space="preserve"> Osteoporosis in Europe: a compendium of country-specific reports — https://doi.org/10.1007/s11657-021-00969-8</w:t>
      </w:r>
    </w:p>
    <w:p>
      <w:pPr/>
      <w:r>
        <w:rPr>
          <w:b/>
        </w:rPr>
        <w:t>Shared claim-specific concepts:</w:t>
      </w:r>
      <w:r>
        <w:t xml:space="preserve"> countries, union, markedly, increase, populations;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DIFFERENTIATION OF FOOD PRICES BETWEEN EUROPEAN UNION COUNTRIES — https://doi.org/10.5604/01.3001.0015.7068</w:t>
      </w:r>
    </w:p>
    <w:p>
      <w:pPr/>
      <w:r>
        <w:rPr>
          <w:b/>
        </w:rPr>
        <w:t>Shared claim-specific concepts:</w:t>
      </w:r>
      <w:r>
        <w:t xml:space="preserve"> present, out, countries, union; EU scope visible. This is a provisional connection, not an outcome finding.</w:t>
      </w:r>
    </w:p>
    <w:p>
      <w:pPr>
        <w:pStyle w:val="SourceNote"/>
      </w:pPr>
      <w:r>
        <w:rPr>
          <w:b/>
        </w:rPr>
        <w:t>Available abstract (not full text):</w:t>
      </w:r>
      <w:r>
        <w:t xml:space="preserve"> Poland’s accession to the European Union and the related opening of the Polish economy increased its dependence on global and regional phenomena. Domestic prices of food products began to be influenced by, among others, prices on external markets, mainly on the EU market. Phenomena characteristic of economic integration also occurred in other “new” Member States. The aim of the article is to present the differentiation of food prices between European Union countries, with particular emphasis on the process of convergence of prices, and to evaluate the competitive advantages of Polish producers on the EU food market. A comparative analysis of food prices was carried out for 27 EU Member States, additionally broken down into “old” and “new” EU Member States. The study covered the years 2010-2020. Eurostat data was the source of information. The method of descriptive and comparative statistics was used to evaluate the collected research material. As a result of the conducted analyzes, it was found that there is a large differentiation in food prices between individual countries of the European Union and the prices are clearly higher in “old” than “new” Member States. However, along with the progressing economic integration of individual markets with the EU market, there is a gradual alignment of domestic prices with EU prices. It was also shown that Polish food producers still had</w:t>
      </w:r>
    </w:p>
    <w:p>
      <w:pPr>
        <w:pStyle w:val="Heading2"/>
      </w:pPr>
      <w:r>
        <w:t>721.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Future Urban Heat Risk Assessment in Sydney: Integrating Satellite-Derived UTCI with Population Projections — https://doi.org/10.5194/isprs-annals-xii-4-w2-2026-137-2026</w:t>
      </w:r>
    </w:p>
    <w:p>
      <w:pPr/>
      <w:r>
        <w:rPr>
          <w:b/>
        </w:rPr>
        <w:t>Shared claim-specific concepts:</w:t>
      </w:r>
      <w:r>
        <w:t xml:space="preserve"> population, projections, approach; EU scope not established. This is a provisional connection, not an outcome finding.</w:t>
      </w:r>
    </w:p>
    <w:p>
      <w:pPr>
        <w:pStyle w:val="SourceNote"/>
      </w:pPr>
      <w:r>
        <w:rPr>
          <w:b/>
        </w:rPr>
        <w:t>Available abstract (not full text):</w:t>
      </w:r>
      <w:r>
        <w:t xml:space="preserve"> Urban heat stress poses an intensifying public health challenge in Australian cities, with Sydney facing increasingly severe summer thermal conditions. We present a reproducible framework for metropolitan-scale future heat risk assessment that integrates satellite-derived Universal Thermal Climate Index (UTCI) with demographic projections to 2031. We define the UTCI-Population Index (UPI), a composite indicator that quantifies population-weighted heat exposure at Travel Zone resolution across Sydney. We implemented two complementary satellite-based approaches: (1) trend-based extrapolation of the GloUTCI-M global UTCI dataset within Google Earth Engine to predict 2031 summer UTCI at 1 km resolution, and (2) a high-resolution spatial downscaling that combines ERA5-HEAT physically consistent UTCI at 28 km with Landsat 8/9 land surface temperature at 30 m, further refined by 3D solar radiation modelling and nine-station BOM bias correction to produce a pedestrian-level UTCI surface. The resulting UPI maps highlight priority zones where high projected thermal stress coincides with large future resident populations, supporting targeted heat adaptation planning. Approach 1 enables long-term metropolitan-scale future projection, while Approach 2 provides more than 30-fold higher spatial resolution for precinct-level intervention design. The two approaches are designed for future integ</w:t>
      </w:r>
    </w:p>
    <w:p>
      <w:pPr/>
      <w:r>
        <w:rPr>
          <w:b/>
        </w:rPr>
        <w:t>POSSIBLE 2025:</w:t>
      </w:r>
      <w:r>
        <w:t xml:space="preserve"> An Age-Structured Multi-Regional Projection of India's Population: A Leslie Matrix Model for Internal Migration — https://doi.org/10.35629/6734-14103240</w:t>
      </w:r>
    </w:p>
    <w:p>
      <w:pPr/>
      <w:r>
        <w:rPr>
          <w:b/>
        </w:rPr>
        <w:t>Shared claim-specific concepts:</w:t>
      </w:r>
      <w:r>
        <w:t xml:space="preserve"> population, stable, standard; EU scope not established. This is a provisional connection, not an outcome finding.</w:t>
      </w:r>
    </w:p>
    <w:p>
      <w:pPr>
        <w:pStyle w:val="SourceNote"/>
      </w:pPr>
      <w:r>
        <w:rPr>
          <w:b/>
        </w:rPr>
        <w:t>Available abstract (not full text):</w:t>
      </w:r>
      <w:r>
        <w:t xml:space="preserve"> This paper extends previous analyses of India's population dynamics by developing a multi-regional, agestructured projection model based on the Leslie matrix framework. Standard cohort-component models often assume closed populations, which is untenable in the Indian context due to its vast internal migration flows driven by profound regional demographic and economic disparities. This study formulates and parameterizes a two-region (North-South) Leslie-type model, incorporating age-specific fertility, mortality, and inter-regional migration rates derived from Census and National Sample Survey data. We conduct comparative simulations to quantify the demographic impact of migration on the long-term population size, growth rate (λ), and stable age distribution of both sending and receiving regions. The findings reveal that migration acts as a significant demographic rebalancing mechanism, accelerating population aging in the destination states of the South while slowing the youth bulge in the source states of the North. These results have critical implications for the trajectory of the demographic dividend, future labor markets, and the strategic allocation of social sector investments across the nation. The paper concludes with policy recommendations for creating a migrantinclusive framework for sustainable and equitable development.</w:t>
      </w:r>
    </w:p>
    <w:p>
      <w:pPr/>
      <w:r>
        <w:rPr>
          <w:b/>
        </w:rPr>
        <w:t>POSSIBLE 2025:</w:t>
      </w:r>
      <w:r>
        <w:t xml:space="preserve"> Global gridded population projection via spatial econometric model considering rank-size rule — https://doi.org/10.1088/2515-7620/ae0d52</w:t>
      </w:r>
    </w:p>
    <w:p>
      <w:pPr/>
      <w:r>
        <w:rPr>
          <w:b/>
        </w:rPr>
        <w:t>Shared claim-specific concepts:</w:t>
      </w:r>
      <w:r>
        <w:t xml:space="preserve"> population, projections, component, standard; EU scope not established. This is a provisional connection, not an outcome finding.</w:t>
      </w:r>
    </w:p>
    <w:p>
      <w:pPr>
        <w:pStyle w:val="SourceNote"/>
      </w:pPr>
      <w:r>
        <w:rPr>
          <w:b/>
        </w:rPr>
        <w:t>Available abstract (not full text):</w:t>
      </w:r>
      <w:r>
        <w:t xml:space="preserve"> Abstract Global gridded population (GGP) projections that are consistent with shared socioeconomic pathways are widely used. However, existing approaches for generating future GGPs have several limitations, including difficulties in incorporating covariates, a lack of consideration of city-level interactions, and insufficient integration of the empirical rule observed in the distribution of city sizes across years. This study attempts to address this gap by introducing a multiscale GGP projection model consisting of city- and grid-level models. The city-level model comprises a spatial econometric model that models city growth and decline, alongside a rank-size model that introduces the empirical rules as macro-level constraints. A random forest was employed for the grid-level model. For validation, the model was trained on Japanese Grid Square Statistics (approximately 1 km2), based on population census data from 2000 to 2010, and its forecast accuracy was evaluated against 2020 data. The results show a root mean squared percentage error of 1.17% between the observed and predicted values. Moreover, to assess the model’s applicability for projecting GGPs in the distant future, the 2070 forecast was compared with that from a standard cohort component model. The results indicate that the spatial patterns produced by the two models are similar, with an RMSPE of 1.89%. This RMSPE va</w:t>
      </w:r>
    </w:p>
    <w:p>
      <w:pPr/>
      <w:r>
        <w:rPr>
          <w:b/>
        </w:rPr>
        <w:t>POSSIBLE 2025:</w:t>
      </w:r>
      <w:r>
        <w:t xml:space="preserve"> Life-history variation mediates the importance of population structure to the short-term dynamics of plant populations worldwide — https://doi.org/10.32942/x2kd2s</w:t>
      </w:r>
    </w:p>
    <w:p>
      <w:pPr/>
      <w:r>
        <w:rPr>
          <w:b/>
        </w:rPr>
        <w:t>Shared claim-specific concepts:</w:t>
      </w:r>
      <w:r>
        <w:t xml:space="preserve"> short-term, population; EU scope not established. This is a provisional connection, not an outcome finding.</w:t>
      </w:r>
    </w:p>
    <w:p>
      <w:pPr>
        <w:pStyle w:val="SourceNote"/>
      </w:pPr>
      <w:r>
        <w:rPr>
          <w:b/>
        </w:rPr>
        <w:t>Available abstract (not full text):</w:t>
      </w:r>
      <w:r>
        <w:t xml:space="preserve"> A population’s structure (i.e., the distribution of individuals across the life cycle of a species) influences how it responds to environmental changes and recurrent disturbances, and shapes its vulnerability to extinction. Yet, despite compelling evidence that population structures are rarely stationary over time, assessments of population viability have only recently begun to consider how a population’s structure interacts with its vital rates of survival, development, and fecundity to determine its demographic performance. Using 268 comparisons of population dynamics in 56 plant species across differing time periods, locations, and/or experimental treatments, we use transient Life Table Response Experiments (tLTREs) to quantify how changes in population structure and vital rates contribute to observed variation in demographic performance. We illustrate how changes in population structure are major contributors to short-term (i.e. transient) demographic performance, and are just as important as the effects of, more routinely evaluated, changes in survival and fecundity rates for informing population viability assessments. Moreover, these contribution patterns challenge prevailing understanding of the links between plant growth form and population viability. Accordingly, we emphasise how quantifying the effects of population structure on transient population dynamics can revea</w:t>
      </w:r>
    </w:p>
    <w:p>
      <w:pPr/>
      <w:r>
        <w:rPr>
          <w:b/>
        </w:rPr>
        <w:t>POSSIBLE 2024:</w:t>
      </w:r>
      <w:r>
        <w:t xml:space="preserve"> Population projections, the flow of new households and structural housing demand — https://doi.org/10.26504/rs190</w:t>
      </w:r>
    </w:p>
    <w:p>
      <w:pPr/>
      <w:r>
        <w:rPr>
          <w:b/>
        </w:rPr>
        <w:t>Shared claim-specific concepts:</w:t>
      </w:r>
      <w:r>
        <w:t xml:space="preserve"> population, projections, very; EU scope visible. This is a provisional connection, not an outcome finding.</w:t>
      </w:r>
    </w:p>
    <w:p>
      <w:pPr>
        <w:pStyle w:val="SourceNote"/>
      </w:pPr>
      <w:r>
        <w:rPr>
          <w:b/>
        </w:rPr>
        <w:t>Available abstract (not full text):</w:t>
      </w:r>
      <w:r>
        <w:t xml:space="preserve"> This report provides estimates of structural (demographic) housing demand at a regional level. Any assessment of structural future housing demand relies on assumptions around (1) population growth, (2) headship rates (the typical household size) and (3) rates of obsolescence of the housing stock. Each of these key drivers of structural housing demand is subject to uncertainty, therefore a range of alternative assumptions for each key driver is considered and results from a range of scenarios are presented. Ireland has experienced rapid population growth in recent years, both compared to historical experience and relative to the EU. Census 2022 data reveals that the population was 5.184 million, having increased by 422 thousand or by 9 per cent since 2016. The recent data means that many previous population scenarios for Ireland have underestimated population growth over the short term. Net migration is the key driver of population change in Ireland and net migration flows have been very strong in recent years. As in the past, while all regions experienced population growth, the growth has not been evenly dispersed throughout the country. At a national level, the population grew at an annual average growth of 1.4 per cent between 2016 and 2022; the Eastern and Midlands region experienced the strongest growth of 1.6 per cent (driven especially by growth in the Mid-East). At a nat</w:t>
      </w:r>
    </w:p>
    <w:p>
      <w:pPr/>
      <w:r>
        <w:rPr>
          <w:b/>
        </w:rPr>
        <w:t>POSSIBLE 2024:</w:t>
      </w:r>
      <w:r>
        <w:t xml:space="preserve"> Fiscal projections are sensitive to population assumptions — https://doi.org/10.1787/a6ac7397-en</w:t>
      </w:r>
    </w:p>
    <w:p>
      <w:pPr/>
      <w:r>
        <w:rPr>
          <w:b/>
        </w:rPr>
        <w:t>Shared claim-specific concepts:</w:t>
      </w:r>
      <w:r>
        <w:t xml:space="preserve"> population, projections; EU scope not established. This is a provisional connection, not an outcome finding.</w:t>
      </w:r>
    </w:p>
    <w:p>
      <w:pPr>
        <w:pStyle w:val="SourceNote"/>
      </w:pPr>
      <w:r>
        <w:rPr>
          <w:b/>
        </w:rPr>
        <w:t>Available abstract (not full text):</w:t>
      </w:r>
      <w:r>
        <w:t xml:space="preserve"> Japan has navigated the dual shock of the pandemic and the energy crisis well. However, significant headwinds from weak global growth, geopolitical tensions and high inflation highlight the importance of enhancing the Japanese economy’s resilience to shocks. In a context of inflation, which has risen above target, and pressures from divergent monetary policy from peers, adjustments to monetary policy settings have commenced. Given high public debt, fiscal consolidation to rebuild fiscal buffers, underpinned by a credible medium-term fiscal framework to put the debt-to-GDP ratio on a clear downward path, is key. Longer-term sustainability also requires reducing greenhouse gas emissions in line with government targets, calling for green investment, innovation and carbon pricing. Reforms to improve the innovation framework and incentives for start-ups are key to boost productivity and address ageing pressures. Removing obstacles to the employment of women and older persons and making greater use of foreign workers are also essential to counter demographic headwinds. Strengthening the financial position of young people and policies to support families and children, such as improved parental leave, would help to reverse the downward trend in the fertility rate. SPECIAL FEATURE: ADDRESSING DEMOGRAPHIC HEADWINDS</w:t>
      </w:r>
    </w:p>
    <w:p>
      <w:pPr/>
      <w:r>
        <w:rPr>
          <w:b/>
        </w:rPr>
        <w:t>POSSIBLE 2023:</w:t>
      </w:r>
      <w:r>
        <w:t xml:space="preserve"> The Macro Impact of Short‐Termism — https://doi.org/10.3982/ecta15420</w:t>
      </w:r>
    </w:p>
    <w:p>
      <w:pPr/>
      <w:r>
        <w:rPr>
          <w:b/>
        </w:rPr>
        <w:t>Shared claim-specific concepts:</w:t>
      </w:r>
      <w:r>
        <w:t xml:space="preserve"> forecasts, standard, estimate; EU scope not established. This is a provisional connection, not an outcome finding.</w:t>
      </w:r>
    </w:p>
    <w:p>
      <w:pPr>
        <w:pStyle w:val="SourceNote"/>
      </w:pPr>
      <w:r>
        <w:rPr>
          <w:b/>
        </w:rPr>
        <w:t>Available abstract (not full text):</w:t>
      </w:r>
      <w:r>
        <w:t xml:space="preserve"> R&amp;D investment reduces current profits, so short‐term pressure to hit profit targets may distort R&amp;D. In the data, firms just meeting Wall Street forecasts have lower R&amp;D growth and subsequent innovation, while managers just missing receive lower pay. But short‐termist distortions might not quantitatively matter if aggregation or equilibrium dampen their impact. So I build and estimate a quantitative endogenous growth model in which short‐termism arises naturally as discipline on conflicted managers and boosts firm value by about 1%. But short‐termism reduces R&amp;D, and the social return to R&amp;D is higher than the private return due to standard channels including knowledge spillovers and imperfect competition. So at the macro level, short‐termist distortions slow growth by 5 basis points yearly and lower social welfare by about 1%.</w:t>
      </w:r>
    </w:p>
    <w:p>
      <w:pPr/>
      <w:r>
        <w:rPr>
          <w:b/>
        </w:rPr>
        <w:t>POSSIBLE 2022:</w:t>
      </w:r>
      <w:r>
        <w:t xml:space="preserve"> From Short-Term Risk to Long-Term Strategic Challenges: Reviewing the Consequences of Geopolitics and COVID-19 on Economic Performance — https://doi.org/10.3390/su142114455</w:t>
      </w:r>
    </w:p>
    <w:p>
      <w:pPr/>
      <w:r>
        <w:rPr>
          <w:b/>
        </w:rPr>
        <w:t>Shared claim-specific concepts:</w:t>
      </w:r>
      <w:r>
        <w:t xml:space="preserve"> short-term, approach; EU scope visible. This is a provisional connection, not an outcome finding.</w:t>
      </w:r>
    </w:p>
    <w:p>
      <w:pPr>
        <w:pStyle w:val="SourceNote"/>
      </w:pPr>
      <w:r>
        <w:rPr>
          <w:b/>
        </w:rPr>
        <w:t>Available abstract (not full text):</w:t>
      </w:r>
      <w:r>
        <w:t xml:space="preserve"> The COVID-19 crisis and the war between Russia and Ukraine affects the world economy badly. The western countries’ economic sanctions on Russia and the Russian government’s reverse sanctions on western countries create pressure on the world economy. This study was conducted to investigate how the economic performance is responding to COVID-19 and the geopolitical crisis of the era. In doing so, both theoretical and numerical data reviews have been performed. The objective of the study is to investigate the short-term risks and long-term strategic challenges of the crisis. The study used a bibliometric approach with the help of RStudio software. The Web of Science database was used for extracting the resources in line with the grey literature from the Google Search engine. A total of 895 documents were utilized in this bibliometric analysis. At the same time, secondary panel data extracted from the international monetary fund (IMF) for a period of 4 years (2019–2022) were utilized for reviewing numerical implications. The purposive sampling technique is used for data selection and main economic variables. The findings of the study imply that countries over the world registered less economic growth, high inflation rate, and high government debt in 2022 compared to the fiscal period of 2019–2021. The emerging economies and developing countries of Europe were badly affected by the </w:t>
      </w:r>
    </w:p>
    <w:p>
      <w:pPr/>
      <w:r>
        <w:rPr>
          <w:b/>
        </w:rPr>
        <w:t>POSSIBLE 2022:</w:t>
      </w:r>
      <w:r>
        <w:t xml:space="preserve"> Assessing the Accuracy of National Population Projections — https://doi.org/10.23979/fypr.109057</w:t>
      </w:r>
    </w:p>
    <w:p>
      <w:pPr/>
      <w:r>
        <w:rPr>
          <w:b/>
        </w:rPr>
        <w:t>Shared claim-specific concepts:</w:t>
      </w:r>
      <w:r>
        <w:t xml:space="preserve"> population, projections; EU scope visible. This is a provisional connection, not an outcome finding.</w:t>
      </w:r>
    </w:p>
    <w:p>
      <w:pPr>
        <w:pStyle w:val="SourceNote"/>
      </w:pPr>
      <w:r>
        <w:rPr>
          <w:b/>
        </w:rPr>
        <w:t>Available abstract (not full text):</w:t>
      </w:r>
      <w:r>
        <w:t xml:space="preserve"> Few producers of official population projections provide regular evaluations of past projection inaccuracies. This paper assesses deviations between the projected and registered total population for Norway (1996–2018), as well as deviations in the age structure, total fertility rate and number of births, period life expectancy at birth and number of deaths, and net international migration. Projected life expectancy was consistently lower than the real development. Few systematic deviations were observed for fertility up to 2009, but thereafter fertility has been consistently overprojected. However, the deviations between projected and realised trends in births and deaths have been relatively small as compared to those for net international migration. The projections produced between 1996–2005 underestimated long-term population growth due primarily to the unforeseen increase in immigration following EU expansion in 2004. More recent projections contain no consistent under- or overprojection of net migration and the deviations for the total population have been moderate.</w:t>
      </w:r>
    </w:p>
    <w:p>
      <w:pPr/>
      <w:r>
        <w:rPr>
          <w:b/>
        </w:rPr>
        <w:t>POSSIBLE 2022:</w:t>
      </w:r>
      <w:r>
        <w:t xml:space="preserve"> Immigration and the prospects for long-run population decreases in European countries — https://doi.org/10.1553/p-8jf5-7cdc</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Between 2009 and 2018, the total fertility rate fell in most European countries. In 2018, fertility was below the replacement level throughout Europe. Net migration was positive for two-thirds of European countries. This paper illustrates the implications for long-run population growth of observed net migration-fertilitymortality combinations in 20 European countries over the 2009–18 period by comparing the observed net migration to a zero population growth-related ‘replacement level’ for net migration. The results show that in several northern and north-western European countries, the net migration level has been consistently above this replacement level: if the net migration level and fertility and mortality rates remain constant, the population would increase. However, the findings also indicate that in all of the eastern European countries covered, the net migration level has been consistently below the net migration replacement level. The results further show that in Finland, Norway and Switzerland, the long-run implications of having constant fertility-mortality-net migration levels change from leading to population growth to leading to population decline. The opposite pattern is observed in Germany. The feasibility of preventing long-run population decreases through changes in net migration levels is discussed in light of the results.</w:t>
      </w:r>
    </w:p>
    <w:p>
      <w:pPr/>
      <w:r>
        <w:rPr>
          <w:b/>
        </w:rPr>
        <w:t>POSSIBLE 2022:</w:t>
      </w:r>
      <w:r>
        <w:t xml:space="preserve"> Long-Term Impact of Interregional Migrants on Population Prediction — https://doi.org/10.3390/su14116580</w:t>
      </w:r>
    </w:p>
    <w:p>
      <w:pPr/>
      <w:r>
        <w:rPr>
          <w:b/>
        </w:rPr>
        <w:t>Shared claim-specific concepts:</w:t>
      </w:r>
      <w:r>
        <w:t xml:space="preserve"> population, projections, related, component; EU scope not established. This is a provisional connection, not an outcome finding.</w:t>
      </w:r>
    </w:p>
    <w:p>
      <w:pPr>
        <w:pStyle w:val="SourceNote"/>
      </w:pPr>
      <w:r>
        <w:rPr>
          <w:b/>
        </w:rPr>
        <w:t>Available abstract (not full text):</w:t>
      </w:r>
      <w:r>
        <w:t xml:space="preserve"> Japan is becoming depopulated, with declining fertility rates and massive urban agglomeration due to emigrations from rural areas, which results in rural–urban disparities. As demographic and social divisions between rural and urban areas increase, maintenance of infrastructure and social facilities becomes much more difficult. For social and demographic sustainability, accurate predictions of long-term population distributions are needed. This study improves the Cohort Component Analysis (CCA) into two aspects of “dependent structure” in the model system. The migration sub-model is expanded to include related structures between available job opportunities and the available workforce in each region, which are specified using the spatial autoregressive model. The advantage of the improved CCA to provides rational future projections by considering the longitudinal changes in the spatial distribution of the workforce. The simulation of the proposed model gives an alternative long-term impact of population distribution in Japan, which is compared with the conventional CCA. The results show that the future Japanese populations will become more concentrated in urban areas, with a lower fertility rate. Furthermore, the manufacturing employees will be attracted to metropolitan areas or to regions with industrial zones, and that the number of retailers will undergo changes over time, ev</w:t>
      </w:r>
    </w:p>
    <w:p>
      <w:pPr>
        <w:pStyle w:val="Heading2"/>
      </w:pPr>
      <w:r>
        <w:t>722.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across, regions, methods;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Branch-and-bound and objective branching with three or more objectives — https://doi.org/10.1016/j.cor.2022.106012</w:t>
      </w:r>
    </w:p>
    <w:p>
      <w:pPr/>
      <w:r>
        <w:rPr>
          <w:b/>
        </w:rPr>
        <w:t>Shared claim-specific concepts:</w:t>
      </w:r>
      <w:r>
        <w:t xml:space="preserve"> objective, three, inequalities, applied; EU scope not established. This is a provisional connection, not an outcome finding.</w:t>
      </w:r>
    </w:p>
    <w:p>
      <w:pPr>
        <w:pStyle w:val="SourceNote"/>
      </w:pPr>
      <w:r>
        <w:rPr>
          <w:b/>
        </w:rPr>
        <w:t>Available abstract (not full text):</w:t>
      </w:r>
      <w:r>
        <w:t xml:space="preserve"> The recent success of bi-objective Branch-and-Bound (B&amp;B) algorithms heavily relies on the efficient computation of upper and lower bound sets. These bound sets are used as a supplement to the classical dominance test to improve the computational time by imposing inequalities derived from (partial) dominance in the objective space. This process is called objective branching since it is mostly applied when generating child nodes. In this paper, we extend the concept of objective branching to multi-objective integer optimization problems with three or more objective functions. Several difficulties arise in this case, as there is no longer a lexicographic order among non-dominated outcome vectors when there are three or more objectives. We discuss the general concept of objective branching in any number of dimensions and suggest a merging operation of local upper bounds to avoid the generation of redundant sub-problems. Finally, results from extensive experimental studies on several classes of multi-objective optimization problems is reported.</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three, project, key, methods;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Meeting the European green deal objective of expanding organic farming — https://doi.org/10.24136/eq.2022.021</w:t>
      </w:r>
    </w:p>
    <w:p>
      <w:pPr/>
      <w:r>
        <w:rPr>
          <w:b/>
        </w:rPr>
        <w:t>Shared claim-specific concepts:</w:t>
      </w:r>
      <w:r>
        <w:t xml:space="preserve"> objective, three, developed, methods, approach; EU scope visible. This is a provisional connection, not an outcome finding.</w:t>
      </w:r>
    </w:p>
    <w:p>
      <w:pPr>
        <w:pStyle w:val="SourceNote"/>
      </w:pPr>
      <w:r>
        <w:rPr>
          <w:b/>
        </w:rPr>
        <w:t>Available abstract (not full text):</w:t>
      </w:r>
      <w:r>
        <w:t xml:space="preserve"> Research background: Economic growth is unsustainable. However, a circular economy has the potential to lead to sustainable development, while decoupling economic growth from the negative consequences of resource depletion and environmental degradation. The EU's strategy of climate neutralization in 2050 developed, inter alia, into a European Green Deal action plan aiming at the efficient use of resources by moving to a cleaner, circular economy. More sustainable EU food system is a cornerstone of the European Green Deal. The European Commission's goal is 25% of agricultural land to be used for organic production in 2030. The question is if it is possible to reach the objective with the use of current incentives. What else may be done to encourage European farmers to convert to organic farming? Purpose of the article: The aim of this research is to review the development of organic agriculture in Europe and the EU and to identify incentives for farmers to convert to organic farming. Methods: First of all, the methodological approach is to iteratively review the existing literature to frame the problem. Secondly, the data on organic agriculture in Europe is to be analyzed to answer the research questions. The analysis is based on international statistics, mainly collected by FiBL, IFOAM, EC Agri-food data portal and Eurostat..Fitting the trend functions to the actual data has be</w:t>
      </w:r>
    </w:p>
    <w:p>
      <w:pPr/>
      <w:r>
        <w:rPr>
          <w:b/>
        </w:rPr>
        <w:t>POSSIBLE 2022:</w:t>
      </w:r>
      <w:r>
        <w:t xml:space="preserve"> COVID-19 in Europe: from outbreak to vaccination — https://doi.org/10.1186/s12889-022-14454-5</w:t>
      </w:r>
    </w:p>
    <w:p>
      <w:pPr/>
      <w:r>
        <w:rPr>
          <w:b/>
        </w:rPr>
        <w:t>Shared claim-specific concepts:</w:t>
      </w:r>
      <w:r>
        <w:t xml:space="preserve"> objective, three, affect, across, methods, approach;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2022:</w:t>
      </w:r>
      <w:r>
        <w:t xml:space="preserve"> Collaborative development of composite indices from qualitative value judgements: The EURO-HEALTHY Population Health Index model — https://doi.org/10.1016/j.ejor.2022.05.037</w:t>
      </w:r>
    </w:p>
    <w:p>
      <w:pPr/>
      <w:r>
        <w:rPr>
          <w:b/>
        </w:rPr>
        <w:t>Shared claim-specific concepts:</w:t>
      </w:r>
      <w:r>
        <w:t xml:space="preserve"> developed, euro-healthy, project, key, inequalities, across; EU scope visible. This is a provisional connection, not an outcome finding.</w:t>
      </w:r>
    </w:p>
    <w:p>
      <w:pPr>
        <w:pStyle w:val="SourceNote"/>
      </w:pPr>
      <w:r>
        <w:rPr>
          <w:b/>
        </w:rPr>
        <w:t>Available abstract (not full text):</w:t>
      </w:r>
      <w:r>
        <w:t xml:space="preserve"> Promoting participation and combining evidence with expert knowledge in constructing composite indices that can be meaningfully interpreted are key open challenges identified in performance measurement literature. To address them, this article proposes a sociotechnical decision-aid process, under a collaborative value-modelling framework, rooted in both process consultation and multicriteria value measurement principles. It consists of two phases (structuring and model building), each one developed in a sequence of non-face-to-face (Web-Delphi) and face-to-face (decision conferencing) group processes, designed to allow for increased participation. Performance indicators are selected and structured in a value-tree (phase one), upon which a group hierarchical additive value-function model is built (phase two), supported by the MACBETH multicriteria decision-support system. Collaborative questioning protocols allow to elicit and reconcile individual qualitative value judgements, in a Web-Delphi platform. The collective knowledge thus acquired is used in decision conferencing with a core group to define value functions and weights. Extensive sensitivity and robustness analyses serve to test the requisiteness of the model, giving rise to a shared structure of composite indices. The proposed approach was shaped within the EURO-HEALTHY project, to create a Population Health Index inte</w:t>
      </w:r>
    </w:p>
    <w:p>
      <w:pPr/>
      <w:r>
        <w:rPr>
          <w:b/>
        </w:rPr>
        <w:t>POSSIBLE 2022:</w:t>
      </w:r>
      <w:r>
        <w:t xml:space="preserve"> The potential of European abandoned agricultural lands to contribute to the Green Deal objectives: Policy perspectives — https://doi.org/10.1016/j.envsci.2022.03.007</w:t>
      </w:r>
    </w:p>
    <w:p>
      <w:pPr/>
      <w:r>
        <w:rPr>
          <w:b/>
        </w:rPr>
        <w:t>Shared claim-specific concepts:</w:t>
      </w:r>
      <w:r>
        <w:t xml:space="preserve"> three, across, regions, approach; EU scope visible. This is a provisional connection, not an outcome finding.</w:t>
      </w:r>
    </w:p>
    <w:p>
      <w:pPr>
        <w:pStyle w:val="SourceNote"/>
      </w:pPr>
      <w:r>
        <w:rPr>
          <w:b/>
        </w:rPr>
        <w:t>Available abstract (not full text):</w:t>
      </w:r>
      <w:r>
        <w:t xml:space="preserve"> The European Green Deal sets targets for biodiversity, climate change, sustainable farming, and rural development. For abandoned agricultural lands to contribute to these goals, specific policy measures to support appropriate land management are required. However, information is lacking on what these policies will mean for landowners and managers. This paper reviews the role of abandoned lands in European Union (EU) policies linked to the Green Deal. We interviewed 30 experts to identify the challenges faced by landowners in response to the identified policies and gather suggestions for future policy improvements. We found few explicit mentions of abandoned lands in policies. The potential of abandoned lands for alternative trajectories (beyond farming) was generally implicit. According to experts, landowners perceive the EU Common Agriculture Policy as the most influential to drive abandonment trajectories and support (or hinder) opportunities for re-management. The main challenges for landowners to (re-)use their lands included conflicting policies, lack of financial and technical support, and a feeling of disconnection with policies defined at EU level. To address the gap between objectives and implementation, policies need to secure support for landowners and managers. We provide three recommendations to uncover the potential of abandoned lands to contribute to the Green De</w:t>
      </w:r>
    </w:p>
    <w:p>
      <w:pPr/>
      <w:r>
        <w:rPr>
          <w:b/>
        </w:rPr>
        <w:t>POSSIBLE 2021:</w:t>
      </w:r>
      <w:r>
        <w:t xml:space="preserve"> The evolution of life cycle assessment in European policies over three decades — https://doi.org/10.1007/s11367-021-01893-2</w:t>
      </w:r>
    </w:p>
    <w:p>
      <w:pPr/>
      <w:r>
        <w:rPr>
          <w:b/>
        </w:rPr>
        <w:t>Shared claim-specific concepts:</w:t>
      </w:r>
      <w:r>
        <w:t xml:space="preserve"> three, evolution, methods, identification, stage; EU scope visible. This is a provisional connection, not an outcome finding.</w:t>
      </w:r>
    </w:p>
    <w:p>
      <w:pPr>
        <w:pStyle w:val="SourceNote"/>
      </w:pPr>
      <w:r>
        <w:rPr>
          <w:b/>
        </w:rPr>
        <w:t>Available abstract (not full text):</w:t>
      </w:r>
      <w:r>
        <w:t xml:space="preserve"> Abstract Purpose Life cycle thinking (LCT) and life cycle assessment (LCA) are increasingly considered pivotal concept and method for supporting sustainable transitions. LCA plays a relevant role in decision support, for the ambition of a holistic coverage of environmental dimensions and for the identification of hotspots, possible trade-offs, and burden shifting among life cycle stages or impact categories. These features are also relevant when the decision support is needed in policy domain. With a focus on EU policies, the present study explores the evolution and implementation of life cycle concepts and approaches over three decades. Methods Adopting an historical perspective, a review of current European Union (EU) legal acts and communications explicitly mentioning LCT, LCA, life cycle costing (LCC), and environmental footprint (the European Product and Organisation Environmental Footprint PEF/OEF) is performed, considering the timeframe from 1990 to 2020. The documents are categorised by year and according to their types (e.g. regulations, directives, communications) and based on the covered sectors (e.g. waste, energy, buildings). Documents for which life cycle concepts and approaches had a crucial role are identified, and a shortlist of these legal acts and communications is derived. Results and discussion Over the years, LCT and life cycle approaches have been increas</w:t>
      </w:r>
    </w:p>
    <w:p>
      <w:pPr/>
      <w:r>
        <w:rPr>
          <w:b/>
        </w:rPr>
        <w:t>POSSIBLE 2020:</w:t>
      </w:r>
      <w:r>
        <w:t xml:space="preserve"> Subjective or Objective? How Objective Measures Relate to Subjective Life Satisfaction in Europe — https://doi.org/10.3390/ijgi9050320</w:t>
      </w:r>
    </w:p>
    <w:p>
      <w:pPr/>
      <w:r>
        <w:rPr>
          <w:b/>
        </w:rPr>
        <w:t>Shared claim-specific concepts:</w:t>
      </w:r>
      <w:r>
        <w:t xml:space="preserve"> objective, factors, across, methods, approach, applied; EU scope visible. This is a provisional connection, not an outcome finding.</w:t>
      </w:r>
    </w:p>
    <w:p>
      <w:pPr>
        <w:pStyle w:val="SourceNote"/>
      </w:pPr>
      <w:r>
        <w:rPr>
          <w:b/>
        </w:rPr>
        <w:t>Available abstract (not full text):</w:t>
      </w:r>
      <w:r>
        <w:t xml:space="preserve"> Quality of life and life satisfaction are topics that currently receive a great deal of attention across the globe. Many approaches exist, which use both qualitative and quantitative methods, to capture these phenomena. Historically, quality of life was measured exclusively by economic indicators. However, it is indisputable that other factors influence people’s life satisfaction, which is captured by subjective survey-based data. By contrast, objective data can easily be obtained and cover a wider range, in terms of population and area. In this research, the multiple fuzzy linear regression model is applied in order to explain the relationship between subjective life satisfaction and selected objective indicators used to evaluate quality of life. The great advantage of the fuzzy model lies in its ability to capture uncertainty, which is undoubtedly associated with the vague concept of subjective life satisfaction. The main outcome of the paper is the detection of indicators that have a statistically significant relationship with life satisfaction. Subsequently, a pan-European sub-national prediction of life satisfaction after the consideration of the most relevant input indicators was proposed, including the uncertainty associated with the prediction of such a phenomenon. The study revealed significant regional differences and similarities between the originally reported satis</w:t>
      </w:r>
    </w:p>
    <w:p>
      <w:pPr>
        <w:pStyle w:val="Heading2"/>
      </w:pPr>
      <w:r>
        <w:t>723.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2025:</w:t>
      </w:r>
      <w:r>
        <w:t xml:space="preserve"> The European Union’s role in European defence industry policy — https://doi.org/10.1080/14702436.2025.2472694</w:t>
      </w:r>
    </w:p>
    <w:p>
      <w:pPr/>
      <w:r>
        <w:rPr>
          <w:b/>
        </w:rPr>
        <w:t>Shared claim-specific concepts:</w:t>
      </w:r>
      <w:r>
        <w:t xml:space="preserve"> role, often, initiatives;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Role of Aerosols on Atmospheric Circulation in Regional Climate Experiments over Europe — https://doi.org/10.3390/atmos14030491</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those, developed, tend;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2022:</w:t>
      </w:r>
      <w:r>
        <w:t xml:space="preserve"> Closing the loop on plastics in Europe: The role of data, information and knowledge — https://doi.org/10.1016/j.spc.2022.08.019</w:t>
      </w:r>
    </w:p>
    <w:p>
      <w:pPr/>
      <w:r>
        <w:rPr>
          <w:b/>
        </w:rPr>
        <w:t>Shared claim-specific concepts:</w:t>
      </w:r>
      <w:r>
        <w:t xml:space="preserve"> role, technology; EU scope visible. This is a provisional connection, not an outcome finding.</w:t>
      </w:r>
    </w:p>
    <w:p>
      <w:pPr>
        <w:pStyle w:val="SourceNote"/>
      </w:pPr>
      <w:r>
        <w:rPr>
          <w:b/>
        </w:rPr>
        <w:t>Available abstract (not full text):</w:t>
      </w:r>
      <w:r>
        <w:t xml:space="preserve"> Concerns over plastic waste and support for a plastic circular economy have been growing in recent years. Specific needs to promote re-circulation of plastics in terms of data, information and knowledge are poorly understood. Based on the multi-level perspective on socio-technical transitions and semi-structured interviews with key stakeholders, this paper aims to understand how information and knowledge issues may inhibit or foster the development of secondary plastics markets in Europe. Results highlight that key barriers associated with data-information-knowledge map across, and interact with, policies and standards, market and technology, socio-cultural norms, networks and business models. The packaging sector has drawn more policy attention, and institutions to support information sharing such as labelling and certification are more mature. The automotive and EEE sectors have illustrated knowledge diffusion through supply chain collaboration, while the construction sector appears to have slower practical progress on industry-level knowledge diffusion. This paper contributes to the multi-level perspective on transition studies by focusing the empirical work on a new area of plastic circular economy. The cases playing out across the whole value chain and four different application areas provide insights that are potentially more widely applicable to the circular economy tran</w:t>
      </w:r>
    </w:p>
    <w:p>
      <w:pPr/>
      <w:r>
        <w:rPr>
          <w:b/>
        </w:rPr>
        <w:t>POSSIBLE 2021:</w:t>
      </w:r>
      <w:r>
        <w:t xml:space="preserve"> Electric vehicle charging network in Europe: An accessibility and deployment trends analysis — https://doi.org/10.1016/j.trd.2021.102813</w:t>
      </w:r>
    </w:p>
    <w:p>
      <w:pPr/>
      <w:r>
        <w:rPr>
          <w:b/>
        </w:rPr>
        <w:t>Shared claim-specific concepts:</w:t>
      </w:r>
      <w:r>
        <w:t xml:space="preserve"> developed, large-scale, technology, environmental, bottom-up; EU scope visible. This is a provisional connection, not an outcome finding.</w:t>
      </w:r>
    </w:p>
    <w:p>
      <w:pPr>
        <w:pStyle w:val="SourceNote"/>
      </w:pPr>
      <w:r>
        <w:rPr>
          <w:b/>
        </w:rPr>
        <w:t>Available abstract (not full text):</w:t>
      </w:r>
      <w:r>
        <w:t xml:space="preserve">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pPr/>
      <w:r>
        <w:rPr>
          <w:b/>
        </w:rPr>
        <w:t>POSSIBLE 2021:</w:t>
      </w:r>
      <w:r>
        <w:t xml:space="preserve"> Enough? The role of sufficiency in European energy and climate plans — https://doi.org/10.1016/j.enpol.2021.112483</w:t>
      </w:r>
    </w:p>
    <w:p>
      <w:pPr/>
      <w:r>
        <w:rPr>
          <w:b/>
        </w:rPr>
        <w:t>Shared claim-specific concepts:</w:t>
      </w:r>
      <w:r>
        <w:t xml:space="preserve"> focus, role; EU scope visible. This is a provisional connection, not an outcome finding.</w:t>
      </w:r>
    </w:p>
    <w:p>
      <w:pPr>
        <w:pStyle w:val="SourceNote"/>
      </w:pPr>
      <w:r>
        <w:rPr>
          <w:b/>
        </w:rPr>
        <w:t>Available abstract (not full text):</w:t>
      </w:r>
      <w:r>
        <w:t xml:space="preserve"> Energy sufficiency is one of the three energy sustainability strategies, next to energy efficiency and renewable energies. We analyse to what extent European governments follow this strategy, by conducting a systematic document analysis of all available European National Energy and Climate Plans (NECPs) and Long-Term Strategies (LTSs). We collect and categorise a total of 230 sufficiency-related policy measures, finding large differences between countries. We find most sufficiency policies in the transport sector, when classifying also modal shift policies to change the service quality of transport as sufficiency policies. Types of sufficiency policy instruments vary considerably from sector to sector, for instance the focus on financial incentives and fiscal instruments in the mobility sector, information in the building sector, and financial incentive/tax instruments in cross-sectoral application. Regulatory instruments currently play a minor role for sufficiency policy in the national energy and climate plans of EU member states. Similar to energy efficiency in recent decades, sufficiency still largely referred to as micro-level individual behaviour change or necessary exogenous trends that will need to take place. It is not treated yet as a genuine field of policy action to provide the necessary framework for enabling societal change.</w:t>
      </w:r>
    </w:p>
    <w:p>
      <w:pPr/>
      <w:r>
        <w:rPr>
          <w:b/>
        </w:rPr>
        <w:t>POSSIBLE 2021:</w:t>
      </w:r>
      <w:r>
        <w:t xml:space="preserve"> Digital entrepreneurship in developing countries: The role of institutional voids — https://doi.org/10.1016/j.techfore.2021.120876</w:t>
      </w:r>
    </w:p>
    <w:p>
      <w:pPr/>
      <w:r>
        <w:rPr>
          <w:b/>
        </w:rPr>
        <w:t>Shared claim-specific concepts:</w:t>
      </w:r>
      <w:r>
        <w:t xml:space="preserve"> those, role, positive, often; EU scope not established. This is a provisional connection, not an outcome finding.</w:t>
      </w:r>
    </w:p>
    <w:p>
      <w:pPr>
        <w:pStyle w:val="SourceNote"/>
      </w:pPr>
      <w:r>
        <w:rPr>
          <w:b/>
        </w:rPr>
        <w:t>Available abstract (not full text):</w:t>
      </w:r>
      <w:r>
        <w:t xml:space="preserve"> Entrepreneurship is often considered a key means to tackling the ongoing challenge of poverty among the rural populations in developing countries. We study how drawing on the support of various stakeholders—specifically family, community, and business partners—helps overcome institutional voids and foster entrepreneurship in Indian microenterprises. We also examine how the adoption of digital technologies—e.g., in the form of smartphone apps—can strengthen those relationships. By surveying more than 1,000 microentrepreneurs in rural India, we find that both the families and communities (in particular self-help groups) of entrepreneurs have a positive and significant effect on entrepreneurship that is strengthened when digital technologies are used. Support from business partners, however, is negatively associated with entrepreneurship.</w:t>
      </w:r>
    </w:p>
    <w:p>
      <w:pPr/>
      <w:r>
        <w:rPr>
          <w:b/>
        </w:rPr>
        <w:t>POSSIBLE 2021:</w:t>
      </w:r>
      <w:r>
        <w:t xml:space="preserve"> The Role of the European Education Area in European Union Integration in Times of Crises — https://doi.org/10.1017/s1062798721000016</w:t>
      </w:r>
    </w:p>
    <w:p>
      <w:pPr/>
      <w:r>
        <w:rPr>
          <w:b/>
        </w:rPr>
        <w:t>Shared claim-specific concepts:</w:t>
      </w:r>
      <w:r>
        <w:t xml:space="preserve"> role, few, common, surprising; EU scope visible. This is a provisional connection, not an outcome finding.</w:t>
      </w:r>
    </w:p>
    <w:p>
      <w:pPr>
        <w:pStyle w:val="SourceNote"/>
      </w:pPr>
      <w:r>
        <w:rPr>
          <w:b/>
        </w:rPr>
        <w:t>Available abstract (not full text):</w:t>
      </w:r>
      <w:r>
        <w:t xml:space="preserve"> The European Union has faced many crises, such as populism, xenophobia, economic and political challenges, to name a few. This has resulted in some questioning whether the EU will survive. Herein, the neo-institutionalist perspective on crises in EU integration frames an original and timely inquiry into the role of a new EU initiative – the European Education Area – in supporting EU integration in these challenging times. This inquiry relies on a thematic analysis of relevant key policy materials. The findings highlight that while it is not surprising that the EEA is an example of an education convergence project in the EU, the novelty of other findings is striking. It appears that the crises in the EU inspired the authors of the EEA to utilize its education as a tool for EU deepening, which is an aspect of EU integration related to the strengthening of the relationships amongst its Member States. Specifically, the EEA has been a driver in the development of a common European identity and European economy, the EU as a socially-just society and the continent of progress. These findings address important gaps of our knowledge about the role of education in driving EU integration.</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even, though;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r>
        <w:rPr>
          <w:b/>
        </w:rPr>
        <w:t>POSSIBLE 2020:</w:t>
      </w:r>
      <w:r>
        <w:t xml:space="preserve"> People in transitions: Energy citizenship, prosumerism and social movements in Europe — https://doi.org/10.1016/j.erss.2020.101718</w:t>
      </w:r>
    </w:p>
    <w:p>
      <w:pPr/>
      <w:r>
        <w:rPr>
          <w:b/>
        </w:rPr>
        <w:t>Shared claim-specific concepts:</w:t>
      </w:r>
      <w:r>
        <w:t xml:space="preserve"> environmental, initiatives; EU scope visible. This is a provisional connection, not an outcome finding.</w:t>
      </w:r>
    </w:p>
    <w:p>
      <w:pPr>
        <w:pStyle w:val="SourceNote"/>
      </w:pPr>
      <w:r>
        <w:rPr>
          <w:b/>
        </w:rPr>
        <w:t>Available abstract (not full text):</w:t>
      </w:r>
      <w:r>
        <w:t xml:space="preserve">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pStyle w:val="Heading2"/>
      </w:pPr>
      <w:r>
        <w:t>724.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Climate and Energy Policy — https://doi.org/10.4324/9781003736134-18</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This chapter examines the role of AI in climate action and energy policy, focusing on its potential to support energy transition, grid modernisation, energy efficiency, renewable energy deployment, and emissions reduction. Through a comparative analysis of the European Union and Japan, it explores how both jurisdictions integrate AI into broader climate, energy, and industrial strategies. The chapter also considers the regulatory implications of AI in energy governance, including its potential to assist regulators and improve policy implementation. By linking technological innovation with sustainability objectives, the chapter highlights AI’s growing significance in shaping future climate and energy governance frameworks.</w:t>
      </w:r>
    </w:p>
    <w:p>
      <w:pPr/>
      <w:r>
        <w:rPr>
          <w:b/>
        </w:rPr>
        <w:t>POSSIBLE 2024:</w:t>
      </w:r>
      <w:r>
        <w:t xml:space="preserve"> EU Energy Securitisation: Ukraine's Place in the European Energy System — https://doi.org/10.53317/2786-4774-2024-1-8</w:t>
      </w:r>
    </w:p>
    <w:p>
      <w:pPr/>
      <w:r>
        <w:rPr>
          <w:b/>
        </w:rPr>
        <w:t>Shared claim-specific concepts:</w:t>
      </w:r>
      <w:r>
        <w:t xml:space="preserve"> energy, system, increased; EU scope visible. This is a provisional connection, not an outcome finding.</w:t>
      </w:r>
    </w:p>
    <w:p>
      <w:pPr>
        <w:pStyle w:val="SourceNote"/>
      </w:pPr>
      <w:r>
        <w:rPr>
          <w:b/>
        </w:rPr>
        <w:t>Available abstract (not full text):</w:t>
      </w:r>
      <w:r>
        <w:t xml:space="preserve"> This article focuses on the investigation of the European Union's securitisation policy in the energy sector, in particular, the provision of energy carriers to the Union, which was developed in response to Russia's energy wars of 2006–2007 and 2008–2009 against Ukraine and indirectly against the European Union. The theory of securitisation, formulated by S. Ozkan, B. Buzan and other researchers, focuses not so much on eliminating the consequences of crises as on creating a system of securitisation for the relevant industries with increased stress resistance, diversification of economic and technological ties with partners and strengthening the social orientation of their functioning. The algorithmization of this policy and the changes that led to the institutional response to Russian aggression in the energy sector are investigated. The research is based on the approach of sociological (neo)institutionalism, which allows explaining political processes in terms of not only economic benefits, but also their importance for the development of other spheres of public life and international cooperation. This approach is based on the notion that, first, the institutional environment in which a particular institution operates provides it with the necessary resources, as well as legitimates and regulates its activities. As a result, sociological institutionalism emphasises the role of </w:t>
      </w:r>
    </w:p>
    <w:p>
      <w:pPr/>
      <w:r>
        <w:rPr>
          <w:b/>
        </w:rPr>
        <w:t>POSSIBLE 2024:</w:t>
      </w:r>
      <w:r>
        <w:t xml:space="preserve"> The Effectiveness of the EU ETS Policy in Changing the Energy Mix in Selected European Countries — https://doi.org/10.3390/en17174243</w:t>
      </w:r>
    </w:p>
    <w:p>
      <w:pPr/>
      <w:r>
        <w:rPr>
          <w:b/>
        </w:rPr>
        <w:t>Shared claim-specific concepts:</w:t>
      </w:r>
      <w:r>
        <w:t xml:space="preserve"> energy, co2, reduction; EU scope visible. This is a provisional connection, not an outcome finding.</w:t>
      </w:r>
    </w:p>
    <w:p>
      <w:pPr>
        <w:pStyle w:val="SourceNote"/>
      </w:pPr>
      <w:r>
        <w:rPr>
          <w:b/>
        </w:rPr>
        <w:t>Available abstract (not full text):</w:t>
      </w:r>
      <w:r>
        <w:t xml:space="preserve"> In the field of economic analysis, the study of the EU ETS policy has primarily focused on the impact of renewable energy consumption on economic growth, as well as the role of legal and fiscal instruments in the development of clean energy. This study aimed to evaluate the effectiveness of the EU ETS policy in altering the energy mix of selected European countries, providing both cognitive and applicational value. The evaluation of the effectiveness of this policy focused on the structure of the energy mix and the relationship between rising CO2 emission allowance prices and the decreasing share of coal in the energy mix. The goal was achieved through statistical analysis of secondary sources, primarily sourced from Bloomberg (2016–2024). The research findings indicated that changes in the structure of energy sources varied across the studied European countries, due to the adopted energy source utilization strategy, resource availability, and geopolitical situations. Additionally, different correlation values were noted between rising CO2 emission allowance prices and the expected reduction in fossil fuel use. Therefore, the EU ETS policy does not fulfill its assigned role—its implementation contributes to disparities in the economic situations of European economies and creates conditions for unequal competition.</w:t>
      </w:r>
    </w:p>
    <w:p>
      <w:pPr/>
      <w:r>
        <w:rPr>
          <w:b/>
        </w:rPr>
        <w:t>POSSIBLE 2024:</w:t>
      </w:r>
      <w:r>
        <w:t xml:space="preserve"> The Impact of Deep Decarbonization Policy on the Level of Greenhouse Gas Emissions in the European Union — https://doi.org/10.3390/en17051245</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The Green Deal, a cornerstone of the European Union’s climate goals, sets out to achieve a substantial 55% reduction in greenhouse gas emissions by 2030 compared to 1990 levels. The EU’s decarbonization strategies revolve around three pivotal avenues. First, there is a focus on enhancing energy efficiency and decreasing the energy intensity of economies. Second, concerted efforts are made to diminish the reliance on fossil fuels, particularly within industrial sectors. Lastly, there is a deliberate push to augment the share of renewable energy sources in the final energy consumption mix. These measures collectively aim to propel the decarbonization of EU economies, establishing EU member countries as global leaders in implementing these transformative processes. This manuscript seeks to evaluate the efficacy of three primary decarbonization strategies adopted by EU economies, namely the enhancement in energy efficiency, the promotion of renewable energy consumption and the reduction in fossil fuel consumption. The objective is to discern which strategies wield a decisive influence in achieving decarbonization goals across EU countries. The analysis encompasses all 27 member states of the European Union, spanning from 1990 to 2022, with data sourced from reputable outlets, including Eurostat, Our World in Data and the Energy Institute. Research findings underscore that, in the r</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focus, energy;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Energy Systems — https://doi.org/10.1017/9781009157926.008</w:t>
      </w:r>
    </w:p>
    <w:p>
      <w:pPr/>
      <w:r>
        <w:rPr>
          <w:b/>
        </w:rPr>
        <w:t>Shared claim-specific concepts:</w:t>
      </w:r>
      <w:r>
        <w:t xml:space="preserve"> energy, system, without, total, increased; EU scope not established. This is a provisional connection, not an outcome finding.</w:t>
      </w:r>
    </w:p>
    <w:p>
      <w:pPr>
        <w:pStyle w:val="SourceNote"/>
      </w:pPr>
      <w:r>
        <w:rPr>
          <w:b/>
        </w:rPr>
        <w:t>Available abstract (not full text):</w:t>
      </w:r>
      <w:r>
        <w:t xml:space="preserve"> Warming cannot be limited to well below 2°C without rapid and deep reductions in energy system carbon dioxide (CO 2 ) and greenhouse gas (GHG) emissions.In scenarios limiting warming to 1.5°C (&gt;50%) with no or limited overshoot (2°C (&gt;67%) with action starting in 2020), net energy system CO 2 emissions (interquartile range) fall by 87-97% (60-79%) in 2050.In 2030, in scenarios limiting warming to 1.5°C (&gt;50%) with no or limited overshoot, net CO 2 and GHG emissions fall by 35-51% and 38-52% respectively.In scenarios limiting warming to 1.5°C (&gt;50%) with no or limited overshoot (2°C (&gt;67%)), net electricity sector CO 2 emissions reach zero globally between 2045 and 2055 (2050 and 2080).(high confidence) {6.7} Limiting warming to well below 2°C will require substantial energy system changes over the next 30 years.This includes reduced fossil fuel consumption, increased production from low-and zero-carbon energy sources, and increased use of electricity and alternative energy carriers.Coal consumption without carbon capture and storage (CCS) falls by 67-82% (interquartile range) in 2030 in scenarios limiting warming to 1.5°C (&gt;50%) with no or limited overshoot.Oil and gas consumption fall more slowly.Low-carbon sources produce 93-97% of global electricity by 2050 in scenarios that limit warming to 2°C (&gt;67%) with action starting in 2020.In scenarios limiting warming to 1.5°C (&gt;50%</w:t>
      </w:r>
    </w:p>
    <w:p>
      <w:pPr/>
      <w:r>
        <w:rPr>
          <w:b/>
        </w:rPr>
        <w:t>POSSIBLE 2023:</w:t>
      </w:r>
      <w:r>
        <w:t xml:space="preserve"> Differentiation of climate and energy policy in the countries of the European Union — https://doi.org/10.29119/1641-3466.2022.166.32</w:t>
      </w:r>
    </w:p>
    <w:p>
      <w:pPr/>
      <w:r>
        <w:rPr>
          <w:b/>
        </w:rPr>
        <w:t>Shared claim-specific concepts:</w:t>
      </w:r>
      <w:r>
        <w:t xml:space="preserve"> energy, co2, resulting, increased; EU scope visible. This is a provisional connection, not an outcome finding.</w:t>
      </w:r>
    </w:p>
    <w:p>
      <w:pPr>
        <w:pStyle w:val="SourceNote"/>
      </w:pPr>
      <w:r>
        <w:rPr>
          <w:b/>
        </w:rPr>
        <w:t>Available abstract (not full text):</w:t>
      </w:r>
      <w:r>
        <w:t xml:space="preserve"> Purpose: The energy policy of the European Union focuses mainly on three areas: renewable energy, reducing the emission of harmful pollutants, in particular CO2, and increasing the efficiency of electricity used. Sustainable energy management, in turn, is undoubtedly associated with the increased use of renewable energy sources ensuring energy security as well as the diversification of energy supplies that support and improve the quality of the environment. The aim of the article is to present the diversity of the European Union countries in terms of actions taken in the field of energy policy resulting from climate and energy goals. Design/methodology/approach: On the basis of the objectives of the energy policy presented in the EU directives, indicators describing the activities of the Member States in this respect were selected. Then, they were subjected to substantive and statistical verification, leaving 6 variables. The tool of Multidimensional Statistical Analysis, which is a synthetic measure, was used to develop a synthetic measure of the level of achievement of the goals of the climate and energy policy. Two types of analyses were used: static for international comparisons between the European Union countries, conducted for 2021, and dynamic, for the years 2011-2021. Findings: The most favourable situation in terms of activities aimed at reducing emissions of harmful </w:t>
      </w:r>
    </w:p>
    <w:p>
      <w:pPr/>
      <w:r>
        <w:rPr>
          <w:b/>
        </w:rPr>
        <w:t>POSSIBLE 2022:</w:t>
      </w:r>
      <w:r>
        <w:t xml:space="preserve"> Investigation of European modular façade system utilizing renewable energy — https://doi.org/10.1093/ijlct/ctab101</w:t>
      </w:r>
    </w:p>
    <w:p>
      <w:pPr/>
      <w:r>
        <w:rPr>
          <w:b/>
        </w:rPr>
        <w:t>Shared claim-specific concepts:</w:t>
      </w:r>
      <w:r>
        <w:t xml:space="preserve"> energy, system, without; EU scope visible. This is a provisional connection, not an outcome finding.</w:t>
      </w:r>
    </w:p>
    <w:p>
      <w:pPr>
        <w:pStyle w:val="SourceNote"/>
      </w:pPr>
      <w:r>
        <w:rPr>
          <w:b/>
        </w:rPr>
        <w:t>Available abstract (not full text):</w:t>
      </w:r>
      <w:r>
        <w:t xml:space="preserve"> Abstract The purpose of this investigation is to summarize modular façade construction using renewable energy features in different aspects. Researches done so far primarily focusing on building envelop have shown various constructions of building enclosure without energy usage. This paper mainly focuses on modular façade renovation system programmes of European Horizon 2020 [34] and IEA ECBCS Annex 50 Prefabricated Systems for Low Energy Renovation of Residential Buildings in terms of construction, material, installation and thermal performance. Four aspects of construction, material, installation and thermal performance are adopted to evaluate these practices. Related website, paper and report from European commission constitute the database providing for review. Final results illustrate that all modular façade systems mentioned above could be classified into three layers: interior; module and exterior layer, taking charge of disparate functions. Both insulation and energy usage achieve the innovative envelop constructions manufacture. Integrating the renewable energy resources utilization technique into insulated building façade system is the core of this innovative projects achievement.</w:t>
      </w:r>
    </w:p>
    <w:p>
      <w:pPr/>
      <w:r>
        <w:rPr>
          <w:b/>
        </w:rPr>
        <w:t>POSSIBLE 2022:</w:t>
      </w:r>
      <w:r>
        <w:t xml:space="preserve"> Much broader than health: Surveying the diverse co-benefits of energy demand reduction in Europe — https://doi.org/10.1016/j.erss.2022.102890</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Demand-side energy reduction measures that aim to reduce energy usage are an effective tool in reducing greenhouse gas emissions as part of a net zero emissions push in Europe. However, often barriers within policymaking hinder deployment. Co-benefits - the secondary benefits of climate change mitigation action - offer an opportunity to reframe energy reduction as financially advantageous and also address a wide range of other policy goals. In support, we survey the type, frequency, and scale of energy demand reduction (EDR) co-benefits in Europe, and assess how these co-benefits can be accounted for in future EDR policymaking. We conduct a review of co-benefits associated with EDR literature. From 53 selected papers, 86 unique co-benefits are identified across five different categories: Health, Energy Security, Economy, Social, and Environment. Economic co-benefits represent the highest proportion. Health/environmental impacts of air quality are the most cited individual co-benefit. While quantification methodology is discussed frequently, only a fifth of the papers attempt primary quantification of energy reduction co-benefits, with most of those concerned only with air quality. Lastly, a matrix framework is developed that conveys quantifiability and required timescales for key individual co-benefits. We propose a four-step plan for improving the use of co-benefits, deepening</w:t>
      </w:r>
    </w:p>
    <w:p>
      <w:pPr/>
      <w:r>
        <w:rPr>
          <w:b/>
        </w:rPr>
        <w:t>POSSIBLE 2022:</w:t>
      </w:r>
      <w:r>
        <w:t xml:space="preserve"> Energy Communities Overview: Managerial Policies, Economic Aspects, Technologies, and Models — https://doi.org/10.3390/jrfm15110521</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Recently, there has been an ongoing global debate on the issues of energy safety, energy autonomy, and energy alleviation policies in developed and developing countries. The energy communities can integrate distributed energy resources, especially among local energy systems, playing a decisive role to support people around the world in the transition process towards sustainable development and renewable energy sources (RES). The main research dimensions of such a manifold approach are environmental sustainability, the reduction of greenhouse gases (GHGs) emission, the ordinal exploitation of RES, the social awareness in actions towards global consumerism in an environmentally caring manner, the increase of energy efficiency, and the pollution relief caused by the expansion of urban/built environment worldwide. This review study focused on the roles and the ways of how “energy communities” (ECs) could support contemporary energy management and priorities to ensure energy safety, autonomy, and alleviation, regionally and globally. In this context, a systematic, last-decade publications of ECs was conducted and the retrieved documents were organized in alignment with the following four groups of literature overview. Group 1 covered the dimensions of technology and environment, being coupled with Group 2, covering the dimensions of socio-culture and anthropocentricity (mainly focus</w:t>
      </w:r>
    </w:p>
    <w:p>
      <w:pPr/>
      <w:r>
        <w:rPr>
          <w:b/>
        </w:rPr>
        <w:t>POSSIBLE 2021:</w:t>
      </w:r>
      <w:r>
        <w:t xml:space="preserve"> Incorporating uncertainties towards a sustainable European energy system: A stochastic approach for decarbonization paths focusing on the transport sector — https://doi.org/10.1016/j.esr.2021.100707</w:t>
      </w:r>
    </w:p>
    <w:p>
      <w:pPr/>
      <w:r>
        <w:rPr>
          <w:b/>
        </w:rPr>
        <w:t>Shared claim-specific concepts:</w:t>
      </w:r>
      <w:r>
        <w:t xml:space="preserve"> energy, system, co2, reduction, period; EU scope visible. This is a provisional connection, not an outcome finding.</w:t>
      </w:r>
    </w:p>
    <w:p>
      <w:pPr>
        <w:pStyle w:val="SourceNote"/>
      </w:pPr>
      <w:r>
        <w:rPr>
          <w:b/>
        </w:rPr>
        <w:t>Available abstract (not full text):</w:t>
      </w:r>
      <w:r>
        <w:t xml:space="preserve"> According to the Paris Agreement, the European energy system transition is essential to achieve GHG emission reduction targets set by the EU and limit the growth of global temperatures. Investigating the role of emerging mitigation technologies and their uncertainties together with the different GHG reduction targets is crucial to realize this transition. This study analyzes the uncertainties of electric vehicles' learning paths and biomass availability for biofuels, considering policy uncertainties. Since these technologies are considered possible alternatives to conventional fuels to reduce CO2 emissions in transport, it is critical to understand their future role and the possible impact of their uncertainties during the European energy system design in case of different climate ambitions. Stochastic modeling is applied to analyze associated uncertainties as an additional approach to a traditional sensitivity analysis. Our results show that decarbonization of car transport is prioritized, and electric cars appear as no-regret options in the sector's design during the energy transition. Therefore, early deployments of EVs are essential to hedge the given uncertainties independent of the hedging period's length. Longer resolution time reduces the deployment of electric vehicles in the recourse strategies compared to having a shorter one due to a delay in the cost reductions. Th</w:t>
      </w:r>
    </w:p>
    <w:p>
      <w:pPr>
        <w:pStyle w:val="Heading2"/>
      </w:pPr>
      <w:r>
        <w:t>725.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2025:</w:t>
      </w:r>
      <w:r>
        <w:t xml:space="preserve"> A gridded inventory of anthropogenic hydrogen emissions in Europe — https://doi.org/10.1016/j.isci.2025.114095</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/year). However, hydrogen production is expected to increase 5- to 6-fold by 2050. Under such a scenario, hydrogen emissions from the hydrogen value chain can dominate hydrogen emissions in Europe and could undermine the climate benefits of hydrogen as an energy carrier, if not properly managed.</w:t>
      </w:r>
    </w:p>
    <w:p>
      <w:pPr/>
      <w:r>
        <w:rPr>
          <w:b/>
        </w:rPr>
        <w:t>POSSIBLE 2023:</w:t>
      </w:r>
      <w:r>
        <w:t xml:space="preserve"> UKRAINE IN THE INTERNATIONAL ENERGY COORDINATE SYSTEM — https://doi.org/10.20998/2313-8890.2023.01.04</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conditions of operation of the electric power system of Ukraine are analyzed. According to the results of the analysis, it was found that the presence of electric power equipment, which has already served the period of operation established by the standards, and Russian aggression on the territory of Ukraine led to force majeure situations in the state's electric power sector. It is shown that the existing realities provoke a critical situation both in the electric power system of Ukraine and in its interaction with the united power system of continental Europe ENTSO-E. It is substantiated that even in the event of extraordinary circumstances or force majeure situations, the electricity system of Ukraine ensures balance stability, which meets European requirements for ensuring the efficient operation of Ukrainian electricity networks as part of the unified energy system of continental Europe ENTSO-E. The expediency of intensifying cooperation with the international community through Ukraine's participation in international programs and projects to implement issues of energy security, energy saving and energy efficiency under the conditions of integration of the Ukrainian economy into the world economy on an equal and mutually beneficial basis is proposed.</w:t>
      </w:r>
    </w:p>
    <w:p>
      <w:pPr/>
      <w:r>
        <w:rPr>
          <w:b/>
        </w:rPr>
        <w:t>POSSIBLE 2023:</w:t>
      </w:r>
      <w:r>
        <w:t xml:space="preserve"> Energy Economic Development in Europe — https://doi.org/10.3390/books978-3-0365-7112-6</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Empowering whose future? A European policy analysis of children in energy poverty — https://doi.org/10.1016/j.erss.2023.103328</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Children experience distinct impacts on their mental and physical health as well as their educational attainment as a result of living in energy poverty, according to multiple sources. International guidelines, such as the UN Convention on the Rights of the Child, underline the right of every child to an adequate standard of living and the need for all policies to consider the specific needs of children. This paper aims to understand the extent to which energy policies take explicit account of children in energy poverty and endeavour to address their distinct needs and the impacts they experience. The investigation is based on an analysis of EU-SILC data and policy documents across the 28 countries that (at the end of 2019) formed the European Union. The analysis reveals that children are mostly only considered within the wider family context, with larger families tending to receive greater support, despite evidence that single-parent families are at higher risk of energy poverty. Children are characterised as passive subjects in energy policy; their perspectives and needs are not considered in policy development.</w:t>
      </w:r>
    </w:p>
    <w:p>
      <w:pPr/>
      <w:r>
        <w:rPr>
          <w:b/>
        </w:rPr>
        <w:t>POSSIBLE 2022:</w:t>
      </w:r>
      <w:r>
        <w:t xml:space="preserve"> Does the transition to renewable energy increase inflation in European countries? — https://doi.org/10.21203/rs.3.rs-1408222/v1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Review of PV Solar Energy Development 2011–2021 in Central European Countries — https://doi.org/10.3390/en15218307</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data collected in 2022 during 5th International Off-Grid Renewable Energy Conference organized in Abu Dhabi by the International Renewable Energy Agency, the global energy requirements show a negative impact on approximately 785 million people facing energy poverty. The long-term energy sustainability solutions should consider off-grid solutions in the planning of an energy mix and be considered as interim both in remote and already urbanized areas. These measures require integrated planning and partnering with local distribution networks. The review presents the development of photovoltaic installations in Central European countries. For more than 40 years, this area belonged to different regimes and joined the European Union at various dates. Hence, the development of energy policies and cultural and social expectations differ even when based on the Green Deal presented by the European Union in 2020. The outcomes prove that even with a variety of policy measures, the strongest boost can be given only by a set of national rules and financial incentives supporting the stakeholders. It should be noted that the advancement of PV often does not rely on climatic conditions, but more on the level of incentives undertaken by each country, as well as the general policy measures undertaken on the EU level.</w:t>
      </w:r>
    </w:p>
    <w:p>
      <w:pPr/>
      <w:r>
        <w:rPr>
          <w:b/>
        </w:rPr>
        <w:t>POSSIBLE 2022:</w:t>
      </w:r>
      <w:r>
        <w:t xml:space="preserve"> CAN GREECE STRENGTHEN EUROPEAN ENERGY SECURITY? — https://openalex.org/W7112735520</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Union’s energy security is at risk mainly due to its high dependence on Russian energy resources. Although some scholars have argued that the Kremlin would not weaponize its natural resources, the Russian invasion of Ukraine in 2022 has made them reconsider. This thesis seeks to answer whether Greece can strengthen the energy security of the European Union through two energy projects: the EastMed pipeline and the electrical interconnectors. These two case studies analyzed the potential barriers that emerged from the literature review of respective energy projects. The research shows that the economic factor does not seem to be an obstacle to implementing EastMed and electricity interconnection projects. Moreover, this thesis points out that both energy projects at the domestic political level find a fertile environment for their construction. On the other hand, the thesis indicates that the geopolitical factor, specifically Turkey’s role, is the main inhibiting factor that endangers the implementation of energy projects. However, according to the research findings, Turkey’s positions do not find international acceptance, its actions are condemned, and the investors of the energy projects do not seem to be affected. Thus, the implementation of EastMed and electrical interconnections does not seem to be affected, and Greece can, through them, strengthen the energy se</w:t>
      </w:r>
    </w:p>
    <w:p>
      <w:pPr/>
      <w:r>
        <w:rPr>
          <w:b/>
        </w:rPr>
        <w:t>POSSIBLE 2022:</w:t>
      </w:r>
      <w:r>
        <w:t xml:space="preserve"> Assessment of the Economic Efficiency of Energy Development in the Industrial Sector of the European Union Area Countries — https://doi.org/10.3390/en15093322</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Union’s Green Deal emphasises the importance of improving the efficiency of the energy sector in its countries, which is why the issues involved are relevant in both scientific and practical terms. The article sets out the hypothesis that conveying the state of the economic efficiency of energy development by grades does not reflect the real situation. Instead of ranks, it is proposed to form homogeneous groups of some countries based on non-linear data normalisation instead of today’s universally used linearisation. Grouping the euro area countries in the European Union on the basis of the value of the cost-effectiveness indicator for the energy development of their industrial sector confirmed the appropriateness of the proposed method-ology. In this way, three groups of countries were formed according to the level of cost-effectiveness achieved. The proposed methodology for grouping countries is universal and can be used for international comparisons of any kind.</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Emissions of CO2 in Europe and the Asia–pacific region: Panel data model — https://doi.org/10.1016/j.egyr.2022.10.164</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The rapid growth of CO 2 emissions determines the problem of global warming, which has now become a severe threat to humanity. This work aimed to identify significant factors and assess their impact on CO 2 emissions in Europe and the Asia–Pacific region using a panel data model. The authors have established the following factors’ influence on CO 2 emissions in European countries - GDP, consumption of fossil energy resources, population, urbanization, and in the Asia–Pacific countries - GDP, population, and “green factors”. A positive coefficient before the GDP factor confirms the impact of economic growth on the amount of CO 2 emissions. The authors also revealed that the “green factor” is not significant for European countries, since the development of alternative energy in Europe has reached the limit when the influence of the “green factor” significantly reduces emissions. However, for the Asia–Pacific region, as the largest region in terms of emissions, the “green factor” and the share of gas consumption had a negative impact on the dependent variable. Technological and institutional development of countries will be the main factor in determining competitiveness in international trade.</w:t>
      </w:r>
    </w:p>
    <w:p>
      <w:pPr/>
      <w:r>
        <w:rPr>
          <w:b/>
        </w:rPr>
        <w:t>POSSIBLE 2021:</w:t>
      </w:r>
      <w:r>
        <w:t xml:space="preserve"> Review of methods for the combined assessment of seismic resilience and energy efficiency towards sustainable retrofitting of existing European buildings — https://doi.org/10.1016/j.scs.2021.103556</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Sustainable retrofitting of existing buildings is a prerequisite for achieving climatic and energy objectives in the EU. Thus, practical tools supporting the evaluation and decision-making process when planning retrofit interventions are required. In specific areas, in addition to energy efficiency, the improvement in building resilience to natural hazards is requested; in several European regions, seismicity poses a significant hazard. This study aims to analyse the state-of-the-art of the integrated methods for the implementation of structural and energy retrofitting. The work consists of reviewing available tools, international sustainability protocols, and methods specifically developed for combined energy and seismic assessment. In the first group of methods, assessment is independently referred to specific criteria for energy performance and seismic safety, quantified according to available codes. Besides, in a second group, integrated evaluation is achieved considering ‘equivalent’ initial or life-cycle costs associated with energy consumption and seismic vulnerability. The collected methods were evaluated for qualitative requirements for optimal integration, such as multidisciplinary, life-cycle approaches, and other indicators. Finally, a critical evaluation is provided, highlighting what can be used for future developments toward a sustainable and resilient retrofitti</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pStyle w:val="Heading2"/>
      </w:pPr>
      <w:r>
        <w:t>726.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2025:</w:t>
      </w:r>
      <w:r>
        <w:t xml:space="preserve"> Value-Driven Back casting Technique as a Methodology for designing the Future of Continuous Learning Center Interiors (AI as an Assistive Tool). — https://doi.org/10.21608/aaj.2025.378971.1130</w:t>
      </w:r>
    </w:p>
    <w:p>
      <w:pPr/>
      <w:r>
        <w:rPr>
          <w:b/>
        </w:rPr>
        <w:t>Shared claim-specific concepts:</w:t>
      </w:r>
      <w:r>
        <w:t xml:space="preserve"> long-term, thinking, back, casting, developing; EU scope not established. This is a provisional connection, not an outcome finding.</w:t>
      </w:r>
    </w:p>
    <w:p>
      <w:pPr>
        <w:pStyle w:val="SourceNote"/>
      </w:pPr>
      <w:r>
        <w:rPr>
          <w:b/>
        </w:rPr>
        <w:t>Available abstract (not full text):</w:t>
      </w:r>
      <w:r>
        <w:t xml:space="preserve"> Interior design today faces two significant challenges: a decline in creativity and originality due to an overreliance on digital tools, AI, and online platforms for inspiration, and a lack of alignment with sustainability and the United Nations Sustainable Development Goals (SDGs). This misalignment often occurs because these global visions are not adequately considered during the design process. One of the main reasons for these challenges is the pressure of time and efficiency, which frequently forces designers to prioritize convenience over creativity and innovation. As a result, designs often fail to address long-term societal and environmental impacts.This paper explores various thinking approaches while designing, critically examining their potential to tackle these challenges. It introduces "value-driven back casting" technique as an innovative framework for interior design, emphasizing a future-focused and goal-oriented approach to overcoming these issues. This methodology empowers interior designers to actively shape and define their own future, rather than merely following trends or relying on existing tools and ideas. By developing out-of-the-box thinking and encouraging innovation, this approach enables designers to become leaders in creating forward-thinking and sustainable solutions. To demonstrate its application, the paper presents an experiment that uses this </w:t>
      </w:r>
    </w:p>
    <w:p>
      <w:pPr/>
      <w:r>
        <w:rPr>
          <w:b/>
        </w:rPr>
        <w:t>POSSIBLE 2024:</w:t>
      </w:r>
      <w:r>
        <w:t xml:space="preserve"> Is Long-Term Thinking a Trap? — https://doi.org/10.1215/22011919-11150043</w:t>
      </w:r>
    </w:p>
    <w:p>
      <w:pPr/>
      <w:r>
        <w:rPr>
          <w:b/>
        </w:rPr>
        <w:t>Shared claim-specific concepts:</w:t>
      </w:r>
      <w:r>
        <w:t xml:space="preserve"> long-term, thinking, stronger; EU scope not established. This is a provisional connection, not an outcome finding.</w:t>
      </w:r>
    </w:p>
    <w:p>
      <w:pPr>
        <w:pStyle w:val="SourceNote"/>
      </w:pPr>
      <w:r>
        <w:rPr>
          <w:b/>
        </w:rPr>
        <w:t>Available abstract (not full text):</w:t>
      </w:r>
      <w:r>
        <w:t xml:space="preserve">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pPr/>
      <w:r>
        <w:rPr>
          <w:b/>
        </w:rPr>
        <w:t>POSSIBLE 2024:</w:t>
      </w:r>
      <w:r>
        <w:t xml:space="preserve"> Retrieval method as a learning intervention for long term retention and creative thinking skills — https://doi.org/10.16920/jeet/2024/v37is2/24102</w:t>
      </w:r>
    </w:p>
    <w:p>
      <w:pPr/>
      <w:r>
        <w:rPr>
          <w:b/>
        </w:rPr>
        <w:t>Shared claim-specific concepts:</w:t>
      </w:r>
      <w:r>
        <w:t xml:space="preserve"> thinking, techniques, level, applied; EU scope not established. This is a provisional connection, not an outcome finding.</w:t>
      </w:r>
    </w:p>
    <w:p>
      <w:pPr>
        <w:pStyle w:val="SourceNote"/>
      </w:pPr>
      <w:r>
        <w:rPr>
          <w:b/>
        </w:rPr>
        <w:t>Available abstract (not full text):</w:t>
      </w:r>
      <w:r>
        <w:t xml:space="preserve"> Abstract— Few key skills among many that are needed in the 21st century are critical thinking, creativity, collaboration, meta cognitive skills, technology literacy and decision making under uncertainty. With the emergence of ChatGPT and other Generative AI tools, there is a dire need for a distinctive way of learning and application of learning to ensure learning effectiveness. Mere content is no longer the most important factor to learn these skills but. what is needed is the ability to retrieve material learnt, in the context of application. For the learner to be able to apply the critical thinking levels and higher learning levels of Blooms taxonomy, the basic first level of remembering forms the basic foundation, particularly when the students are from first generation educated families or with disadvantaged socioeconomic backgrounds. However, when students cram for the exams, they generally get an ‘illusion of learning’, where they think they know, but in reality often they may not be able to recall what they crammed when they need it later. This is a case of inefficient investment of time and effort in learning for the student. For the teacher, it slows down the teaching process and opportunity to engage in higher order thinking level applications. Addressing the frustrations of both teacher and students, the authors applied the concept of Retrieval method for MBA I year</w:t>
      </w:r>
    </w:p>
    <w:p>
      <w:pPr/>
      <w:r>
        <w:rPr>
          <w:b/>
        </w:rPr>
        <w:t>POSSIBLE 2024:</w:t>
      </w:r>
      <w:r>
        <w:t xml:space="preserve"> 290 Vision zero planning – a back-casting approach to achieve global road safety targets and zero road trauma — https://doi.org/10.1136/injuryprev-2024-safety.148</w:t>
      </w:r>
    </w:p>
    <w:p>
      <w:pPr/>
      <w:r>
        <w:rPr>
          <w:b/>
        </w:rPr>
        <w:t>Shared claim-specific concepts:</w:t>
      </w:r>
      <w:r>
        <w:t xml:space="preserve"> conclusions, action, developing, level, national; EU scope not established. This is a provisional connection, not an outcome finding.</w:t>
      </w:r>
    </w:p>
    <w:p>
      <w:pPr>
        <w:pStyle w:val="SourceNote"/>
      </w:pPr>
      <w:r>
        <w:rPr>
          <w:b/>
        </w:rPr>
        <w:t>Available abstract (not full text):</w:t>
      </w:r>
      <w:r>
        <w:t xml:space="preserve"> Background The United Nations Decade of Action for Road Safety 2021–2030 sets a global target to halve road traffic fatalities and injuries by 2030. Several jurisdictions have formulated even more ambitious targets by setting a date for achieving zero road trauma, typically by 2040 or 2050. There is a growing body of evidence around what initiatives are effective in reducing road crashes and injuries. The Global Plan, supporting the Decade of Action includes an extensive list of such measures. However, what is missing is how to prioritise these measures and guide stakeholders on a national level in producing a context sensitive road safety action plan. There is also a lack of tangible planning frameworks to assist countries to link near and long term targets with day-to-day operations and maintain a focus on the ultimate objective of zero trauma by a set date. Objective The aim of this work was to implement a Vision Zero planning framework to guide jurisdictions seeking an evidence-based pathway to transform their road system to achieve zero road trauma by a set date. Programme Description Back-casting was used to develop a 6-step Vision Zero planning framework. These steps included: Define a Safe System end state, Assess the current state of the network, Gap analysis between the current and future state, Identify interventions using trauma modelling, Strategic response, and Pe</w:t>
      </w:r>
    </w:p>
    <w:p>
      <w:pPr/>
      <w:r>
        <w:rPr>
          <w:b/>
        </w:rPr>
        <w:t>POSSIBLE 2023:</w:t>
      </w:r>
      <w:r>
        <w:t xml:space="preserve"> Pillars of long-term antiretroviral therapy success — https://doi.org/10.1016/j.phrs.2023.106898</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BACKGROUND: Meeting the challenge of antiretroviral therapy (ART) whose efficacy can last a lifetime requires continuous updating of the virological, pharmacological, and quality of life outcomes to be pursued and a continuous review of literature data on the efficacy and tolerability of new drugs and therapeutic strategies. METHODS: With the aim of identifying open questions and answers about the current controversies in modern ART, we adapted the Design Thinking methodology to the needs of the design phase of a scientific article, involving a team of experts in HIV care. RESULTS: Five main pillars of treatment success were discussed: sustained virologic suppression over time; immunological recovery; pharmacological attributes; long-term tolerability and safety of ART; and people's satisfaction and quality of life. The definition of the outcomes to be achieved in each thematic area and the tools to achieve them were reviewed and discussed. CONCLUSIONS: Long-term treatment success should be intended as a combination of HIV-RNA suppression, immune recovery, and high quality of life. To achieve this, the regimen should be well-tolerated, with high potency, genetic barrier, and forgiveness, and should be tailored by a person-centered perspective, based on individual needs, preferences, and therapeutic history.</w:t>
      </w:r>
    </w:p>
    <w:p>
      <w:pPr/>
      <w:r>
        <w:rPr>
          <w:b/>
        </w:rPr>
        <w:t>POSSIBLE 2022:</w:t>
      </w:r>
      <w:r>
        <w:t xml:space="preserve"> Decarbonizing Prudence: How Realigning Present Pleasure and Long-Term Thinking is Climate Action — https://doi.org/10.21428/dd52e8dc.baa71636</w:t>
      </w:r>
    </w:p>
    <w:p>
      <w:pPr/>
      <w:r>
        <w:rPr>
          <w:b/>
        </w:rPr>
        <w:t>Shared claim-specific concepts:</w:t>
      </w:r>
      <w:r>
        <w:t xml:space="preserve"> long-term, thinking, action; EU scope not established. This is a provisional connection, not an outcome finding.</w:t>
      </w:r>
    </w:p>
    <w:p>
      <w:pPr>
        <w:pStyle w:val="SourceNote"/>
      </w:pPr>
      <w:r>
        <w:rPr>
          <w:b/>
        </w:rPr>
        <w:t>Available abstract (not full text):</w:t>
      </w:r>
      <w:r>
        <w:t xml:space="preserve"> Present Pleasure and Long-Term Thinking is Climate Action 2 "The people I love the best jump into work head first without dallying in the shallows and swim off with sure strikes almost out of sight.They seem to become the natives of that element, the black sleek heads of seals bouncing like half-submerged balls.I love people who harness themselves, an ox to a heavy cart, who pull like water buffalo, with massive patience, who strain in the mud and the muck to move things forward who do what has to be done, again and again."-To Be of Use by Marge Pierce</w:t>
      </w:r>
    </w:p>
    <w:p>
      <w:pPr/>
      <w:r>
        <w:rPr>
          <w:b/>
        </w:rPr>
        <w:t>POSSIBLE 2022:</w:t>
      </w:r>
      <w:r>
        <w:t xml:space="preserve"> Wishful thinking? Addressing the long-term implications of COVID-19 for transport in Nigeria — https://doi.org/10.1016/j.trd.2022.103206</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With their inherent economic and infrastructure challenges, developing countries must assess commuters' travel behaviour and establish whether consumers' desire for sustainable transportation is feasible or merely wishful thinking. Using a qualitative research design, these issues were explored based on semi-structured interviews conducted with 72 participants across the six geopolitical zones of Nigeria. Findings suggest that the desires and dreams of the commuters are great, and they want to reduce their journeys, work from home, and do online shopping. However, when they consider the inherent challenges, they can only hope for a better future. COVID-19 has impacted the ownership or use of motorised and non-motorised transport, but this is also influenced by affordability, convenience, and awareness. Likewise, there are long-term effects on home and work location choices, but this is further influenced by the large informal economy of the country, job accessibility and the infrastructural developments across the country.</w:t>
      </w:r>
    </w:p>
    <w:p>
      <w:pPr/>
      <w:r>
        <w:rPr>
          <w:b/>
        </w:rPr>
        <w:t>POSSIBLE 2022:</w:t>
      </w:r>
      <w:r>
        <w:t xml:space="preserve"> complexity and criticality of long-term collaborative processes — https://doi.org/10.22456/1982-8918.127557</w:t>
      </w:r>
    </w:p>
    <w:p>
      <w:pPr/>
      <w:r>
        <w:rPr>
          <w:b/>
        </w:rPr>
        <w:t>Shared claim-specific concepts:</w:t>
      </w:r>
      <w:r>
        <w:t xml:space="preserve"> long-term, thinking, action; EU scope not established. This is a provisional connection, not an outcome finding.</w:t>
      </w:r>
    </w:p>
    <w:p>
      <w:pPr>
        <w:pStyle w:val="SourceNote"/>
      </w:pPr>
      <w:r>
        <w:rPr>
          <w:b/>
        </w:rPr>
        <w:t>Available abstract (not full text):</w:t>
      </w:r>
      <w:r>
        <w:t xml:space="preserve"> There has been increasing recognition that social collectives, such as knowledge communities and professional learning networks, support teachers and enhance their practice. At the same time, there is little research on how such communities form, are sustained over time, create professional knowledge and practices, and transform the professional lives of their participants. We address these gaps in this paper by drawing on self-study methodology to structure a critical reflection of Luiz’s experiences of participating in an autonomous group of teacher-researchers that constituted their own knowledge community since 2005. Through critical friendship, a complexity thinking lens guided the shared reflection on Luiz’s experience in the knowledge community by considering the relational connections, affective forces, opportunities for action and agential capacities that are continually made and reconfigured within the collective nature of learning communities. In conclusion, we discuss both the facilitation and cultivation of long-term collaborative processes towards a complex, critical, and socially just perspective of PETE.</w:t>
      </w:r>
    </w:p>
    <w:p>
      <w:pPr/>
      <w:r>
        <w:rPr>
          <w:b/>
        </w:rPr>
        <w:t>POSSIBLE 2021:</w:t>
      </w:r>
      <w:r>
        <w:t xml:space="preserve"> Thinking Beyond the Pandemic: Monetary Policy Challenges in the Medium- to Long-Term — https://doi.org/10.2139/ssrn.3873976</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Thinking Beyond the Pandemic: Monetary Policy Challenges in the Medium- to Long-Term (preprint) — https://openalex.org/W3180662084</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The economic characteristics of the COVID-19 crisis differ from those of previous crises. It is a combination of demand- and supply-side constraints which led to the formation of a monetary overhang that will be unfrozen once the pandemic ends. Monetary policy must take this effect into consideration, along with other pro-inflationary factors, in the post-pandemic era. It must also think in advance about how to avoid a policy trap coming from fiscal dominance. This paper is organized as follows: Chapter 2 deals with the economic characteristics of the COVID-19 pandemic and its impact on the effectiveness of the monetary policy response measures undertaken. In Chapter 3, we analyse the monetary policy decisions of the ECB (and other major CBs for comparison) and their effectiveness in achieving the declared policy goals in the short term. Chapter 4 is devoted to an analysis of the policy challenges which may be faced by the ECB and other major CBs once the pandemic emergency comes to its end. Chapter 5 contains a summary and the conclusions of our analysis.</w:t>
      </w:r>
    </w:p>
    <w:p>
      <w:pPr>
        <w:pStyle w:val="Heading2"/>
      </w:pPr>
      <w:r>
        <w:t>727.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2026:</w:t>
      </w:r>
      <w:r>
        <w:t xml:space="preserve"> Guidance on negative emissions for cities - Summary for Decision Makers — https://doi.org/10.2760/4262978</w:t>
      </w:r>
    </w:p>
    <w:p>
      <w:pPr/>
      <w:r>
        <w:rPr>
          <w:b/>
        </w:rPr>
        <w:t>Shared claim-specific concepts:</w:t>
      </w:r>
      <w:r>
        <w:t xml:space="preserve"> summary, decision, makers, develop;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2024:</w:t>
      </w:r>
      <w:r>
        <w:t xml:space="preserve"> The Politics of Platform Regulation — https://doi.org/10.1093/oso/9780197692851.001.0001</w:t>
      </w:r>
    </w:p>
    <w:p>
      <w:pPr/>
      <w:r>
        <w:rPr>
          <w:b/>
        </w:rPr>
        <w:t>Shared claim-specific concepts:</w:t>
      </w:r>
      <w:r>
        <w:t xml:space="preserve"> politics, information, technology; EU scope visible. This is a provisional connection, not an outcome finding.</w:t>
      </w:r>
    </w:p>
    <w:p>
      <w:pPr>
        <w:pStyle w:val="SourceNote"/>
      </w:pPr>
      <w:r>
        <w:rPr>
          <w:b/>
        </w:rPr>
        <w:t>Available abstract (not full text):</w:t>
      </w:r>
      <w:r>
        <w:t xml:space="preserve"> Abstract As digital platforms have become more integral to not just how we live, but also to how we do politics, the rules governing online expression, behavior, and interaction created by large multinational technology firms—popularly termed ‘content moderation,’ ‘platform governance,’ or ‘trust and safety’—have increasingly become the target of government regulatory efforts. This book provides a conceptual and empirical analysis of the important and emerging tech policy terrain of ‘platform regulation.’ How, why, and where exactly is it happening? Why now? And how do we best understand the vast array of strategies being deployed across jurisdictions to tackle this issue? The book outlines three strategies commonly pursued by government actors seeking to combat issues relating to the proliferation of hate speech, disinformation, child abuse imagery, and other forms of harmful content on user-generated content platforms: convincing, collaborating, and contesting. It then outlines a theoretical model for explaining the adoption of these different strategies in different political contexts and regulatory episodes. This model is explored through detailed case study chapters—driven by a combination of stakeholder interviews and new policymaking documents obtained via freedom of information requests—looking at policy development in Germany, Australia and New Zealand, and the United </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r>
        <w:rPr>
          <w:b/>
        </w:rPr>
        <w:t>POSSIBLE 2023:</w:t>
      </w:r>
      <w:r>
        <w:t xml:space="preserve"> PETRO SHELEST IN THE POLITICAL HISTORY OF UKRAINE OF THE 20TH CENTURY – SUMMARY — https://doi.org/10.61097/30717957/csu1/2023/79-83</w:t>
      </w:r>
    </w:p>
    <w:p>
      <w:pPr/>
      <w:r>
        <w:rPr>
          <w:b/>
        </w:rPr>
        <w:t>Shared claim-specific concepts:</w:t>
      </w:r>
      <w:r>
        <w:t xml:space="preserve"> summary, decision, context, concept; EU scope visible. This is a provisional connection, not an outcome finding.</w:t>
      </w:r>
    </w:p>
    <w:p>
      <w:pPr>
        <w:pStyle w:val="SourceNote"/>
      </w:pPr>
      <w:r>
        <w:rPr>
          <w:b/>
        </w:rPr>
        <w:t>Available abstract (not full text):</w:t>
      </w:r>
      <w:r>
        <w:t xml:space="preserve"> nians' sense of separateness, and to what extent it exposed them to the melting of "Cossack" traditions in the ideological conglomerate of the state of the "popular masses of towns and villages."The third of the articles of a historical nature -Oleksandr Shevchenko's text on Bohdan Osadchuk -is a kind of "transition" to the political logic part of the volume.The Author recalls the main theses of his hero's journalism, focusing on Osadchuk's conviction that the shape of mutual relations between Poles and Ukrainians is of fundamental importance for the future of these nations and their states.In this context, he recalls, among other things, the prominent publicist's critical assessment of President Viktor Yushchenko's decision to apotheosize the achievements of Stepan Bandera, which, according to Osadchuk, resulted from a misunderstanding of the essence of political processes in Central and Eastern Europe and the importance of friendly Polish-Ukrainian relations for the future of the two neighboring states.Shevchenko also devotes much attention to his protagonist's reaction to Poland's accession to the "Schengen zone, " which, according to Osadchuk, was supposed to create an undesirable barrier to developing interpersonal contacts between Poles and Ukrainians.Recalling Osadchuk's theses, which go "against the grain" of the prevailing political science trends in Ukraine and Poland</w:t>
      </w:r>
    </w:p>
    <w:p>
      <w:pPr/>
      <w:r>
        <w:rPr>
          <w:b/>
        </w:rPr>
        <w:t>POSSIBLE 2022:</w:t>
      </w:r>
      <w:r>
        <w:t xml:space="preserve"> An Ethical Framework for Presenting Scientific Results to Policy-Makers — https://doi.org/10.1353/ken.2022.0002</w:t>
      </w:r>
    </w:p>
    <w:p>
      <w:pPr/>
      <w:r>
        <w:rPr>
          <w:b/>
        </w:rPr>
        <w:t>Shared claim-specific concepts:</w:t>
      </w:r>
      <w:r>
        <w:t xml:space="preserve"> conclude, summary, information; EU scope not established. This is a provisional connection, not an outcome finding.</w:t>
      </w:r>
    </w:p>
    <w:p>
      <w:pPr>
        <w:pStyle w:val="SourceNote"/>
      </w:pPr>
      <w:r>
        <w:rPr>
          <w:b/>
        </w:rPr>
        <w:t>Available abstract (not full text):</w:t>
      </w:r>
      <w:r>
        <w:t xml:space="preserve"> Scientists have the ability to influence policy in important ways through how they present their results.Surprisingly, existing codes of scientific ethics have little to say about such choices.I propose that we can arrive at a set of ethical guidelines to govern scientists' presentation of information to policymakers by looking to bioethics: roughly, just as a clinician should aim to promote informed decision-making by patients, a scientist should aim to promote informed decisionmaking by policymakers.Though this may sound like a natural proposal, I show it offers guidance that conflicts with standard scientific practices.I conclude by considering one cost of the proposal: that it would prevent scientists from acting as advocates in a way that is currently common in certain fields.I accept that the proposal would restrict scientists' political advocacy rights, but argue that the benefits of adopting it -promoting democratic governance -justify the restriction. I. A PUZZLEThe Global Burden of Diseases, Injuries and Risk Factors Study (GBD) is "the single largest and most detailed scientific effort ever conducted to quantify levels and trends in health."More than 2300 researchers from more than 130 countries collect 1 and analyze data on more than 300 diseases and injuries, aiming to put together a comprehensive picture of global health from 1990 to the present.Not surprisingly, </w:t>
      </w:r>
    </w:p>
    <w:p>
      <w:pPr/>
      <w:r>
        <w:rPr>
          <w:b/>
        </w:rPr>
        <w:t>POSSIBLE 2021:</w:t>
      </w:r>
      <w:r>
        <w:t xml:space="preserve"> Summary of evidence and recommendations — https://doi.org/10.4324/9781003048558-14</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In this final chapter, we bring together recommendations from the experience and research of our expert authors. We have not tried to prioritise our list of key actions for developing countries to implement to enhance mathematical and statistical knowledge, skills and understanding for sustainable economic growth as there are so many variations between countries. What we can conclude though is that future generations of young people will need enhanced mathematical and statistical competency and transferable skills in an increasingly technological and competitive world and that significant investment in education is crucial for long-term economic growth and success.</w:t>
      </w:r>
    </w:p>
    <w:p>
      <w:pPr/>
      <w:r>
        <w:rPr>
          <w:b/>
        </w:rPr>
        <w:t>POSSIBLE 2021:</w:t>
      </w:r>
      <w:r>
        <w:t xml:space="preserve"> Global production networks: the state, power and politics — https://doi.org/10.51952/9781447359180.ch001</w:t>
      </w:r>
    </w:p>
    <w:p>
      <w:pPr/>
      <w:r>
        <w:rPr>
          <w:b/>
        </w:rPr>
        <w:t>Shared claim-specific concepts:</w:t>
      </w:r>
      <w:r>
        <w:t xml:space="preserve"> makers, politics, industries, manufacturing; EU scope visible. This is a provisional connection, not an outcome finding.</w:t>
      </w:r>
    </w:p>
    <w:p>
      <w:pPr>
        <w:pStyle w:val="SourceNote"/>
      </w:pPr>
      <w:r>
        <w:rPr>
          <w:b/>
        </w:rPr>
        <w:t>Available abstract (not full text):</w:t>
      </w:r>
      <w:r>
        <w:t xml:space="preserve"> It has become almost a truism that global value chains (GVCs) and global production networks (GPNs) have become a central feature of the contemporary global economy. Powerful lead firms such as Glencore, Apple (the first US company in the world to be valued at US$2 trillion on Wall Street, and only the second in the world after oil giant Saudi Aramco), Airbus or Zara orchestrate the configurations and geographies of these value chains and networks – from extractive industries to software development, aircraft production to garment manufacturing. As GVCs and GPNs have become ever more prevalent phenomena over the last four decades, their importance has been recognised by global institutions such as the World Bank, the International Monetary Fund (IMF) and the International Labour Organization (ILO) to formulate economic and social policies and initiatives. In the same vein, social sciences have developed sophisticated analytical frameworks and theories to explain their development, governance and impact on the global economy (Coe and Yeung, 2015; Gereffi, 2018).1 However, recent major events and more gradual global shifts have cast some doubt on the future of GPNs, their organisation and geographies, among the public, policy makers and academics alike. Since the global expansion of neoliberalism from the 1980s onwards, the world economy faced its first major shock in the form of</w:t>
      </w:r>
    </w:p>
    <w:p>
      <w:pPr/>
      <w:r>
        <w:rPr>
          <w:b/>
        </w:rPr>
        <w:t>POSSIBLE 2021:</w:t>
      </w:r>
      <w:r>
        <w:t xml:space="preserve"> Re-Tooling the Sisterhood: Conceptualizing 'Meaningful Making' through Maker Culture, Makerspace Politics, and Feminist 'little m' making-as-activism — https://doi.org/10.22215/etd/2021-14845</w:t>
      </w:r>
    </w:p>
    <w:p>
      <w:pPr/>
      <w:r>
        <w:rPr>
          <w:b/>
        </w:rPr>
        <w:t>Shared claim-specific concepts:</w:t>
      </w:r>
      <w:r>
        <w:t xml:space="preserve"> conclude, makers, politics, context; EU scope not established. This is a provisional connection, not an outcome finding.</w:t>
      </w:r>
    </w:p>
    <w:p>
      <w:pPr>
        <w:pStyle w:val="SourceNote"/>
      </w:pPr>
      <w:r>
        <w:rPr>
          <w:b/>
        </w:rPr>
        <w:t>Available abstract (not full text):</w:t>
      </w:r>
      <w:r>
        <w:t xml:space="preserve"> Hacktivism! Craftivism! DIY Feminism!The Maker Movement!In this dissertation, I unpack how certain Do-It-Yourself (DIY) practices have transformed from simple personal pastimes to meaningful sites for activism.To do so, I analyze three overlapping discursive terrains that I contend imbue DIY practices with a sense of 'meaningfulness'-which I term embodied materialism, critical making, and making as communication.I contend that all three of these terrains co-constitute making-as-activism identities, 'real-world' maker activist communities (makerspaces), and the wider makingas-activism network (Maker Culture).However, this blending of 'meaningful making' discourses is not evenly distributed, nor is it without contradictory logics and practices.Therefore, in this dissertation I analyze both mainstream (hegemonic) and countercultural (non-hegemonic) narratives of Maker Culture, makerspaces, maker identities, and making-as-activism.Through this multi-sided and multi-sited approach, I discovered that both hegemonic and non-hegemonic discourses co-produce the definitional boundary-work around 'what counts' as making-as-activism.Furthermore, I also contend that in using 'success narratives' and 'passionate work', the work/labour involved in producing Maker Culture are entangled in neoliberal logics-like empowerment and entrepreneurialism-which reproduces invisible structures of privile</w:t>
      </w:r>
    </w:p>
    <w:p>
      <w:pPr/>
      <w:r>
        <w:rPr>
          <w:b/>
        </w:rPr>
        <w:t>POSSIBLE 2021:</w:t>
      </w:r>
      <w:r>
        <w:t xml:space="preserve"> Behavioral Economics of Accounting: A Review of Archival Research on Individual Decision Makers — https://doi.org/10.1111/1911-3846.12739</w:t>
      </w:r>
    </w:p>
    <w:p>
      <w:pPr/>
      <w:r>
        <w:rPr>
          <w:b/>
        </w:rPr>
        <w:t>Shared claim-specific concepts:</w:t>
      </w:r>
      <w:r>
        <w:t xml:space="preserve"> decision, makers, information; EU scope not established. This is a provisional connection, not an outcome finding.</w:t>
      </w:r>
    </w:p>
    <w:p>
      <w:pPr>
        <w:pStyle w:val="SourceNote"/>
      </w:pPr>
      <w:r>
        <w:rPr>
          <w:b/>
        </w:rPr>
        <w:t>Available abstract (not full text):</w:t>
      </w:r>
      <w:r>
        <w:t xml:space="preserve"> ABSTRACT This paper develops a unified framework to synthesize the growing stream of positive research on the role of individual decision makers in shaping observed accounting phenomena. This line of research recognizes two central ideas in behavioral economics. First, individual behavior depends not only on economic incentives and accessible information but also on individual preferences, abilities, experiences, and other characteristics. Second, the constraints that structure human interactions encompass both formal institutions (e.g., rules, laws, constitutions) and informal institutions (e.g., norms, conventions, rituals). Our review covers a broad set of individuals who are of interest in accounting research: managers, directors, audit partners, analysts, standard setters, politicians, judges, journalists, loan officers, financial advisors, and investors. We aim to understand the systematic effects of individual characteristics on a wide spectrum of accounting phenomena, including financial reporting, disclosure, tax planning, auditing, and corporate social responsibility. We highlight the importance of personal characteristics not only for an individual's own behavior but also for others' perceptions. Our review mainly focuses on archival research in accounting and provides some thoughts about opportunities for archival empiricists going forward. We also, when feasible, h</w:t>
      </w:r>
    </w:p>
    <w:p>
      <w:pPr/>
      <w:r>
        <w:rPr>
          <w:b/>
        </w:rPr>
        <w:t>POSSIBLE 2020:</w:t>
      </w:r>
      <w:r>
        <w:t xml:space="preserve"> Summary, recommendations, and conclusions — https://doi.org/10.4324/9781351047289-6</w:t>
      </w:r>
    </w:p>
    <w:p>
      <w:pPr/>
      <w:r>
        <w:rPr>
          <w:b/>
        </w:rPr>
        <w:t>Shared claim-specific concepts:</w:t>
      </w:r>
      <w:r>
        <w:t xml:space="preserve"> summary, recommendations, develop; EU scope not established. This is a provisional connection, not an outcome finding.</w:t>
      </w:r>
    </w:p>
    <w:p>
      <w:pPr>
        <w:pStyle w:val="SourceNote"/>
      </w:pPr>
      <w:r>
        <w:rPr>
          <w:b/>
        </w:rPr>
        <w:t>Available abstract (not full text):</w:t>
      </w:r>
      <w:r>
        <w:t xml:space="preserve"> Chapter 6 summarizes the study and concludes that the choice of policies made the difference between where Malaysia and Ghana are today. In Ghana’s haste to develop, it misdirected resources; in its initial adoption of a socialist model of economic development, it disrupted the market based economic system which it had inherited from the British and set the economy back many years; in its frequent changes in government, it created an environment that was not conducive for business. Malaysia, by adopting a go-slow approach to development, did not disrupt the economic system it had inherited from the British, and also created an environment that was hospitable for the private sector; by creating institutions that mobilized local resources, it was able to increase growth and reduce poverty. More importantly, Malaysia, by embracing inclusive economic growth, kept the country stable, prevented civil strife, and thereby benefited from continuity in development plans.</w:t>
      </w:r>
    </w:p>
    <w:p>
      <w:pPr>
        <w:pStyle w:val="Heading2"/>
      </w:pPr>
      <w:r>
        <w:t>728.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2026:</w:t>
      </w:r>
      <w:r>
        <w:t xml:space="preserve"> Clinical heterogeneity and outcome of acquired PRCA: a multicenter European study — https://doi.org/10.1182/bloodadvances.2025019525</w:t>
      </w:r>
    </w:p>
    <w:p>
      <w:pPr/>
      <w:r>
        <w:rPr>
          <w:b/>
        </w:rPr>
        <w:t>Shared claim-specific concepts:</w:t>
      </w:r>
      <w:r>
        <w:t xml:space="preserve"> outcome, analyses, presented, complete; EU scope visible. This is a provisional connection, not an outcome finding.</w:t>
      </w:r>
    </w:p>
    <w:p>
      <w:pPr>
        <w:pStyle w:val="SourceNote"/>
      </w:pPr>
      <w:r>
        <w:rPr>
          <w:b/>
        </w:rPr>
        <w:t>Available abstract (not full text):</w:t>
      </w:r>
      <w:r>
        <w:t xml:space="preserve"> ABSTRACT: Pure red cell aplasia (PRCA) is a rare single-lineage bone marrow (BM) failure characterized by anemia with profound reticulocytopenia and severe reduction of erythroid precursors. PRCA is heterogeneous, and diagnosis requires extensive evaluation to distinguish primary from secondary causes, such as thymoma, autoimmune diseases, T-cell large granular lymphocyte expansion, and myelodysplastic syndrome (MDS), the differential diagnosis of which is particularly challenging. Evidence guiding management remains limited because of the rarity of the disease and the lack of prospective studies. We analyzed 121 acquired adult PRCA (excluding Parvovirus B19-associated PRCA) cases across 14 European centers. Secondary forms accounted for 78% of diagnoses, mostly thymoma (23%) or MDS (21%). In a subset of patients, BM immunohistochemistry demonstrated significant depositions of C3, C4d, immunoglobulin M (IgM), and IgG, reducing after immunosuppression. Next-generation sequencing was performed in half of the patients, 36% of whom presented mutations predominantly related to clonal hematopoiesis, except in MDS-associated cases, which often carried multiple non-clonal hematopoiesis mutations. Immunosuppression represented the backbone of therapy: cyclosporine A (CyA) was the most effective agent, with 61% overall response rate (47% complete) and better outcomes when initiated earli</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r>
        <w:rPr>
          <w:b/>
        </w:rPr>
        <w:t>POSSIBLE 2020:</w:t>
      </w:r>
      <w:r>
        <w:t xml:space="preserve"> The Cyprus Talks 2015–2017: Their Course, the Outcome, and Consequences for the European Union — https://doi.org/10.14746/rie.2020.14.9</w:t>
      </w:r>
    </w:p>
    <w:p>
      <w:pPr/>
      <w:r>
        <w:rPr>
          <w:b/>
        </w:rPr>
        <w:t>Shared claim-specific concepts:</w:t>
      </w:r>
      <w:r>
        <w:t xml:space="preserve"> outcome, article, there, union; EU scope visible. This is a provisional connection, not an outcome finding.</w:t>
      </w:r>
    </w:p>
    <w:p>
      <w:pPr>
        <w:pStyle w:val="SourceNote"/>
      </w:pPr>
      <w:r>
        <w:rPr>
          <w:b/>
        </w:rPr>
        <w:t>Available abstract (not full text):</w:t>
      </w:r>
      <w:r>
        <w:t xml:space="preserve"> The main aim of the article is to present political consequences of the failure of the Cyprus talks 2015–2017 for the European Union. Although its institutions and representatives were engaged in the negotiation process there, the issue seems to be more complex when it comes to defining what their role was. One can find the answer to such a question analysing the course and the final outcome of the negotiation process in Cyprus. The main research question are as follows: What was the course of bicommunal negotiations? What brought the negotiations to a halt in 2017? How did the European Union engage in the process? What are political consequences of the talks failure for the European Union? The selected method is sources analysis and the technique is qualitative content analysis. On this basis one can study, for example, selected speeches, declarations as well as official documents. As regards the main sources, these are selected EU and UN documents, monographs, and academic articles.</w:t>
      </w:r>
    </w:p>
    <w:p>
      <w:pPr/>
      <w:r>
        <w:rPr>
          <w:b/>
        </w:rPr>
        <w:t>POSSIBLE 2020:</w:t>
      </w:r>
      <w:r>
        <w:t xml:space="preserve"> Incidence and outcome of atrial fibrillation: diversity throughout Europe — https://doi.org/10.1093/eurheartj/ehaa1078</w:t>
      </w:r>
    </w:p>
    <w:p>
      <w:pPr/>
      <w:r>
        <w:rPr>
          <w:b/>
        </w:rPr>
        <w:t>Shared claim-specific concepts:</w:t>
      </w:r>
      <w:r>
        <w:t xml:space="preserve"> outcome, presented, there; EU scope visible. This is a provisional connection, not an outcome finding.</w:t>
      </w:r>
    </w:p>
    <w:p>
      <w:pPr>
        <w:pStyle w:val="SourceNote"/>
      </w:pPr>
      <w:r>
        <w:rPr>
          <w:b/>
        </w:rPr>
        <w:t>Available abstract (not full text):</w:t>
      </w:r>
      <w:r>
        <w:t xml:space="preserve"> This editorial refers to ‘Paradoxical impact of socioeconomic factors on outcome of atrial fibrillation in Europe: trends in incidence and mortality from atrial fibrillation’†, by B.M. Al-Khayatt et al., on page 847. The incidence and prevalence of atrial fibrillation (AF) have been increasing over time and are expected to rise further due to extended life expectancy, accumulation of lifestyle-related risk factors such as obesity and diabetes mellitus, and a better survival after myocardial infarction and heart failure (HF). In addition, a better awareness of AF and improved and intensified technology for undiagnosed AF contribute to an increase in AF burden.1–3 In addition to the incidence and prevalence of AF, the AF-associated mortality rate is increasing.1,3 Mortality is the highest early after diagnosis of AF, being 5–6% in the first year after the initial presentation due to as yet undiagnosed underlying cardiovascular diseases and therefore far less well treated AF.4,5 Many associated conditions contribute to incident AF as well as to AF-related mortality including increasing age, hypertension, diabetes mellitus, HF, coronary artery disease, obesity, and chronic kidney disease.4 The incidence of AF is higher in men than in women.3 The moment of onset of AF as well as the associated comorbidities differ between men and women. Women are older, have a higher prevalence of h</w:t>
      </w:r>
    </w:p>
    <w:p>
      <w:pPr>
        <w:pStyle w:val="Heading2"/>
      </w:pPr>
      <w:r>
        <w:t>729.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Mapping where biodiversity goals meet local values in European land use futures — https://doi.org/10.5194/wbf2026-660</w:t>
      </w:r>
    </w:p>
    <w:p>
      <w:pPr/>
      <w:r>
        <w:rPr>
          <w:b/>
        </w:rPr>
        <w:t>Shared claim-specific concepts:</w:t>
      </w:r>
      <w:r>
        <w:t xml:space="preserve"> uses, two, implications, goals, based; EU scope visible. This is a provisional connection, not an outcome finding.</w:t>
      </w:r>
    </w:p>
    <w:p>
      <w:pPr>
        <w:pStyle w:val="SourceNote"/>
      </w:pPr>
      <w:r>
        <w:rPr>
          <w:b/>
        </w:rPr>
        <w:t>Available abstract (not full text):</w:t>
      </w:r>
      <w:r>
        <w:t xml:space="preserve"> In Europe, spatial planning is being asked to reconcile biodiversity restoration, climate mitigation and social needs at the same time. In practice, however, European scale planning often fails to align with locally defined values and priorities that emerge in participatory processes. In this contribution, we compare a SSP-scenario with a scenario from local visions for future landscapes to explore where spatial planning can create biodiversity positive and socially just transformations. For twelve case studies in Europe, stakeholders co-developed “Possible Landscapes” that articulate place-based visions for vital, biodiverse and liveable landscapes.These two contrasting 2050 land-system scenarios (SSP vs. local visions) are simulated with the CLUMondo model to model land-system futures for Europe. From the resulting land-system maps, spatial indicators are derived for a diverse range of outcomes: high level restoration (nature area, patch size and connectivity including mosaics), agriculture and climate mitigation (changes in emission relevant land uses such as peat soils and forest loss, and food production), local wellbeing (access to green space near cities) and environmental safety (shifts toward green land uses in drought, flood and erosion prone areas).The indicators are then compared with the local needs and values, with data from Eurobarometer surveys that reflect how </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r>
        <w:rPr>
          <w:b/>
        </w:rPr>
        <w:t>POSSIBLE 2025:</w:t>
      </w:r>
      <w:r>
        <w:t xml:space="preserve"> Preferences, goals and implications for paternalism — https://doi.org/10.1017/s0266267125100436</w:t>
      </w:r>
    </w:p>
    <w:p>
      <w:pPr/>
      <w:r>
        <w:rPr>
          <w:b/>
        </w:rPr>
        <w:t>Shared claim-specific concepts:</w:t>
      </w:r>
      <w:r>
        <w:t xml:space="preserve"> implications, goals; EU scope not established. This is a provisional connection, not an outcome finding.</w:t>
      </w:r>
    </w:p>
    <w:p>
      <w:pPr>
        <w:pStyle w:val="SourceNote"/>
      </w:pPr>
      <w:r>
        <w:rPr>
          <w:b/>
        </w:rPr>
        <w:t>Available abstract (not full text):</w:t>
      </w:r>
      <w:r>
        <w:t xml:space="preserve"> Abstract This paper proposes a conceptual model of decision-making tying specific preferences to broader individual goals. Specifically, we consider terminal goals, representing fundamental objectives, and instrumental goals, serving as complexity-reducing intermediate steps toward achieving terminal goals and determining eventual preferences. Notably, the hierarchical goal structure allows for contextual misalignments between different instrumental goals, which may lead to suboptimal decisions – as evaluated from an outside perspective. Thus, applied to the discussion about nudging and paternalism, the model provides a methodological justification for paternalistic interventions as it is compatible with arguments in favour of interventions aimed to correct such choices.</w:t>
      </w:r>
    </w:p>
    <w:p>
      <w:pPr/>
      <w:r>
        <w:rPr>
          <w:b/>
        </w:rPr>
        <w:t>POSSIBLE 2024:</w:t>
      </w:r>
      <w:r>
        <w:t xml:space="preserve"> Climate change impacts on two European crop rotations via an ensemble of models — https://doi.org/10.1016/j.eja.2024.127456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Continuous long-term simulations of an ensemble of nine crop models covering the 1961–2080 period was employed to assess the expected impacts of climate change on the crop yield and water use for distinct crop rotations (CRs) in Europe. In this study, the likelihood of changes in two differently managed CRs (conventional and alternative) involving four important field crops (winter wheat, spring barley, silage maize, and winter oilseed rape) was assessed. The conventional agricultural practice (CR1) included only mineral fertilization with the removal of crop residues after harvest. The alternative agricultural practice (CR2) included cover crops and the application of mineral and organic fertilizers, with crop residues retained in the field. The simulations covered six sites in five European countries (Mühldorf and Müncheberg in Germany, Ukkel in Belgium, Ødum in Denmark, Milhostov in Slovakia and Lednice in Czechia) based on two distinct soil profiles (universal soil and site-specific soils). The universal soil was the same across all the sites, while the site-specific soils were typical of each region. Eight transient climate change scenarios (4 general circulation models (GCMs) under representative concentration pathways (RCPs) 2.6 and 8.5) were used to capture the possible evolution of future climatic conditions. Compared with those during the 1962–1990 period, the ensembl</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linear;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Teachers’ contributions to the school climate and using empathy at work: implications from qualitative research in two European countries — https://doi.org/10.3389/fpsyg.2023.1160546</w:t>
      </w:r>
    </w:p>
    <w:p>
      <w:pPr/>
      <w:r>
        <w:rPr>
          <w:b/>
        </w:rPr>
        <w:t>Shared claim-specific concepts:</w:t>
      </w:r>
      <w:r>
        <w:t xml:space="preserve"> two, implications, based; EU scope visible. This is a provisional connection, not an outcome finding.</w:t>
      </w:r>
    </w:p>
    <w:p>
      <w:pPr>
        <w:pStyle w:val="SourceNote"/>
      </w:pPr>
      <w:r>
        <w:rPr>
          <w:b/>
        </w:rPr>
        <w:t>Available abstract (not full text):</w:t>
      </w:r>
      <w:r>
        <w:t xml:space="preserve"> This research aimed to reveal the factors that, based on their experiences, teachers consider important in their contribution to a positive school climate and in their relationship with students when it comes to using empathy. Teachers from two European countries—Latvia ( n = 83) and Lithuania ( n = 69)—participated in the research. Data were collected through focus group-based interviews and analyzed using latent qualitative content analysis. The results revealed the teachers’ shared understanding of the importance of communication and professional development. However, only Lithuanian teachers emphasized strengthening institutional values and other more collectivistic aspects; the answers of Latvian teachers were specific and suggested more of an individualistic attitude, like allocating personal responsibility to use appropriate instructional strategies. This study draws attention to contextual and cultural factors of teachers’ work and actualizes their educational needs.</w:t>
      </w:r>
    </w:p>
    <w:p>
      <w:pPr/>
      <w:r>
        <w:rPr>
          <w:b/>
        </w:rPr>
        <w:t>POSSIBLE 2023:</w:t>
      </w:r>
      <w:r>
        <w:t xml:space="preserve"> Sustainable development goals: classifying European countries through self-organizing maps — https://doi.org/10.36253/979-12-215-0106-3.17</w:t>
      </w:r>
    </w:p>
    <w:p>
      <w:pPr/>
      <w:r>
        <w:rPr>
          <w:b/>
        </w:rPr>
        <w:t>Shared claim-specific concepts:</w:t>
      </w:r>
      <w:r>
        <w:t xml:space="preserve"> implications, goals, world; EU scope visible. This is a provisional connection, not an outcome finding.</w:t>
      </w:r>
    </w:p>
    <w:p>
      <w:pPr>
        <w:pStyle w:val="SourceNote"/>
      </w:pPr>
      <w:r>
        <w:rPr>
          <w:b/>
        </w:rPr>
        <w:t>Available abstract (not full text):</w:t>
      </w:r>
      <w:r>
        <w:t xml:space="preserve"> Environmental sustainability is one of the main goals of all countries in the world. Sustainable Development Goals (SDGs) have been proposed by the United Nations in 2015. The purpose of this paper is to explore if and how European countries achievethe goals of environmental sustainability (tracked by the SDGs number 13, 14, and 15). In particular, SDG 13 refers to climate change and its impacts; SDG 14 refers to the conservation of water and marine resources while the last one; SDG 15 deals with the preservation of forests. The reference methodology of the paper are the Self-Organizing Maps proposed by Kohonen in 1982 as an unsupervised clustering method in the framework of artificial neural networks. The proposed analysis considers the 23 indicators related to the three SDGs of environmental sustainability and aims to explore and identify groups of countries with similar characteristics through a dimensionality reduction. Such clusters will be visually represented in a two-dimensional map. The proposed analysis considers the most recent data for all the above SDGs, which is 2018, with the aim of classifying the countries in terms of environmental sustainability and highlighting possible implications for policymakers. An analysis of the network accuracy is shown, using appropriate indicators. These results allow us to see which countries have achieved these goals and how they </w:t>
      </w:r>
    </w:p>
    <w:p>
      <w:pPr/>
      <w:r>
        <w:rPr>
          <w:b/>
        </w:rPr>
        <w:t>POSSIBLE 2023:</w:t>
      </w:r>
      <w:r>
        <w:t xml:space="preserve"> The Implications of the Russia–Ukraine War on Sustainable Development Goals in Africa — https://doi.org/10.1007/s40647-023-00383-z</w:t>
      </w:r>
    </w:p>
    <w:p>
      <w:pPr/>
      <w:r>
        <w:rPr>
          <w:b/>
        </w:rPr>
        <w:t>Shared claim-specific concepts:</w:t>
      </w:r>
      <w:r>
        <w:t xml:space="preserve"> two, implications, goals, energy, system, first; EU scope not established. This is a provisional connection, not an outcome finding.</w:t>
      </w:r>
    </w:p>
    <w:p>
      <w:pPr>
        <w:pStyle w:val="SourceNote"/>
      </w:pPr>
      <w:r>
        <w:rPr>
          <w:b/>
        </w:rPr>
        <w:t>Available abstract (not full text):</w:t>
      </w:r>
      <w:r>
        <w:t xml:space="preserve"> Abstract The existing discourses on the Russia–Ukraine war mainly focus on the humanitarian crisis in Ukraine and the implications for the global economy. There is a lack of policy and scholarly attention to how the war threatens the prospects for realising Sustainable Development Goals (SDGs). Underpinned by a critical document analysis of secondary sources available in academic and grey literature and focusing on Africa, the article explores various global challenges ensuing from the crisis. It demonstrates how such challenges impact prospects for achieving SDGs in Africa. Using the first two SDGs as an example, the study found that with the disruption of the global supply chain by the war and the international sanctions imposed on Russia, Africa now experiences food commodity and energy shortages, soaring inflation, and commodity price hikes which now threatens to worsen poverty and hunger. The article recommends that Africa prioritise structural change and regional cooperation, reconsidering the global financial system and how development finance is structured and maintaining a steady commitment to building resilience. Future research could be focused on the effectiveness of non-sanctions-based conflict resolutions.</w:t>
      </w:r>
    </w:p>
    <w:p>
      <w:pPr/>
      <w:r>
        <w:rPr>
          <w:b/>
        </w:rPr>
        <w:t>POSSIBLE 2022:</w:t>
      </w:r>
      <w:r>
        <w:t xml:space="preserve"> Trust in official statistics across Europe: Evidence from two waves of Eurobarometer using multilevel models — https://doi.org/10.3233/sji-220070</w:t>
      </w:r>
    </w:p>
    <w:p>
      <w:pPr/>
      <w:r>
        <w:rPr>
          <w:b/>
        </w:rPr>
        <w:t>Shared claim-specific concepts:</w:t>
      </w:r>
      <w:r>
        <w:t xml:space="preserve"> uses, two; EU scope visible. This is a provisional connection, not an outcome finding.</w:t>
      </w:r>
    </w:p>
    <w:p>
      <w:pPr>
        <w:pStyle w:val="SourceNote"/>
      </w:pPr>
      <w:r>
        <w:rPr>
          <w:b/>
        </w:rPr>
        <w:t>Available abstract (not full text):</w:t>
      </w:r>
      <w:r>
        <w:t xml:space="preserve"> This paper uses data from Eurobarometer for the years 2007 and 2015 to investigate the determinants of trust in official statistics across 28 countries and 2 regions in Europe. Our estimation follows a multilevel modelling approach, which allows us to distinguish within-country and between-country variation in individual trust in official statistics. Our estimation results show that the within-country variation is mainly explained by individual-level statistical literacy and education, as well as occupational status. With respect to the variation between countries, we show that neither the level of GPD nor the index of inequality are important in explaining cross-country variation. Instead, EU membership history, i.e. the ‘acquis communautaire’, is the main macro variable that explains the increase in trust for the official statistics across Europe.</w:t>
      </w:r>
    </w:p>
    <w:p>
      <w:pPr/>
      <w:r>
        <w:rPr>
          <w:b/>
        </w:rPr>
        <w:t>POSSIBLE 2022:</w:t>
      </w:r>
      <w:r>
        <w:t xml:space="preserve"> Evapotranspiration Retrieval Using S-SEBI Model with Landsat-8 Split-Window Land Surface Temperature Products over Two European Agricultural Crops — https://doi.org/10.3390/rs14112723</w:t>
      </w:r>
    </w:p>
    <w:p>
      <w:pPr/>
      <w:r>
        <w:rPr>
          <w:b/>
        </w:rPr>
        <w:t>Shared claim-specific concepts:</w:t>
      </w:r>
      <w:r>
        <w:t xml:space="preserve"> two, energy; EU scope visible. This is a provisional connection, not an outcome finding.</w:t>
      </w:r>
    </w:p>
    <w:p>
      <w:pPr>
        <w:pStyle w:val="SourceNote"/>
      </w:pPr>
      <w:r>
        <w:rPr>
          <w:b/>
        </w:rPr>
        <w:t>Available abstract (not full text):</w:t>
      </w:r>
      <w:r>
        <w:t xml:space="preserve"> Crop evapotranspiration (ET) is a key variable within the global hydrological cycle to account for the irrigation scheduling, water budgeting, and planning of the water resources associated with irrigation in croplands. Remote sensing techniques provide geophysical information at a large spatial scale and over a relatively long time series, and even make possible the retrieval of ET at high spatiotemporal resolutions. The present short study analyzed the daily ET maps generated with the S-SEBI model, adapted to Landsat-8 retrieved land surface temperatures and broadband albedos, at two different crop sites for two consecutive years (2017–2018). Maps of land surface temperatures were determined using Landsat-8 Collection 2 data, after applying the split-window (SW) algorithm proposed for the operational SW product, which will be implemented in the future Collection 3. Preliminary results showed a good agreement with ground reference data for the main surface energy balance fluxes Rn and LE, and for daily ET values, with RMSEs around 50 W/m2 and 0.9 mm/d, respectively, and high correlation coefficient (R2 = 0.72–0.91). The acceptable uncertainties observed when comparing with local ground data were reaffirmed after the regional (spatial resolution of 9 km) comparison with reanalysis data obtained from ERA5-Land model, showing a StDev of 0.9 mm/d, RMSE = 1.1 mm/d, MAE = 0.9 mm/d, </w:t>
      </w:r>
    </w:p>
    <w:p>
      <w:pPr>
        <w:pStyle w:val="Heading2"/>
      </w:pPr>
      <w:r>
        <w:t>730.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support, top-down, gas;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Pathways to Inclusion? Labor Market Entry Trajectories of Persons With Disabilities in Europe — https://doi.org/10.17645/si.9603</w:t>
      </w:r>
    </w:p>
    <w:p>
      <w:pPr/>
      <w:r>
        <w:rPr>
          <w:b/>
        </w:rPr>
        <w:t>Shared claim-specific concepts:</w:t>
      </w:r>
      <w:r>
        <w:t xml:space="preserve"> pathways, support, reduce, those; EU scope visible. This is a provisional connection, not an outcome finding.</w:t>
      </w:r>
    </w:p>
    <w:p>
      <w:pPr>
        <w:pStyle w:val="SourceNote"/>
      </w:pPr>
      <w:r>
        <w:rPr>
          <w:b/>
        </w:rPr>
        <w:t>Available abstract (not full text):</w:t>
      </w:r>
      <w:r>
        <w:t xml:space="preserve">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pPr/>
      <w:r>
        <w:rPr>
          <w:b/>
        </w:rPr>
        <w:t>POSSIBLE 2024:</w:t>
      </w:r>
      <w:r>
        <w:t xml:space="preserve"> Visions for climate neutrality and opportunities for co-learning in European cities — https://doi.org/10.1016/j.rser.2024.114315</w:t>
      </w:r>
    </w:p>
    <w:p>
      <w:pPr/>
      <w:r>
        <w:rPr>
          <w:b/>
        </w:rPr>
        <w:t>Shared claim-specific concepts:</w:t>
      </w:r>
      <w:r>
        <w:t xml:space="preserve"> support, emissions, reduce, climate; EU scope visible. This is a provisional connection, not an outcome finding.</w:t>
      </w:r>
    </w:p>
    <w:p>
      <w:pPr>
        <w:pStyle w:val="SourceNote"/>
      </w:pPr>
      <w:r>
        <w:rPr>
          <w:b/>
        </w:rPr>
        <w:t>Available abstract (not full text):</w:t>
      </w:r>
      <w:r>
        <w:t xml:space="preserve">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pPr/>
      <w:r>
        <w:rPr>
          <w:b/>
        </w:rPr>
        <w:t>POSSIBLE 2024:</w:t>
      </w:r>
      <w:r>
        <w:t xml:space="preserve"> Top-down modulation of the retinal code via histaminergic neurons of the hypothalamus — https://doi.org/10.1126/sciadv.adk4062</w:t>
      </w:r>
    </w:p>
    <w:p>
      <w:pPr/>
      <w:r>
        <w:rPr>
          <w:b/>
        </w:rPr>
        <w:t>Shared claim-specific concepts:</w:t>
      </w:r>
      <w:r>
        <w:t xml:space="preserve"> moving, vision, top-down; EU scope not established. This is a provisional connection, not an outcome finding.</w:t>
      </w:r>
    </w:p>
    <w:p>
      <w:pPr>
        <w:pStyle w:val="SourceNote"/>
      </w:pPr>
      <w:r>
        <w:rPr>
          <w:b/>
        </w:rPr>
        <w:t>Available abstract (not full text):</w:t>
      </w:r>
      <w:r>
        <w:t xml:space="preserve"> The mammalian retina is considered an autonomous circuit, yet work dating back to Ramon y Cajal indicates that it receives inputs from the brain. How such inputs affect retinal processing has remained unknown. We confirmed brain-to-retina projections of histaminergic neurons from the mouse hypothalamus. Histamine application ex vivo altered the activity of various retinal ganglion cells (RGCs), including direction-selective RGCs that gained responses to high motion velocities. These results were reproduced in vivo with optic tract recordings where histaminergic retinopetal axons were activated chemogenetically. Such changes could improve vision of fast-moving objects (e.g., while running), which fits with the known increased activity of histaminergic neurons during arousal. An antihistamine drug reduced optomotor responses to high-speed moving stimuli in freely moving mice. In humans, the same antihistamine nonuniformly modulated visual sensitivity across the visual field, indicating an evolutionary conserved function of the histaminergic system. Our findings expose a previously unappreciated role for brain-to-retina projections in modulating retinal function.</w:t>
      </w:r>
    </w:p>
    <w:p>
      <w:pPr/>
      <w:r>
        <w:rPr>
          <w:b/>
        </w:rPr>
        <w:t>POSSIBLE 2023:</w:t>
      </w:r>
      <w:r>
        <w:t xml:space="preserve"> Homopositivity Across Europe: Predictors, Pathways, and Moderators — https://doi.org/10.1007/s10508-023-02531-8</w:t>
      </w:r>
    </w:p>
    <w:p>
      <w:pPr/>
      <w:r>
        <w:rPr>
          <w:b/>
        </w:rPr>
        <w:t>Shared claim-specific concepts:</w:t>
      </w:r>
      <w:r>
        <w:t xml:space="preserve"> pathways, socioeconomic, those; EU scope visible. This is a provisional connection, not an outcome finding.</w:t>
      </w:r>
    </w:p>
    <w:p>
      <w:pPr>
        <w:pStyle w:val="SourceNote"/>
      </w:pPr>
      <w:r>
        <w:rPr>
          <w:b/>
        </w:rPr>
        <w:t>Available abstract (not full text):</w:t>
      </w:r>
      <w:r>
        <w:t xml:space="preserve"> Although homopositivity, the attitudinal acceptance of homosexuality, has generally increased across Western societies, there remains considerable homonegativity across certain regions of the world as well as certain demographic and socioeconomic groups. Although previous cross-national research has successfully identified the key factors affecting homopositive attitudes, the literature neglects both potentially key mediation pathways and moderating interactions between those factors that may unlock more nuanced understanding of these variations in homopositive attitudes across individuals and places. In response, the present study innovatively applied a multivariate structural equation modelling approach to the latest Wave 9 (2018 data) of the large-scale cross-national European Social Survey data in order to shed new light on these currently neglected predictors, pathways, and moderating influences on homopositive attitudes. It used a three-item latent variable to measure the homopositive attitudes outcomes construct. Its explanatory variables were focused across three key sets of factors identified in theoretical and empirical literature (socioeconomics, religiosity, and values) alongside various wider controls. Our analyses made several innovative methodological and empirical contributions to existing debate. Key innovative findings include the original identification of im</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pathways, support, vision;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2023:</w:t>
      </w:r>
      <w:r>
        <w:t xml:space="preserve"> Active Vision in Binocular Depth Estimation: A Top-Down Perspective — https://doi.org/10.3390/biomimetics8050445</w:t>
      </w:r>
    </w:p>
    <w:p>
      <w:pPr/>
      <w:r>
        <w:rPr>
          <w:b/>
        </w:rPr>
        <w:t>Shared claim-specific concepts:</w:t>
      </w:r>
      <w:r>
        <w:t xml:space="preserve"> vision, top-down, bottom-up; EU scope not established. This is a provisional connection, not an outcome finding.</w:t>
      </w:r>
    </w:p>
    <w:p>
      <w:pPr>
        <w:pStyle w:val="SourceNote"/>
      </w:pPr>
      <w:r>
        <w:rPr>
          <w:b/>
        </w:rPr>
        <w:t>Available abstract (not full text):</w:t>
      </w:r>
      <w:r>
        <w:t xml:space="preserve"> Depth estimation is an ill-posed problem; objects of different shapes or dimensions, even if at different distances, may project to the same image on the retina. Our brain uses several cues for depth estimation, including monocular cues such as motion parallax and binocular cues such as diplopia. However, it remains unclear how the computations required for depth estimation are implemented in biologically plausible ways. State-of-the-art approaches to depth estimation based on deep neural networks implicitly describe the brain as a hierarchical feature detector. Instead, in this paper we propose an alternative approach that casts depth estimation as a problem of active inference. We show that depth can be inferred by inverting a hierarchical generative model that simultaneously predicts the eyes' projections from a 2D belief over an object. Model inversion consists of a series of biologically plausible homogeneous transformations based on Predictive Coding principles. Under the plausible assumption of a nonuniform fovea resolution, depth estimation favors an active vision strategy that fixates the object with the eyes, rendering the depth belief more accurate. This strategy is not realized by first fixating on a target and then estimating the depth; instead, it combines the two processes through action-perception cycles, with a similar mechanism of the saccades during object re</w:t>
      </w:r>
    </w:p>
    <w:p>
      <w:pPr/>
      <w:r>
        <w:rPr>
          <w:b/>
        </w:rPr>
        <w:t>POSSIBLE 2023:</w:t>
      </w:r>
      <w:r>
        <w:t xml:space="preserve"> Whose Pathways are They? The Top-Down/Bottom-Up Conundrum of Complementary Pathways for Refugees — https://doi.org/10.1163/15718166-12340148</w:t>
      </w:r>
    </w:p>
    <w:p>
      <w:pPr/>
      <w:r>
        <w:rPr>
          <w:b/>
        </w:rPr>
        <w:t>Shared claim-specific concepts:</w:t>
      </w:r>
      <w:r>
        <w:t xml:space="preserve"> pathways, top-down, bottom-up; EU scope not established. This is a provisional connection, not an outcome finding.</w:t>
      </w:r>
    </w:p>
    <w:p>
      <w:pPr>
        <w:pStyle w:val="SourceNote"/>
      </w:pPr>
      <w:r>
        <w:rPr>
          <w:b/>
        </w:rPr>
        <w:t>Available abstract (not full text):</w:t>
      </w:r>
      <w:r>
        <w:t xml:space="preserve"> Abstract With so many actors and varying motivations involved, one aspect of the ongoing development of complementary pathways that requires greater attention is the question of whether the pathways are best seen as a top-down or a bottom-up endeavour. Linked to this is the issue of the roles of various actors (i.e., communities, national authorities, the national protection regime and the refugees themselves) in practically creating pathways, and embedding them in an overall refugee protection regime, and how to keep a balance of inputs and expectations among all these different players. The key enquiry of this article is thus whether the bottom-up aspect of complementary pathways lend them any greater chance of success? Can community action be inspired, even requested ‘from above’ by governments or the international organizations? Or does it have to be organic, and start from below? And if complementary pathways are for refugees, how are refugees included?</w:t>
      </w:r>
    </w:p>
    <w:p>
      <w:pPr/>
      <w:r>
        <w:rPr>
          <w:b/>
        </w:rPr>
        <w:t>POSSIBLE 2023:</w:t>
      </w:r>
      <w:r>
        <w:t xml:space="preserve"> Exploring pathways to 100% renewable energy in European industry — https://doi.org/10.1016/j.energy.2023.126687</w:t>
      </w:r>
    </w:p>
    <w:p>
      <w:pPr/>
      <w:r>
        <w:rPr>
          <w:b/>
        </w:rPr>
        <w:t>Shared claim-specific concepts:</w:t>
      </w:r>
      <w:r>
        <w:t xml:space="preserve"> pathways, top-down, bottom-up;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pStyle w:val="Heading2"/>
      </w:pPr>
      <w:r>
        <w:t>731.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2025:</w:t>
      </w:r>
      <w:r>
        <w:t xml:space="preserve"> Migration to Italy and Integration into the European Space from the Point of View of Romanians — https://doi.org/10.3390/genealogy9040109</w:t>
      </w:r>
    </w:p>
    <w:p>
      <w:pPr/>
      <w:r>
        <w:rPr>
          <w:b/>
        </w:rPr>
        <w:t>Shared claim-specific concepts:</w:t>
      </w:r>
      <w:r>
        <w:t xml:space="preserve"> findings, migration, italy; EU scope visible. This is a provisional connection, not an outcome finding.</w:t>
      </w:r>
    </w:p>
    <w:p>
      <w:pPr>
        <w:pStyle w:val="SourceNote"/>
      </w:pPr>
      <w:r>
        <w:rPr>
          <w:b/>
        </w:rPr>
        <w:t>Available abstract (not full text):</w:t>
      </w:r>
      <w:r>
        <w:t xml:space="preserve"> This study investigates the determinants of Romanian workers’ migration intentions towards Italy, integrating economic, social, and psychological perspectives. Based on a sample of 358 respondents, four hypotheses were tested concerning perceived living standards, working conditions, quality of public services, and anticipated integration difficulties. Data were analysed using descriptive statistics, Spearman’s rho correlation, Mann–Whitney U, Chi-square, ANOVA, and ordinal logistic regression. The results confirm that higher perceived living standards and better working conditions in Italy significantly increase the likelihood of expressing migration intentions, while favourable evaluations of healthcare and education act as additional pull factors. Conversely, anticipated integration difficulties, particularly language barriers and cultural adaptation, reduce migration intentions, indicating that socio-psychological obstacles can counterbalance economic incentives. By combining non-parametric and multivariate analyses, the study demonstrates that migration is a multidimensional process shaped not only by structural opportunities but also by behavioural and psychological appraisals. These findings are consistent with recent research on European labour mobility and contribute to the literature by highlighting the role of subjective perceptions in shaping migration decisions. Im</w:t>
      </w:r>
    </w:p>
    <w:p>
      <w:pPr/>
      <w:r>
        <w:rPr>
          <w:b/>
        </w:rPr>
        <w:t>POSSIBLE 2025:</w:t>
      </w:r>
      <w:r>
        <w:t xml:space="preserve"> Mobilising on Migration? Linkages of Migration and European Integration in Four Irish EU Referendums — https://doi.org/10.1002/cep4.70012</w:t>
      </w:r>
    </w:p>
    <w:p>
      <w:pPr/>
      <w:r>
        <w:rPr>
          <w:b/>
        </w:rPr>
        <w:t>Shared claim-specific concepts:</w:t>
      </w:r>
      <w:r>
        <w:t xml:space="preserve"> migration, between, ireland; EU scope visible. This is a provisional connection, not an outcome finding.</w:t>
      </w:r>
    </w:p>
    <w:p>
      <w:pPr>
        <w:pStyle w:val="SourceNote"/>
      </w:pPr>
      <w:r>
        <w:rPr>
          <w:b/>
        </w:rPr>
        <w:t>Available abstract (not full text):</w:t>
      </w:r>
      <w:r>
        <w:t xml:space="preserve"> ABSTRACT In a Europe where contestation over migration and European integration has become increasingly connected, Ireland seems to be an outlier. Whereas European integration has been a politicised issue in Ireland, not least in the context of four consecutive referendums on EU treaties in the early 2000s, politicisation of immigration has traditionally been low in Ireland. But while previous studies suggest that this has also been the case during EU referendums, the debates on the Treaty of Nice seem to be an exception. Ireland's status as an outlier in Western Europe and the variation across referendums makes the Irish referendums an ideal case for exploring the relationship between politicisation of migration and European integration. This article examines and explains to what extent and how migration has been discursively linked to European integration in the four Irish EU referendums in the period 2001–2009. Based on a quantitative and qualitative analysis of political claims in Irish newspapers, I argue that pre‐existing national discourses on migration and European integration, which have been predominantly positive in Ireland, have generally hindered the mobilisation of anti‐immigration sentiments against the EU. The Nice II referendum is an exception, highlighting how not even Ireland is immune to such politicisation. My analysis shows how domestic radical right actor</w:t>
      </w:r>
    </w:p>
    <w:p>
      <w:pPr/>
      <w:r>
        <w:rPr>
          <w:b/>
        </w:rPr>
        <w:t>POSSIBLE 2024:</w:t>
      </w:r>
      <w:r>
        <w:t xml:space="preserve"> The Geography of Information Diffusion in Online Discourse on Europe and Migration — https://doi.org/10.1609/icwsm.v18i1.31361</w:t>
      </w:r>
    </w:p>
    <w:p>
      <w:pPr/>
      <w:r>
        <w:rPr>
          <w:b/>
        </w:rPr>
        <w:t>Shared claim-specific concepts:</w:t>
      </w:r>
      <w:r>
        <w:t xml:space="preserve"> migration, majority, between; EU scope visible. This is a provisional connection, not an outcome finding.</w:t>
      </w:r>
    </w:p>
    <w:p>
      <w:pPr>
        <w:pStyle w:val="SourceNote"/>
      </w:pPr>
      <w:r>
        <w:rPr>
          <w:b/>
        </w:rPr>
        <w:t>Available abstract (not full text):</w:t>
      </w:r>
      <w:r>
        <w:t xml:space="preserve"> The online diffusion of information related to Europe and migration has been little investigated from an external point of view. However, this is a very relevant topic, especially if users have had no direct contact with Europe and its perception depends solely on information retrieved online. In this work we analyse the information circulating online about Europe and migration after retrieving a large amount of data from social media (Twitter), to gain new insights into topics, magnitude, and dynamics of their diffusion. We combine retweets and hashtags network analysis with geolocation of users, linking thus data to geography and allowing analysis from an “outside Europe” perspective, with a special focus on Africa. We also introduce a novel approach based on cross-lingual quotes, i.e. when content in a language is commented and retweeted in another language, assuming these interactions are a proxy for connections between very distant communities. Results show how the majority of online discussions occurs at a national level, especially when discussing migration. Language (English) is pivotal for information to become transnational and reach far. Transnational information flow is strongly unbalanced, with content mainly produced in Europe and amplified outside. Conversely Europe-based accounts tend to be self-referential when they discuss migration-related topics. Football is</w:t>
      </w:r>
    </w:p>
    <w:p>
      <w:pPr/>
      <w:r>
        <w:rPr>
          <w:b/>
        </w:rPr>
        <w:t>POSSIBLE 2023:</w:t>
      </w:r>
      <w:r>
        <w:t xml:space="preserve"> Lifetime impact of achondroplasia study in Europe (LIAISE): findings from a multinational observational study — https://doi.org/10.1186/s13023-023-02652-2</w:t>
      </w:r>
    </w:p>
    <w:p>
      <w:pPr/>
      <w:r>
        <w:rPr>
          <w:b/>
        </w:rPr>
        <w:t>Shared claim-specific concepts:</w:t>
      </w:r>
      <w:r>
        <w:t xml:space="preserve"> findings, among, countries, population, between; EU scope visible. This is a provisional connection, not an outcome finding.</w:t>
      </w:r>
    </w:p>
    <w:p>
      <w:pPr>
        <w:pStyle w:val="SourceNote"/>
      </w:pPr>
      <w:r>
        <w:rPr>
          <w:b/>
        </w:rPr>
        <w:t>Available abstract (not full text):</w:t>
      </w:r>
      <w:r>
        <w:t xml:space="preserve">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findings, countries, between;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On Virtual Mobility in Three Central European Universities: Similar but Different? — https://doi.org/10.22381/kc11320235</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This article examines the patterns and determinants of virtual mobility among students in the social sciences and humanities at three universities in Central Europe: University of Hradec Kralove (HKU) in the Czech Republic, Adam Mickiewicz University, Poznan (AMU) in Poland and Constantine the Philosopher University in Nitra (UKF) in Slovakia. Virtual mobility, a form of international cooperation facilitated by information and communication technologies, has become increasingly important, especially during the COVID-19 pandemic. The study investigates students’ motivation, resources and experiences in this form of mobility. Findings show that a similar percentage of students participated in both physical and virtual mobility across the three universities, with over 60% not participating in any form of mobility. Work experience significantly impacted participation, as students with employment records were likelier to participate. Gender and level of study did not have a significant influence on participation. Noticeable differences in motivation were observed between universities, with students at the AMU demonstrating a higher level of motivation for virtual mobility. The study also revealed differences in students’ perceptions of technical resources and organisational effectiveness for virtual mobility.</w:t>
      </w:r>
    </w:p>
    <w:p>
      <w:pPr/>
      <w:r>
        <w:rPr>
          <w:b/>
        </w:rPr>
        <w:t>POSSIBLE 2022:</w:t>
      </w:r>
      <w:r>
        <w:t xml:space="preserve"> The burden of mental disorders, substance use disorders and self-harm among young people in Europe, 1990–2019: Findings from the Global Burden of Disease Study 2019 — https://doi.org/10.1016/j.lanepe.2022.100341</w:t>
      </w:r>
    </w:p>
    <w:p>
      <w:pPr/>
      <w:r>
        <w:rPr>
          <w:b/>
        </w:rPr>
        <w:t>Shared claim-specific concepts:</w:t>
      </w:r>
      <w:r>
        <w:t xml:space="preserve"> findings, among, countries, population; EU scope visible. This is a provisional connection, not an outcome finding.</w:t>
      </w:r>
    </w:p>
    <w:p>
      <w:pPr>
        <w:pStyle w:val="SourceNote"/>
      </w:pPr>
      <w:r>
        <w:rPr>
          <w:b/>
        </w:rPr>
        <w:t>Available abstract (not full text):</w:t>
      </w:r>
      <w:r>
        <w:t xml:space="preserve"> Background: Mental health is a public health issue for European young people, with great heterogeneity in resource allocation. Representative population-based studies are needed. The Global Burden of Disease (GBD) Study 2019 provides internationally comparable information on trends in the health status of populations and changes in the leading causes of disease burden over time. Methods: Prevalence, incidence, Years Lived with Disability (YLDs) and Years of Life Lost (YLLs) from mental disorders (MDs), substance use disorders (SUDs) and self-harm were estimated for young people aged 10-24 years in 31 European countries. Rates per 100,000 population, percentage changes in 1990-2019, 95% Uncertainty Intervals (UIs), and correlations with Sociodemographic Index (SDI), were estimated. Findings: In 2019, rates per 100,000 population were 16,983 (95% UI 12,823 - 21,630) for MDs, 3,891 (3,020 - 4,905) for SUDs, and 89·1 (63·8 - 123·1) for self-harm. In terms of disability, anxiety contributed to 647·3 (432-912·3) YLDs, while in terms of premature death, self-harm contributed to 319·6 (248·9-412·8) YLLs, per 100,000 population. Over the 30 years studied, YLDs increased in eating disorders (14·9%;9·4-20·1) and drug use disorders (16·9%;8·9-26·3), and decreased in idiopathic developmental intellectual disability (-29·1%;23·8-38·5). YLLs decreased in self-harm (-27·9%;38·3-18·7). Variatio</w:t>
      </w:r>
    </w:p>
    <w:p>
      <w:pPr/>
      <w:r>
        <w:rPr>
          <w:b/>
        </w:rPr>
        <w:t>POSSIBLE 2022:</w:t>
      </w:r>
      <w:r>
        <w:t xml:space="preserve"> Oral health and quality of life: findings from the Survey of Health, Ageing and Retirement in Europe — https://doi.org/10.1186/s12903-022-02599-z</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BACKGROUND: The aim of this study was to clarify the link between oral health and quality of life among older adults in Europe. METHODS: Cross-sectional data from wave 5 (n = 59,048 observations) were used from the representative Survey of Health, Ageing and Retirement in Europe. Oral health was quantified by three questions: presence of all natural teeth (yes; no); among individuals with missing natural teeth, the number of missing teeth and the extent of replaced natural teeth were quantified. Quality of life was quantified using the widely used CASP-12. Multiple linear regressions were used to determine the association between oral health and quality of life, adjusting for various potential confounders. RESULTS: Multiple linear regressions showed that higher quality of life was associated with (1) the presence of all natural teeth and among individuals with missing natural teeth, with (2) a lower number of missing natural teeth and (3) completely replaced natural teeth. Additionally, quality of life was positively associated with younger age, being female, being married or in a partnership, higher income, higher educational level, not currently smoking, a lower number of functional impairments, better self-rated health, a lower number of depressive symptoms and a lower number of chronic diseases. CONCLUSION: Study findings showed an association between oral health and qualit</w:t>
      </w:r>
    </w:p>
    <w:p>
      <w:pPr/>
      <w:r>
        <w:rPr>
          <w:b/>
        </w:rPr>
        <w:t>POSSIBLE 2022:</w:t>
      </w:r>
      <w:r>
        <w:t xml:space="preserve"> Different Theoretical Perspectives to Secularization and the Impact of Migration on Future Religiosity of Europe — https://doi.org/10.53376/ap.2022.09</w:t>
      </w:r>
    </w:p>
    <w:p>
      <w:pPr/>
      <w:r>
        <w:rPr>
          <w:b/>
        </w:rPr>
        <w:t>Shared claim-specific concepts:</w:t>
      </w:r>
      <w:r>
        <w:t xml:space="preserve"> among, migration, muslim, considered; EU scope visible. This is a provisional connection, not an outcome finding.</w:t>
      </w:r>
    </w:p>
    <w:p>
      <w:pPr>
        <w:pStyle w:val="SourceNote"/>
      </w:pPr>
      <w:r>
        <w:rPr>
          <w:b/>
        </w:rPr>
        <w:t>Available abstract (not full text):</w:t>
      </w:r>
      <w:r>
        <w:t xml:space="preserve"> Secularization versus religious revival debate has been shifted to another dimension with the mass migration targeting Europe because of the conflicts in the Middle East. The literature concerning secularism was expecting a linear trend in line with the modernization and Europe was considered to be the nexus of both. This study delineates the secularization debate for evaluating the recent trend of migration within this rather neglected scope. The main argument is that among the secularization theories, religious market model and existential security paradigm have a greater explanatory power for the future state-religion relations in Europe. They indicate that as a result of migration, contrary to the expectation of classical secularism theories, the overall religiosity might increase in Europe due to the pluralization of the religious realm as well as the fact that Muslim migrants who are more religious also have higher fertility rate than Europeans. In that sense, Europe, which seemed to settle the dispute concerning religious realm for years now might be faced with a new challenge due to the migration phenomenon.</w:t>
      </w:r>
    </w:p>
    <w:p>
      <w:pPr>
        <w:pStyle w:val="Heading2"/>
      </w:pPr>
      <w:r>
        <w:t>732.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current, average, rate;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2023:</w:t>
      </w:r>
      <w:r>
        <w:t xml:space="preserve"> Farmland practices are driving bird population decline across Europe — https://doi.org/10.1073/pnas.2216573120</w:t>
      </w:r>
    </w:p>
    <w:p>
      <w:pPr/>
      <w:r>
        <w:rPr>
          <w:b/>
        </w:rPr>
        <w:t>Shared claim-specific concepts:</w:t>
      </w:r>
      <w:r>
        <w:t xml:space="preserve"> decline, number,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2022:</w:t>
      </w:r>
      <w:r>
        <w:t xml:space="preserve"> The Current State of Neobanking in the USA and European Countries — https://doi.org/10.32983/2222-4459-2022-7-17-24</w:t>
      </w:r>
    </w:p>
    <w:p>
      <w:pPr/>
      <w:r>
        <w:rPr>
          <w:b/>
        </w:rPr>
        <w:t>Shared claim-specific concepts:</w:t>
      </w:r>
      <w:r>
        <w:t xml:space="preserve"> current, average, number, not, reach; EU scope visible. This is a provisional connection, not an outcome finding.</w:t>
      </w:r>
    </w:p>
    <w:p>
      <w:pPr>
        <w:pStyle w:val="SourceNote"/>
      </w:pPr>
      <w:r>
        <w:rPr>
          <w:b/>
        </w:rPr>
        <w:t>Available abstract (not full text):</w:t>
      </w:r>
      <w:r>
        <w:t xml:space="preserve"> The purpose of the article is to study the current state and trends of neobanking in the United States and European countries. It is noted that the world highest indicator of the number of customers who have bank accounts exclusively in digital format was recorded in the United States. A further increase in the number of such clients is predicted, firstly, due to the existing potential of the population, and secondly, due to the increase in the number of banks that conduct operations exclusively in digital format. In 2022, the value of neobanking transactions in the United States should reach 1.2 trillion U.S. Dollar, and in 2017 it amounted slightly over 9.0 billion U.S. Dollar. The cost of a transaction per user of neobanking in 2021 was on average about 25 thousand U.S. Dollar per year and showed a tendency to grow. At the beginning of 2022, 60 neobanks were registered in the United States. It is noted that in Europe the first neobanks began to appear in 2015, and financial companies in the UK, Germany, France and Finland were the leaders of a new movement – the fintech industry. Over time, this trend has spread to other European countries, where there are now more than 70 neobanks. The positive dynamics of the number of consumers of neobank services is formed due to a number of advantages, including not only online service. Neobanks have the following advantages compared to</w:t>
      </w:r>
    </w:p>
    <w:p>
      <w:pPr/>
      <w:r>
        <w:rPr>
          <w:b/>
        </w:rPr>
        <w:t>POSSIBLE 2022:</w:t>
      </w:r>
      <w:r>
        <w:t xml:space="preserve"> Impact of the first wave of the COVID-19 pandemic on birth rates in Europe: a time series analysis in 24 countries — https://doi.org/10.1093/humrep/deac215</w:t>
      </w:r>
    </w:p>
    <w:p>
      <w:pPr/>
      <w:r>
        <w:rPr>
          <w:b/>
        </w:rPr>
        <w:t>Shared claim-specific concepts:</w:t>
      </w:r>
      <w:r>
        <w:t xml:space="preserve"> average, decline, rate, number, not; EU scope visible. This is a provisional connection, not an outcome finding.</w:t>
      </w:r>
    </w:p>
    <w:p>
      <w:pPr>
        <w:pStyle w:val="SourceNote"/>
      </w:pPr>
      <w:r>
        <w:rPr>
          <w:b/>
        </w:rPr>
        <w:t>Available abstract (not full text):</w:t>
      </w:r>
      <w:r>
        <w:t xml:space="preserve"> STUDY QUESTION: Did the first wave of the COVID-19 pandemic have an impact on monthly birth rates in Europe? SUMMARY ANSWER: Using datasets on live births per month in Europe, collected from the Human Fertility Database, we found a -14.1% decline in live births in January 2021 (i.e. 9-10 months after the epidemic peaks and first lockdowns), compared to the average number of live births in January 2018 and 2019. WHAT IS KNOWN ALREADY: Previous pandemics in the 20th and 21st centuries have been associated with a decline in birth rates 9 months after their peak, and a rebound in births over time. Lockdowns were necessary to control the first wave of the COVID-19 pandemic and may have had an impact on subsequent birth rates. STUDY DESIGN, SIZE, DURATION: Monthly time series data on live births from January 2018 to March 2021 were extracted to provide a time-series analysis of birthrates during and after the first wave of the COVID-19 pandemic in 24 European countries. PARTICIPANTS/MATERIALS, SETTING, METHODS: We conducted a random-effect generalized least squares regression to assess the seasonality of births from January 2018 to March 2021, and to identify potential differences in monthly live births after the first wave of the COVID-19 pandemic, considering the seasonality of births. To quantify these potential differences, we estimated the variation rate between the monthly live</w:t>
      </w:r>
    </w:p>
    <w:p>
      <w:pPr/>
      <w:r>
        <w:rPr>
          <w:b/>
        </w:rPr>
        <w:t>POSSIBLE 2021:</w:t>
      </w:r>
      <w:r>
        <w:t xml:space="preserve"> Fiscal Policy, Consumption and Current Account in the European Countries — https://doi.org/10.5281/zenodo.4686796</w:t>
      </w:r>
    </w:p>
    <w:p>
      <w:pPr/>
      <w:r>
        <w:rPr>
          <w:b/>
        </w:rPr>
        <w:t>Shared claim-specific concepts:</w:t>
      </w:r>
      <w:r>
        <w:t xml:space="preserve"> current, average, decline; EU scope visible. This is a provisional connection, not an outcome finding.</w:t>
      </w:r>
    </w:p>
    <w:p>
      <w:pPr>
        <w:pStyle w:val="SourceNote"/>
      </w:pPr>
      <w:r>
        <w:rPr>
          <w:b/>
        </w:rPr>
        <w:t>Available abstract (not full text):</w:t>
      </w:r>
      <w:r>
        <w:t xml:space="preserve"> This paper explores the relationship between fiscal deficit, trade deficit and private consumption in European countries in the years 1970-2010. The aim of the study is to test empirically the validity and rationale of the Keynesian proposition (conventional view or Twin Deficits hypothesis) and the Ricardian Equivalence hypothesis, as well as to analyze the relationship between fiscal policy and private consumption. The empirical findings of our study show mixed results. In fact, static panel data estimates suggest that a one per cent increase in fiscal deficit/GDP ratio tends to deteriorate the current account/GDP ratio of 0.21 per cent, although it increases the private consumption of 0.21 per cent. Furthermore, the dynamic estimates largely depend on the estimator chosen, since the GMM-Dif estimates show a significant effect of fiscal deficit both on trade balance and on private consumption, in line with TD hypothesis; on the contrary, GMM-Sys estimator suggests that these effects are irrelevant, supporting RE hypothesis. With regard to the former estimates, we observed that each euro rise in fiscal deficit is associated, on average, with a 22 cents decline in the current account, while the estimated rise in private consumption is smaller (11 cents). Finally, Granger causality tests show mixed results.</w:t>
      </w:r>
    </w:p>
    <w:p>
      <w:pPr/>
      <w:r>
        <w:rPr>
          <w:b/>
        </w:rPr>
        <w:t>POSSIBLE 2021:</w:t>
      </w:r>
      <w:r>
        <w:t xml:space="preserve"> Current extinction rate in European freshwater gastropods greatly exceeds that of the late Cretaceous mass extinction — https://doi.org/10.1038/s43247-021-00167-x</w:t>
      </w:r>
    </w:p>
    <w:p>
      <w:pPr/>
      <w:r>
        <w:rPr>
          <w:b/>
        </w:rPr>
        <w:t>Shared claim-specific concepts:</w:t>
      </w:r>
      <w:r>
        <w:t xml:space="preserve"> current, rate, however; EU scope visible. This is a provisional connection, not an outcome finding.</w:t>
      </w:r>
    </w:p>
    <w:p>
      <w:pPr>
        <w:pStyle w:val="SourceNote"/>
      </w:pPr>
      <w:r>
        <w:rPr>
          <w:b/>
        </w:rPr>
        <w:t>Available abstract (not full text):</w:t>
      </w:r>
      <w:r>
        <w:t xml:space="preserve"> Abstract The Cretaceous–Paleogene mass extinction event 66 million years ago eradicated three quarters of marine and terrestrial species globally. However, previous studies based on vertebrates suggest that freshwater biota were much less affected. Here we assemble a time series of European freshwater gastropod species occurrences and inferred extinction rates covering the past 200 million years. We find that extinction rates increased by more than one order of magnitude during the Cretaceous–Paleogene mass extinction, which resulted in the extinction of 92.5% of all species. The extinction phase lasted 5.4 million years and was followed by a recovery period of 6.9 million years. However, present extinction rates in European freshwater gastropods are three orders of magnitude higher than even these revised estimates for the Cretaceous–Paleogene mass extinction. Our results indicate that, unless substantial conservation effort is directed to freshwater ecosystems, the present extinction crisis will have a severe impact to freshwater biota for millions of years to come.</w:t>
      </w:r>
    </w:p>
    <w:p>
      <w:pPr/>
      <w:r>
        <w:rPr>
          <w:b/>
        </w:rPr>
        <w:t>POSSIBLE 2021:</w:t>
      </w:r>
      <w:r>
        <w:t xml:space="preserve"> Estimating the basic reproduction number for COVID-19 in Western Europe — https://doi.org/10.1371/journal.pone.0248731</w:t>
      </w:r>
    </w:p>
    <w:p>
      <w:pPr/>
      <w:r>
        <w:rPr>
          <w:b/>
        </w:rPr>
        <w:t>Shared claim-specific concepts:</w:t>
      </w:r>
      <w:r>
        <w:t xml:space="preserve"> average, rate, number; EU scope visible. This is a provisional connection, not an outcome finding.</w:t>
      </w:r>
    </w:p>
    <w:p>
      <w:pPr>
        <w:pStyle w:val="SourceNote"/>
      </w:pPr>
      <w:r>
        <w:rPr>
          <w:b/>
        </w:rPr>
        <w:t>Available abstract (not full text):</w:t>
      </w:r>
      <w:r>
        <w:t xml:space="preserve"> OBJECTIVE: To estimate the basic reproduction number (R0) for COVID-19 in Western Europe. METHODS: Data (official statistics) on the cumulative incidence of COVID-19 at the start of the outbreak (before any confinement rules were declared) were retrieved in the 15 largest countries in Western Europe, allowing us to estimate the exponential growth rate of the disease. The rate was then combined with estimates of the distribution of the generation interval as reconstructed from the literature. RESULTS: Despite the possible unreliability of some official statistics about COVID-19, the spread of the disease appears to be remarkably similar in most European countries, allowing us to estimate an average R0 in Western Europe of 2.2 (95% CI: 1.9-2.6). CONCLUSIONS: The value of R0 for COVID-19 in Western Europe appears to be significantly lower than that in China. The proportion of immune persons in the European population required to stop the outbreak could thus be closer to 50% than to 70%.</w:t>
      </w:r>
    </w:p>
    <w:p>
      <w:pPr>
        <w:pStyle w:val="Heading2"/>
      </w:pPr>
      <w:r>
        <w:t>733.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2023:</w:t>
      </w:r>
      <w:r>
        <w:t xml:space="preserve"> Perspectives on trade and structural transformation — https://doi.org/10.1080/13600818.2023.2279665</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 models to advance our understanding of structural change.</w:t>
      </w:r>
    </w:p>
    <w:p>
      <w:pPr/>
      <w:r>
        <w:rPr>
          <w:b/>
        </w:rPr>
        <w:t>POSSIBLE 2023:</w:t>
      </w:r>
      <w:r>
        <w:t xml:space="preserve"> Technical Barriers to Trade and China's Agricultural Products Export - Taking Garlic Export as an Example — https://doi.org/10.38007/ijbmet.2023.040105</w:t>
      </w:r>
    </w:p>
    <w:p>
      <w:pPr/>
      <w:r>
        <w:rPr>
          <w:b/>
        </w:rPr>
        <w:t>Shared claim-specific concepts:</w:t>
      </w:r>
      <w:r>
        <w:t xml:space="preserve"> taking, trade, perspective, states; EU scope visible. This is a provisional connection, not an outcome finding.</w:t>
      </w:r>
    </w:p>
    <w:p>
      <w:pPr>
        <w:pStyle w:val="SourceNote"/>
      </w:pPr>
      <w:r>
        <w:rPr>
          <w:b/>
        </w:rPr>
        <w:t>Available abstract (not full text):</w:t>
      </w:r>
      <w:r>
        <w:t xml:space="preserve"> Firstly, this paper analyzes the impact mechanism of TBT on agricultural exports; Secondly, based on the characteristics of technical barriers to trade in the United States, the European Union, Japan and South Korea, this paper analyzes the export situation of China's agricultural products, the number of batches detained and recalled, the types of blocked products, and the reasons for the blocked products.The research finds that the overall situation of China's agricultural products encountering technical barriers to trade has improved, but the situation of encountering green barriers is increasingly serious.Therefore, this paper selects the impact of green trade barriers on garlic export as an example to analyze the reasons for China's garlic export encountering green barriers and propose countermeasures.Finally, from the perspective of actively utilizing the WTO Agreement and the dispute settlement mechanism, taking countermeasures, improving the quality level and innovation ability, and establishing an early warning mechanism, specific suggestions were put forward.</w:t>
      </w:r>
    </w:p>
    <w:p>
      <w:pPr/>
      <w:r>
        <w:rPr>
          <w:b/>
        </w:rPr>
        <w:t>POSSIBLE 2023:</w:t>
      </w:r>
      <w:r>
        <w:t xml:space="preserve"> The role of market concentration in the agrifood industry — https://doi.org/10.2499/p15738coll2.136567</w:t>
      </w:r>
    </w:p>
    <w:p>
      <w:pPr/>
      <w:r>
        <w:rPr>
          <w:b/>
        </w:rPr>
        <w:t>Shared claim-specific concepts:</w:t>
      </w:r>
      <w:r>
        <w:t xml:space="preserve"> agrifood, general, implications; EU scope not established. This is a provisional connection, not an outcome finding.</w:t>
      </w:r>
    </w:p>
    <w:p>
      <w:pPr>
        <w:pStyle w:val="SourceNote"/>
      </w:pPr>
      <w:r>
        <w:rPr>
          <w:b/>
        </w:rPr>
        <w:t>Available abstract (not full text):</w:t>
      </w:r>
      <w:r>
        <w:t xml:space="preserve"> The role of market concentration and potential market power exertion in the agri-food industry is a topic of longstanding interest and concern to policymakers, stakeholders, and researchers. This study provides a comprehensive overview of recent trends in market concentration upstream, midstream, and downstream the agri-food industry at the global, regional, and country level, and assesses how and to what extent concentration could be affecting market conduct and performance of food systems in developed and developing countries. The analysis additionally discusses, to the extent detectable, implications of concentration, including vertical and horizontal integration that favor concentration, for food security and nutrition and environmental sustainability. While market concentration in the agri-food industry has increased across most segments, the evidence on market power exertion is inconclusive. Several knowledge and data gaps are identified and additional research is necessary to derive more general conclusions and policy recommendations.</w:t>
      </w:r>
    </w:p>
    <w:p>
      <w:pPr/>
      <w:r>
        <w:rPr>
          <w:b/>
        </w:rPr>
        <w:t>POSSIBLE 2023:</w:t>
      </w:r>
      <w:r>
        <w:t xml:space="preserve"> A constant market share analysis of the competitiveness of the Czech Republic's agrifood exports (2002-2020) to the European Union — https://doi.org/10.17221/248/2023-agricecon</w:t>
      </w:r>
    </w:p>
    <w:p>
      <w:pPr/>
      <w:r>
        <w:rPr>
          <w:b/>
        </w:rPr>
        <w:t>Shared claim-specific concepts:</w:t>
      </w:r>
      <w:r>
        <w:t xml:space="preserve"> trade, agrifood, current, general, states; EU scope visible. This is a provisional connection, not an outcome finding.</w:t>
      </w:r>
    </w:p>
    <w:p>
      <w:pPr>
        <w:pStyle w:val="SourceNote"/>
      </w:pPr>
      <w:r>
        <w:rPr>
          <w:b/>
        </w:rPr>
        <w:t>Available abstract (not full text):</w:t>
      </w:r>
      <w:r>
        <w:t xml:space="preserve"> We conducted a quantitative ex post analysis of the competitiveness of the Czech Republic’s agrifood exports to other European Union (EU) Member States between 2002 and 2020, using the constant market share (CMS) methodology. The application of this methodology to Czech agrifood exports is novel, as it allows for analysing the export competitiveness variation and its components. Although the findings are consistent with those of previous studies in which the investigators used alternative methodological approaches, we make three contributions to the existing literature. Firstly, the Czech Republic experienced an overall increase in its competitiveness in agrifood exports between 2002 and 2020. Secondly, the high territorial specialisation of Czech agrifood exports to other EU Member States, combined with a general slowdown in the growth of EU markets, has had a significant effect on the growth dynamics of the country’s agricultural exports. Thirdly, there is a problem with the specialisation profile of Czech agrifood exports in terms of commodity and territorial structure. The current composition does not allow the Czech Republic to reach its full potential for agrifood exports. These findings will help industrial, agricultural and trade policymakers to assess the nature of liberalisation and transformation of the Czech Republic’s agricultural sectors, with a view to improving </w:t>
      </w:r>
    </w:p>
    <w:p>
      <w:pPr/>
      <w:r>
        <w:rPr>
          <w:b/>
        </w:rPr>
        <w:t>POSSIBLE 2023:</w:t>
      </w:r>
      <w:r>
        <w:t xml:space="preserve"> From farm to table: Agrifood systems and trade challenges in the Southern Cone — https://doi.org/10.2499/p15738coll2.137016</w:t>
      </w:r>
    </w:p>
    <w:p>
      <w:pPr/>
      <w:r>
        <w:rPr>
          <w:b/>
        </w:rPr>
        <w:t>Shared claim-specific concepts:</w:t>
      </w:r>
      <w:r>
        <w:t xml:space="preserve"> trade, agrifood, current, different; EU scope not established. This is a provisional connection, not an outcome finding.</w:t>
      </w:r>
    </w:p>
    <w:p>
      <w:pPr>
        <w:pStyle w:val="SourceNote"/>
      </w:pPr>
      <w:r>
        <w:rPr>
          <w:b/>
        </w:rPr>
        <w:t>Available abstract (not full text):</w:t>
      </w:r>
      <w:r>
        <w:t xml:space="preserve"> Food production includes a complex and varied set of agricultural and nonagricultural activities, involving a growing number of sectors and actors that influence the way food is produced, processed, distributed, and consumed. Recently, and especially after the 2021 United Nation Food Systems Summit (UNFSS), it has been proposed that this conglomerate of activities and socioeconomic actors be jointly identified as food systems. National food systems, which exist in each country, are interrelated through trade and other factors with regional food systems and finally with the global food system.\nThe concept of food systems has been adopted as a useful tool for understanding the multiple and complex interrelations between different production, distribution, and trade partners and for adjusting policy analysis and design to this complex world. The discussions and documentation prepared during the UNFSS process brought to public attention not only the utility and complexity of this concept but also some of the shortcomings of current food production practices. The summit also highlighted an urgent need to establish processes for identifying such shortcomings, their relative importance, and possible measures that would lead to the transformation of national food systems and the global food system.</w:t>
      </w:r>
    </w:p>
    <w:p>
      <w:pPr/>
      <w:r>
        <w:rPr>
          <w:b/>
        </w:rPr>
        <w:t>POSSIBLE 2023:</w:t>
      </w:r>
      <w:r>
        <w:t xml:space="preserve"> Portuguese Agrifood Sector Resilience: An Analysis Using Structural Breaks Applied to International Trade — https://doi.org/10.3390/agriculture13091699</w:t>
      </w:r>
    </w:p>
    <w:p>
      <w:pPr/>
      <w:r>
        <w:rPr>
          <w:b/>
        </w:rPr>
        <w:t>Shared claim-specific concepts:</w:t>
      </w:r>
      <w:r>
        <w:t xml:space="preserve"> trade, agrifood, different; EU scope visible. This is a provisional connection, not an outcome finding.</w:t>
      </w:r>
    </w:p>
    <w:p>
      <w:pPr>
        <w:pStyle w:val="SourceNote"/>
      </w:pPr>
      <w:r>
        <w:rPr>
          <w:b/>
        </w:rPr>
        <w:t>Available abstract (not full text):</w:t>
      </w:r>
      <w:r>
        <w:t xml:space="preserve"> In the last two decades, Portugal suffered the effects of two global crises, the financial crisis and the COVID-19 pandemic, as well as the Common Agriculture Policy reforms. These crises had a great impact on the Portuguese economy, but it is completely unclear how they affected the dynamics of the Portuguese agrifood sector. This study’s objective is to analyze the resilience of this sector to European and global socks, testing the effects on international trade. Secondary data from the Portuguese Statistics Institute were used for the exports and imports trade series of animal and vegetable products and food industries from 2000 to 2020. The methodology was based on the structural xtbreak model, stability analysis, and tests for structural breaks. Some volatility was observed in the trade series, particularly in imports, without consistency among years, trade sectors, or imports versus exports trade. In the case of exports, one or two structural breaks in the different sectors occurred in different years. The most relevant dynamics occurred after the sovereign debt crisis. It was concluded that CAP reforms and global crises seem to not have caused new relevant dynamics in the Portuguese international agrifood trade. This revealed the resilience of the sector to external shocks.</w:t>
      </w:r>
    </w:p>
    <w:p>
      <w:pPr/>
      <w:r>
        <w:rPr>
          <w:b/>
        </w:rPr>
        <w:t>POSSIBLE 2023:</w:t>
      </w:r>
      <w:r>
        <w:t xml:space="preserve"> Modeling Actions for Transforming Agrifood Systems — https://doi.org/10.1007/978-3-031-15703-5_7</w:t>
      </w:r>
    </w:p>
    <w:p>
      <w:pPr/>
      <w:r>
        <w:rPr>
          <w:b/>
        </w:rPr>
        <w:t>Shared claim-specific concepts:</w:t>
      </w:r>
      <w:r>
        <w:t xml:space="preserve"> agrifood, different; EU scope not established. This is a provisional connection, not an outcome finding.</w:t>
      </w:r>
    </w:p>
    <w:p>
      <w:pPr>
        <w:pStyle w:val="SourceNote"/>
      </w:pPr>
      <w:r>
        <w:rPr>
          <w:b/>
        </w:rPr>
        <w:t>Available abstract (not full text):</w:t>
      </w:r>
      <w:r>
        <w:t xml:space="preserve"> Abstract We modeled six interventions to study the scenarios’ impact on agrifood systems, undernutrition, access to healthy diets, and the environment. We also assessed the interventions as a group to consider the impact of synergies and complementarities. Our baseline showed that 690 million people were undernourished, and 3 billion people could not afford healthy diets in 2019. The first finding confirmed that ending chronic hunger at a 5% level by 2030 is possible, with key structural interventions to ramp up agrifood systems’ efficiency. Through increased farm productivity and reduction of food loss and waste, the number of chronically hungry people could be cut by 314 million. In addition, 568 million people would be able to afford healthy diets by 2030. The cost of ending hunger represents 8% of the size of global food markets, a sum that can be mobilized and invested to generate impact through food value chains, national economies, and social safety nets. Furthermore, the use of well-targeted social safety nets could provide an additional 2.4 billion people with access to healthy diets. The second critical finding was that various interventions could create synergies. This would become apparent through addressing different causes of hunger. Moreover, aiming to minimize the total cost of interventions and seeking, at the same time, the highest return interventions in term</w:t>
      </w:r>
    </w:p>
    <w:p>
      <w:pPr/>
      <w:r>
        <w:rPr>
          <w:b/>
        </w:rPr>
        <w:t>POSSIBLE 2023:</w:t>
      </w:r>
      <w:r>
        <w:t xml:space="preserve"> Trends Shaping the Future of Agrifood — https://doi.org/10.5772/intechopen.111608</w:t>
      </w:r>
    </w:p>
    <w:p>
      <w:pPr/>
      <w:r>
        <w:rPr>
          <w:b/>
        </w:rPr>
        <w:t>Shared claim-specific concepts:</w:t>
      </w:r>
      <w:r>
        <w:t xml:space="preserve"> agrifood, current; EU scope not established. This is a provisional connection, not an outcome finding.</w:t>
      </w:r>
    </w:p>
    <w:p>
      <w:pPr>
        <w:pStyle w:val="SourceNote"/>
      </w:pPr>
      <w:r>
        <w:rPr>
          <w:b/>
        </w:rPr>
        <w:t>Available abstract (not full text):</w:t>
      </w:r>
      <w:r>
        <w:t xml:space="preserve"> In agriculture innovation is the main driver of productivity growth. Innovative technologies and methods have to help increase firms’ productivity in a sustainable way. Technology diffusion is important as developing new technologies for sustainable production processes. Current innovations can lead to define the composition of foods with impoverishment or enrichment of nutritional and sensory characteristics. New technologies play a central role in adapting agricultural practices to environmental change. New agricultural practices help to preserve environmental integrity. Competition for an alternative use of natural resources is increasing and agricultural practices and technologies will have to adapt to climate change and more extreme weather-related conditions. This multifunctional approach needs to be directed towards increasing knowledge about the relationship between microstructure, process, product characteristics and technological innovation to protect the quality and origin of products. Innovations are not enough if they are not accompanied by a regulatory environment conducive to business development. Think first of all about the issues of security, rationalization of controls and the embargo of bureaucracy. But also, to the sustainability of food production and the need for common rules on supply conditions in crucial international commodity markets for the developm</w:t>
      </w:r>
    </w:p>
    <w:p>
      <w:pPr/>
      <w:r>
        <w:rPr>
          <w:b/>
        </w:rPr>
        <w:t>POSSIBLE 2022:</w:t>
      </w:r>
      <w:r>
        <w:t xml:space="preserve"> role of trade unions in sport - the essence, features and perspectives — https://doi.org/10.12775/jehs.2022.12.10.009</w:t>
      </w:r>
    </w:p>
    <w:p>
      <w:pPr/>
      <w:r>
        <w:rPr>
          <w:b/>
        </w:rPr>
        <w:t>Shared claim-specific concepts:</w:t>
      </w:r>
      <w:r>
        <w:t xml:space="preserve"> taking, trade, perspective; EU scope visible. This is a provisional connection, not an outcome finding.</w:t>
      </w:r>
    </w:p>
    <w:p>
      <w:pPr>
        <w:pStyle w:val="SourceNote"/>
      </w:pPr>
      <w:r>
        <w:rPr>
          <w:b/>
        </w:rPr>
        <w:t>Available abstract (not full text):</w:t>
      </w:r>
      <w:r>
        <w:t xml:space="preserve"> Trade unions play an important role in organizing activities in the field of labour law, although some representatives of the doctrine believe that the ruling powers of trade unions are in fact administrative in nature. The role of trade unions is important in all sectors of the economy, including sports. In many European countries, trade unions in sport play a key role in ensuring that players’ right are respected. The potential of trade unions in Poland is still not fully used. The aim of this article is to analyse the role of trade unions in sport by determining their features and perspectives, in particular taking into account the extension of the subjective scope of the coalition right after the amendment to the Trade Unions Act. The deliberations will lead to an answer to the question: Is it finally time for trade unions in the professional sport sector or is it still a distant perspective? The article uses the dogmatic and legal method, and also indicates foreign solutions in relation to the comparative method. The considerations present legal solutions in the USA, England and the Netherlands. The deliberations concern both labor law and sports law. The main conclusion from the conducted research is that there are formal and legal possibilities for trade unions to play a more important role in the medium and long term, however, there is no specific entity or group of ent</w:t>
      </w:r>
    </w:p>
    <w:p>
      <w:pPr/>
      <w:r>
        <w:rPr>
          <w:b/>
        </w:rPr>
        <w:t>POSSIBLE 2021:</w:t>
      </w:r>
      <w:r>
        <w:t xml:space="preserve"> Perspectives on Trade and Structural Transformation — https://doi.org/10.3386/w28720</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macro-models to advance our understanding of structural change.</w:t>
      </w:r>
    </w:p>
    <w:p>
      <w:pPr>
        <w:pStyle w:val="Heading2"/>
      </w:pPr>
      <w:r>
        <w:t>734.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r>
        <w:rPr>
          <w:b/>
        </w:rPr>
        <w:t>POSSIBLE 2025:</w:t>
      </w:r>
      <w:r>
        <w:t xml:space="preserve"> THE EFFECTS OF MIGRATION ON FAMILY DYNAMICS: A CASE STUDY OF IMMIGRANT FAMILIES IN EUROPE — https://openalex.org/W7220292679</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paper examines the impact of migration on family structures and intergenerational relationships among immigrant populations in Europe, with a focus on how family policies and socio-cultural contexts shape these dynamics. Using data from longitudinal surveys and international datasets, the study investigates how migration influences fertility patterns, work-family balance, and the living arrangements of immigrant families. The research reveals that while host-country policies can facilitate the integration of immigrant families, they often present challenges, particularly for women, due to gendered policies and cultural barriers. The study underscores the importance of adapting family policies to the diverse needs of immigrant populations, promoting a more inclusive approach to integration that takes into account the intersection of migration, gender, and cultural norms.</w:t>
      </w:r>
    </w:p>
    <w:p>
      <w:pPr/>
      <w:r>
        <w:rPr>
          <w:b/>
        </w:rPr>
        <w:t>POSSIBLE 2025:</w:t>
      </w:r>
      <w:r>
        <w:t xml:space="preserve"> #3416 Development and validation of a prediction model for progression of CKD in European children — https://doi.org/10.1093/ndt/gfaf116.0556</w:t>
      </w:r>
    </w:p>
    <w:p>
      <w:pPr/>
      <w:r>
        <w:rPr>
          <w:b/>
        </w:rPr>
        <w:t>Shared claim-specific concepts:</w:t>
      </w:r>
      <w:r>
        <w:t xml:space="preserve"> data, used, regarding, objective; EU scope visible. This is a provisional connection, not an outcome finding.</w:t>
      </w:r>
    </w:p>
    <w:p>
      <w:pPr>
        <w:pStyle w:val="SourceNote"/>
      </w:pPr>
      <w:r>
        <w:rPr>
          <w:b/>
        </w:rPr>
        <w:t>Available abstract (not full text):</w:t>
      </w:r>
      <w:r>
        <w:t xml:space="preserve"> Abstract Background and Aims Families and children with chronic kidney disease (CKD) often request prognostic information regarding their child's condition in order to understand its implications and plan for the future. However, prediction of when a child will progress to kidney failure and need kidney replacement therapy (KRT) remains challenging, which complicates planning for dialysis access and transplant. The Kidney Failure Risk Equation (KFRE) has been shown to accurately discriminate risk of progression to kidney failure in children with mild to moderate CKD in the US but has some pitfalls. Our objective was to develop and validate a new easy-to-operate prediction model for progression of CKD in European children. Method We used data from the Cardiovascular Comorbidity in Children with CKD (4C) study for model development and from the ESCAPE trial for model validation. A new model (called « 4C equation ») was developed based on clinically relevant variables and variable selection using Random Survival Forest. The primary predictor was the new model which provides estimates of the risk of KRT over a 1-, 2-, 3-, and 4-year horizon. The model is a super landmark Cox model including 8 variables accounting for the last available value of all predictors at each landmark time (0,1,2,3,4 years). Comparisons were made with the KFRE. AUCs were used to compare discrimination of th</w:t>
      </w:r>
    </w:p>
    <w:p>
      <w:pPr/>
      <w:r>
        <w:rPr>
          <w:b/>
        </w:rPr>
        <w:t>POSSIBLE 2024:</w:t>
      </w:r>
      <w:r>
        <w:t xml:space="preserve"> Elucidating the migrations of European seabass from the southern north sea using mark-recapture data, acoustic telemetry and data storage tags — https://doi.org/10.1038/s41598-024-63347-7</w:t>
      </w:r>
    </w:p>
    <w:p>
      <w:pPr/>
      <w:r>
        <w:rPr>
          <w:b/>
        </w:rPr>
        <w:t>Shared claim-specific concepts:</w:t>
      </w:r>
      <w:r>
        <w:t xml:space="preserve"> data, migration, population, countries; EU scope visible. This is a provisional connection, not an outcome finding.</w:t>
      </w:r>
    </w:p>
    <w:p>
      <w:pPr>
        <w:pStyle w:val="SourceNote"/>
      </w:pPr>
      <w:r>
        <w:rPr>
          <w:b/>
        </w:rPr>
        <w:t>Available abstract (not full text):</w:t>
      </w:r>
      <w:r>
        <w:t xml:space="preserve"> The movement ecology of European seabass, Dicentrarchus labrax, remains poorly understood, especially in the northern ranges of its distribution. To investigate migration patterns of seabass from the southern North Sea, we combined data from different projects from four countries using various tagging techniques. This resulted in 146 recaptures (out of 5598 externally marked seabass), 138 detected animals (out of 162 seabass fitted with an acoustic transmitter) and 76 archived depth and temperature series (out of 323 seabass with an archival tag). Using geolocation modelling, we distinguished different migration strategies, whereby individual fish migrated to the eastern English Channel (15.1%), the western English Channel (28.3%), the Celtic Sea and the norther part of the Bay of Biscay (17.0%), or stayed in the North Sea (39.6%). A high number of seabass exhibited fidelity to the North Sea (90.5% of recaptures, 55.3% for acoustic transmitters and 44.7% of archival tags). Although seabass are generally considered to migrate southwards in winter, a large number of individuals (n = 62) were observed in the southern North Sea, where spawning might potentially occur in a particular deep location along the coast of Norfolk in the UK. Our results highlight the need to consider fine-scaled population structuring in fisheries assessment, and indicate that current seasonal fisheries cl</w:t>
      </w:r>
    </w:p>
    <w:p>
      <w:pPr/>
      <w:r>
        <w:rPr>
          <w:b/>
        </w:rPr>
        <w:t>POSSIBLE 2023:</w:t>
      </w:r>
      <w:r>
        <w:t xml:space="preserve"> Using Registration Data to Measure International and Internal Migration in the European Union: S. Makaryan — https://doi.org/10.1007/978-3-031-19631-7_41</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Mapping and modelling the main determinants of Migration Flows at the NUTS2 Level in European Union using Spatial Data Analysis Techniques — https://doi.org/10.2478/mmcks-2023-0032</w:t>
      </w:r>
    </w:p>
    <w:p>
      <w:pPr/>
      <w:r>
        <w:rPr>
          <w:b/>
        </w:rPr>
        <w:t>Shared claim-specific concepts:</w:t>
      </w:r>
      <w:r>
        <w:t xml:space="preserve"> data, migration, flows, between, international, countries; EU scope visible. This is a provisional connection, not an outcome finding.</w:t>
      </w:r>
    </w:p>
    <w:p>
      <w:pPr>
        <w:pStyle w:val="SourceNote"/>
      </w:pPr>
      <w:r>
        <w:rPr>
          <w:b/>
        </w:rPr>
        <w:t>Available abstract (not full text):</w:t>
      </w:r>
      <w:r>
        <w:t xml:space="preserve"> Abstract Spatial data analysis approaches have grown in popularity in recent years as there has been an increased interest in studying migration at the regional level. We employed in our analysis the Nomenclature of Territorial Units for Statistics (NUTS) level, which offers a more thorough view of migratory patterns inside a nation as well as among EU countries.Using spatial data analytic tools, this research aims to investigate the key determinants of international migration at the NUTS2 level. Using data from the Eurostat database, we undertake an extensive analysis of migration movements in a sample of European Union countries. We apply spatial econometric models to examine the relationship between crude rate migration and other relevant variables as independent variables. Although the available data at the NUTS2 level of regional ranking are limited, we believe that we included the most comprehensive set of relevant variables in our analysis.Our study contributes to the existing literature on migration determinants by highlighting the importance of spatial analysis techniques in understanding migration factors at the NUTS2 level.</w:t>
      </w:r>
    </w:p>
    <w:p>
      <w:pPr>
        <w:pStyle w:val="Heading2"/>
      </w:pPr>
      <w:r>
        <w:t>735.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2024:</w:t>
      </w:r>
      <w:r>
        <w:t xml:space="preserve"> Reconceptualizing Interregionalism through Asia-Europe Meeting (ASEM): A Corpus-Assisted Critical Discourse Analysis — https://openalex.org/W4414920263</w:t>
      </w:r>
    </w:p>
    <w:p>
      <w:pPr/>
      <w:r>
        <w:rPr>
          <w:b/>
        </w:rPr>
        <w:t>Shared claim-specific concepts:</w:t>
      </w:r>
      <w:r>
        <w:t xml:space="preserve"> proposes, discursive, possible, outcomes; EU scope visible. This is a provisional connection, not an outcome finding.</w:t>
      </w:r>
    </w:p>
    <w:p>
      <w:pPr>
        <w:pStyle w:val="SourceNote"/>
      </w:pPr>
      <w:r>
        <w:rPr>
          <w:b/>
        </w:rPr>
        <w:t>Available abstract (not full text):</w:t>
      </w:r>
      <w:r>
        <w:t xml:space="preserve"> Asia-Europe Meeting (ASEM) was formed three decades ago to intensify European and Asian relations. Today, it constitutes the widest interregional dialogue mechanism covering 53 countries from Europe to Asia, and it is a special case for regionalism studies. The literature on ASEM discusses its scope, structure, means of cooperation, and possible future scenarios. Yet, the current studies lack an empirical data-based analysis of which themes shape cooperation processes, how regional and international issues reflect upon ASEM, and the extent of change in cooperation themes. In that regard, this study aims to examine ASEM to answer these questions. By using Corpus-Assisted Critical Discourse Analysis (CACDA), this research analyzes the chair’s statements from ASEM Summits between 1996 and 2021 to identify discursive themes, their chronological shifts, and their alignment with ASEM’s three pillars: political, economic, and socio-cultural. The research findings reveal that ASEM functions as an intergovernmental forum facilitating interregional dialogue on shared regional and global issues despite criticisms of lacking enforceable outcomes. The study underlines ASEM’s role in fostering dialogue between Asia and Europe and proposes reconceptualizing interregionalism as an integral component of multilateral governance.</w:t>
      </w:r>
    </w:p>
    <w:p>
      <w:pPr/>
      <w:r>
        <w:rPr>
          <w:b/>
        </w:rPr>
        <w:t>POSSIBLE 2023:</w:t>
      </w:r>
      <w:r>
        <w:t xml:space="preserve"> Reconceptualizing Violence in International and Comparative Education: Revisiting Galtung’s Framework — https://doi.org/10.1086/726372</w:t>
      </w:r>
    </w:p>
    <w:p>
      <w:pPr/>
      <w:r>
        <w:rPr>
          <w:b/>
        </w:rPr>
        <w:t>Shared claim-specific concepts:</w:t>
      </w:r>
      <w:r>
        <w:t xml:space="preserve"> proposes, form, about; EU scope not established. This is a provisional connection, not an outcome finding.</w:t>
      </w:r>
    </w:p>
    <w:p>
      <w:pPr>
        <w:pStyle w:val="SourceNote"/>
      </w:pPr>
      <w:r>
        <w:rPr>
          <w:b/>
        </w:rPr>
        <w:t>Available abstract (not full text):</w:t>
      </w:r>
      <w:r>
        <w:t xml:space="preserve"> Outside of a specialist literature, the study of violence occupies a marginal position within comparative and international education scholarship. A key contributing factor is the absence of a holistic conceptual framework that can capture the nature, extent and causes of violence in education. The article proposes such a framework, by updating Johan Galtung’s model of direct, structural and cultural violence and putting it into dialogue with more recent theoretical work from the social sciences and humanities. This dialogue affirms the importance of each form of violence and the interconnections between them but proposes a deeper appreciation of the depth ontology of violence and a reappraisal of Galtung’s ideas about the visibility and invisibilization of violence. The article explores the utility of the framework by using it to explore the so-called learning crisis, which it argues may be more accurately considered a crisis of violence.</w:t>
      </w:r>
    </w:p>
    <w:p>
      <w:pPr/>
      <w:r>
        <w:rPr>
          <w:b/>
        </w:rPr>
        <w:t>POSSIBLE 2022:</w:t>
      </w:r>
      <w:r>
        <w:t xml:space="preserve"> The right to a healthy environment: Reconceptualizing human rights in the face of climate change — https://doi.org/10.1111/reel.12430</w:t>
      </w:r>
    </w:p>
    <w:p>
      <w:pPr/>
      <w:r>
        <w:rPr>
          <w:b/>
        </w:rPr>
        <w:t>Shared claim-specific concepts:</w:t>
      </w:r>
      <w:r>
        <w:t xml:space="preserve"> reconceptualization, climate, face; EU scope not established. This is a provisional connection, not an outcome finding.</w:t>
      </w:r>
    </w:p>
    <w:p>
      <w:pPr>
        <w:pStyle w:val="SourceNote"/>
      </w:pPr>
      <w:r>
        <w:rPr>
          <w:b/>
        </w:rPr>
        <w:t>Available abstract (not full text):</w:t>
      </w:r>
      <w:r>
        <w:t xml:space="preserve"> Abstract There is hardly any doubt that climate change threatens the enjoyment of a wide range of human rights. Yet, in the absence of a distinct right to a healthy environment, a victim of climate change impacts would have to rely on existing rights to bring a claim. However, not only are these avenues not always successful or even sufficient to effectively and adequately compensate the victims, but they appear especially problematic in the context of climate change. This article explores the implications of the recognition of a stand‐alone substantive right to a healthy environment in the context of climate change. In doing so, it argues that such a recognition could trigger a paradigm shift that would facilitate the reconceptualization of human rights law to better adapt to the negative impacts of climate change, in particular by incorporating key environmental law principles in the human rights system.</w:t>
      </w:r>
    </w:p>
    <w:p>
      <w:pPr/>
      <w:r>
        <w:rPr>
          <w:b/>
        </w:rPr>
        <w:t>POSSIBLE 2022:</w:t>
      </w:r>
      <w:r>
        <w:t xml:space="preserve"> Reconceptualization of Inclusion through Anti-Bias Curriculum — https://doi.org/10.18357/jcs202220271</w:t>
      </w:r>
    </w:p>
    <w:p>
      <w:pPr/>
      <w:r>
        <w:rPr>
          <w:b/>
        </w:rPr>
        <w:t>Shared claim-specific concepts:</w:t>
      </w:r>
      <w:r>
        <w:t xml:space="preserve"> reconceptualization, discursive, construction; EU scope not established. This is a provisional connection, not an outcome finding.</w:t>
      </w:r>
    </w:p>
    <w:p>
      <w:pPr>
        <w:pStyle w:val="SourceNote"/>
      </w:pPr>
      <w:r>
        <w:rPr>
          <w:b/>
        </w:rPr>
        <w:t>Available abstract (not full text):</w:t>
      </w:r>
      <w:r>
        <w:t xml:space="preserve"> Tensions can arise when biased thoughts and practices are uncovered through discursive events in early years classrooms. This paper challenges the common practice of disregarding childhood curiosities in an attempt to ease tension and remove the risk of discomfort for some adults in caregiving and educating roles. Through a conceptual shift from a futurity of inclusion to an urgent call to action that problematizes the exclusion of nonhuman subjects within the curriculum, the construction and implementation of anti-bias curriculum is offered as a vehicle to the realization of holistically inclusive early learning spaces.</w:t>
      </w:r>
    </w:p>
    <w:p>
      <w:pPr/>
      <w:r>
        <w:rPr>
          <w:b/>
        </w:rPr>
        <w:t>POSSIBLE 2021:</w:t>
      </w:r>
      <w:r>
        <w:t xml:space="preserve"> Reconceptualizing STEM Education in China as Praxis: A Curriculum Turn — https://doi.org/10.3390/su13094961</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STEM education has drawn considerable international attention in recent decades. Current practices of STEM Education in China have shown that STEM is understood primarily as a policy-driven and economic problem. This paper challenges the reduced technical frameworks of STEM education and draws on the theoretical framework of the reconceptualization movement in the curriculum field. It aims to shift scientific or social science paradigms with languages of humanity to reapproach STEM education. STEM education is hence reconceptualized as praxis in its lived, ethical and historical dimensions. It would transform STEM education in China from being targeted for economic growth to attending to lived, nuanced and rich STEM experiences, structured by ethics and threaded by history. STEM teachers and teacher educators are advised to understand anew about STEM in their situatedness. STEM could serve as an opportunity to critically reflect on and research each discipline in greater depth with inter-disciplinary lenses. Instead of integrating science, technology, engineering and mathematics seamlessly to form omnipotent toolsets for the 21st-century workforce in China and on the international landscape, a reconceptualization of STEM as praxis could continue to generate more sustainable STEM education.</w:t>
      </w:r>
    </w:p>
    <w:p>
      <w:pPr/>
      <w:r>
        <w:rPr>
          <w:b/>
        </w:rPr>
        <w:t>POSSIBLE 2020:</w:t>
      </w:r>
      <w:r>
        <w:t xml:space="preserve"> Thinking Europe Otherwise: Lessons from the Caribbean — https://doi.org/10.1177/0011392120931139</w:t>
      </w:r>
    </w:p>
    <w:p>
      <w:pPr/>
      <w:r>
        <w:rPr>
          <w:b/>
        </w:rPr>
        <w:t>Shared claim-specific concepts:</w:t>
      </w:r>
      <w:r>
        <w:t xml:space="preserve"> reconceptualization, discursive, racialized; EU scope visible. This is a provisional connection, not an outcome finding.</w:t>
      </w:r>
    </w:p>
    <w:p>
      <w:pPr>
        <w:pStyle w:val="SourceNote"/>
      </w:pPr>
      <w:r>
        <w:rPr>
          <w:b/>
        </w:rPr>
        <w:t>Available abstract (not full text):</w:t>
      </w:r>
      <w:r>
        <w:t xml:space="preserve"> The article makes a case for Europe as a creolized space, or Europe Otherwise. It argues that, in order to account for both the transregional entanglements and the internal hierarchies that European colonialism and imperialism have produced since at least the sixteenth century, we need to unlearn received notions of Europe as an unmarked category; and that theoretical and empirical lessons from the Caribbean are central to relearning Europe differently. To conceive of Europe as a creolized space thus means to draw attention to the decisive shifts that its colonial possessions operate in both its historical legacies and its present borders when consistently taken into account. Such reconceptualization entails a simultaneous creolization of theory so as to reinscribe into sociological thought the experiences of peoples and regions racialized as non-European, non-Western, and non-White alongside the multiple entanglements between Europe and its colonies. Drawing on Caribbean perspectives on creolization, I first discuss how creolizing Europe contributes to countering the definition power of ahistorical and unmarked categories. Subsequently, I propose to rethink Europe as a political, cultural, economic, and discursive formation from its current colonial borders in South America and the Caribbean Sea. Finally, I argue that focusing on Europe’s colonial possessions in the Caribbean </w:t>
      </w:r>
    </w:p>
    <w:p>
      <w:pPr/>
      <w:r>
        <w:rPr>
          <w:b/>
        </w:rPr>
        <w:t>POSSIBLE 2019:</w:t>
      </w:r>
      <w:r>
        <w:t xml:space="preserve"> Euromodernity's Undertone: On Reconceptualizing Political Speech — https://openalex.org/W2943803555</w:t>
      </w:r>
    </w:p>
    <w:p>
      <w:pPr/>
      <w:r>
        <w:rPr>
          <w:b/>
        </w:rPr>
        <w:t>Shared claim-specific concepts:</w:t>
      </w:r>
      <w:r>
        <w:t xml:space="preserve"> about, racialized, others, conditions; EU scope not established. This is a provisional connection, not an outcome finding.</w:t>
      </w:r>
    </w:p>
    <w:p>
      <w:pPr>
        <w:pStyle w:val="SourceNote"/>
      </w:pPr>
      <w:r>
        <w:rPr>
          <w:b/>
        </w:rPr>
        <w:t>Available abstract (not full text):</w:t>
      </w:r>
      <w:r>
        <w:t xml:space="preserve"> This dissertation contends speech is indispensable to politics. It begins with Aristotle, whose conception of political speech grounds our modern understanding. I argue the Aristotelian position is colonizing insofar as it essentializes speech as sound. The consequence is that speech becomes phonocentric, privileging a particular mode of communication. This raises the issue of Deaf subjects who engage politics in non-phonocentric ways. That is, their speech is seen in what I contend is a visual vernacular. Subsequently, I turn to the issue of race. If Deaf subjects raise questions about what it means to speak, Black subjects, who speak audibly and are still unheard, raise a correspondent question: What does it mean to be heard? Within Euromodernity, I contend political speech becomes essentialized and racialized. Here, particular human beings (whites) are deemed as deserving of being heard, while others (Blacks) are silenced and thus, rendered speechless.\nIn response to these conditions, I argue Black and Deaf subjects do speak and their speech challenges existing hegemonic, colonized forms. Black and Deaf political speech allow for the creation of Black and Deaf lifeworlds, an articulation of their own ways of existing in the social world. The result is a project actualizing freedom. Ultimately, I posit a creolizing of political speech, a mixing of Deaf and Black existential </w:t>
      </w:r>
    </w:p>
    <w:p>
      <w:pPr>
        <w:pStyle w:val="Heading2"/>
      </w:pPr>
      <w:r>
        <w:t>736.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2023:</w:t>
      </w:r>
      <w:r>
        <w:t xml:space="preserve"> The Portuguese Case — https://openalex.org/W7111493077</w:t>
      </w:r>
    </w:p>
    <w:p>
      <w:pPr/>
      <w:r>
        <w:rPr>
          <w:b/>
        </w:rPr>
        <w:t>Shared claim-specific concepts:</w:t>
      </w:r>
      <w:r>
        <w:t xml:space="preserve"> case, portugal, regarding; EU scope visible. This is a provisional connection, not an outcome finding.</w:t>
      </w:r>
    </w:p>
    <w:p>
      <w:pPr>
        <w:pStyle w:val="SourceNote"/>
      </w:pPr>
      <w:r>
        <w:rPr>
          <w:b/>
        </w:rPr>
        <w:t>Available abstract (not full text):</w:t>
      </w:r>
      <w:r>
        <w:t xml:space="preserve"> This article discusses recent historiographical trends regarding the evolution of warfare in Portugal and its overseas empire in the early modern period. It presents a reassessment of the state of art on the Portuguese case in the early modern world (in the kingdom of Portugal in Europe and its overseas empire), followed by some contributions for an ongoing research agenda. It is divided in three parts, presenting overviews of the situation in Europe, overseas and at sea. It concludes that it is difficult to sustain that the Portuguese case supports the case for a link between an alleged military revolution and unilinear state-formation or Western military exceptionalism</w:t>
      </w:r>
    </w:p>
    <w:p>
      <w:pPr/>
      <w:r>
        <w:rPr>
          <w:b/>
        </w:rPr>
        <w:t>POSSIBLE 2023:</w:t>
      </w:r>
      <w:r>
        <w:t xml:space="preserve"> Incidence of Lyme Borreliosis in Europe: A Systematic Review (2005–2020) — https://doi.org/10.1089/vbz.2022.0070</w:t>
      </w:r>
    </w:p>
    <w:p>
      <w:pPr/>
      <w:r>
        <w:rPr>
          <w:b/>
        </w:rPr>
        <w:t>Shared claim-specific concepts:</w:t>
      </w:r>
      <w:r>
        <w:t xml:space="preserve"> case, northern, portugal, used, local; EU scope visible. This is a provisional connection, not an outcome finding.</w:t>
      </w:r>
    </w:p>
    <w:p>
      <w:pPr>
        <w:pStyle w:val="SourceNote"/>
      </w:pPr>
      <w:r>
        <w:rPr>
          <w:b/>
        </w:rPr>
        <w:t>Available abstract (not full text):</w:t>
      </w:r>
      <w:r>
        <w:t xml:space="preserve"> Background: Lyme borreliosis (LB) is the most common tick-borne disease in Europe, but the burden of disease is incompletely described. Methods: We conducted a systematic review across PubMed, EMBASE, and CABI Direct (Global Health) databases, from January 1, 2005, to November 20, 2020, of epidemiological studies reporting incidence of LB in Europe (PROSPERO, CRD42021236906). Results: The systematic review yielded 61 unique articles describing LB incidence (national or subnational) in 25 European countries. Substantial heterogeneity in study designs, populations sampled, and case definitions restricted data comparability. The European Union Concerted Action on Lyme Borreliosis (EUCALB)–published standardized LB case definitions were used by only 13 (21%) of the 61 articles. There were 33 studies that provided national-level LB incidence estimates for 20 countries. Subnational LB incidence was available from an additional four countries (Italy, Lithuania, Norway, and Spain). The highest LB incidences (&gt;100 cases per 100,000 population per year [PPY]) were reported in Belgium, Finland, the Netherlands, and Switzerland. Incidences were 20–40/100,000 PPY in the Czech Republic, Germany, Poland, and Scotland and &lt;20/100,000 PPY in Belarus, Croatia, Denmark, France, Ireland, Portugal, Russia, Slovakia, Sweden, and the United Kingdom (England, Northern Ireland, and Wales); markedly hig</w:t>
      </w:r>
    </w:p>
    <w:p>
      <w:pPr/>
      <w:r>
        <w:rPr>
          <w:b/>
        </w:rPr>
        <w:t>POSSIBLE 2023:</w:t>
      </w:r>
      <w:r>
        <w:t xml:space="preserve"> Ten questions concerning residential overheating in Central and Northern Europe — https://doi.org/10.1016/j.buildenv.2023.110154</w:t>
      </w:r>
    </w:p>
    <w:p>
      <w:pPr/>
      <w:r>
        <w:rPr>
          <w:b/>
        </w:rPr>
        <w:t>Shared claim-specific concepts:</w:t>
      </w:r>
      <w:r>
        <w:t xml:space="preserve"> northern, questions, experts; EU scope visible. This is a provisional connection, not an outcome finding.</w:t>
      </w:r>
    </w:p>
    <w:p>
      <w:pPr>
        <w:pStyle w:val="SourceNote"/>
      </w:pPr>
      <w:r>
        <w:rPr>
          <w:b/>
        </w:rPr>
        <w:t>Available abstract (not full text):</w:t>
      </w:r>
      <w:r>
        <w:t xml:space="preserve"> Rising global temperatures and more frequent heatwaves due to climate change have led to a growing body of research and increased policy focus on how to protect against the adverse effects of heat. In cold and temperate Europe, dwellings have traditionally been designed for cold protection rather than heat mitigation. There is, therefore, a need to understand the mechanisms through which indoor overheating can occur, its effects on occupants and energy consumption, and how we can design, adapt, and operate buildings during warm weather to improve thermal comfort and reduce cooling energy consumption. This paper brings together experts in overheating from across Europe to explore 10 key questions about the causes and risks from overheating in residential settings in Central and Northern Europe, including the way in which we define and measure overheating, its impacts, and its social and policy implications. The focus is not on summarising literature, but rather on identifying the evidence, key challenges and misconceptions, and limitations of current knowledge. Looking ahead, we outline actions needed to adapt, including the (re)design of dwellings, neighbourhoods, and population responses to indoor heat, and the potential shape of these actions. In doing so, we illustrate how heat adaptation is a multi-faceted challenge that requires urgent and coordinated action at multiple le</w:t>
      </w:r>
    </w:p>
    <w:p>
      <w:pPr/>
      <w:r>
        <w:rPr>
          <w:b/>
        </w:rPr>
        <w:t>POSSIBLE 2023:</w:t>
      </w:r>
      <w:r>
        <w:t xml:space="preserve"> Vernacularisation of Documentary Legal Texts in Northern Europe — https://doi.org/10.4312/linguistica.63.1-2.19-39</w:t>
      </w:r>
    </w:p>
    <w:p>
      <w:pPr/>
      <w:r>
        <w:rPr>
          <w:b/>
        </w:rPr>
        <w:t>Shared claim-specific concepts:</w:t>
      </w:r>
      <w:r>
        <w:t xml:space="preserve"> northern, used, questions; EU scope visible. This is a provisional connection, not an outcome finding.</w:t>
      </w:r>
    </w:p>
    <w:p>
      <w:pPr>
        <w:pStyle w:val="SourceNote"/>
      </w:pPr>
      <w:r>
        <w:rPr>
          <w:b/>
        </w:rPr>
        <w:t>Available abstract (not full text):</w:t>
      </w:r>
      <w:r>
        <w:t xml:space="preserve"> At the transition from medieval to early modern Europe, vernaculars became more commonly used in writing in various domain, including administration and law. In the late Middle Ages, vernaculars seem to gain status and start to be regarded as suitable languages for recording municipal matters. But how did this vernacularisation progress in such documentary legal texts? When and why was Latin replaced by vernaculars? To answer these questions, this article presents diachronic quantitative analyses of the language choice in individual entries of two documentary legal sources: the first eight volumes of the Aberdeen Council Registers (1398–1511) and one volume of the Lübecker Niederstadtbuch (1430–1451). The comparative approach to these multilingual texts allows us to trace vernacularisation processes across two language contexts, uncovering similarities and differences between them. In the council registers from Aberdeen, Scots replaced Latin slowly and gradually – a process that took over a century and was far from finished by 1511. In the text from Lübeck, on the other hand, the shift from Latin to Low German was largely completed within about 30 years. In both cases, language practices of the scribes rather than top-down language policies seem to have driven this development. The scribes’ language choices will have been influenced by the use of vernaculars in other texts, inc</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case, northern, used, different;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Balancing Electricity Supply and Demand in a Carbon-Neutral Northern Europe — https://doi.org/10.3390/en16083548</w:t>
      </w:r>
    </w:p>
    <w:p>
      <w:pPr/>
      <w:r>
        <w:rPr>
          <w:b/>
        </w:rPr>
        <w:t>Shared claim-specific concepts:</w:t>
      </w:r>
      <w:r>
        <w:t xml:space="preserve"> northern, combination, different, after;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2022:</w:t>
      </w:r>
      <w:r>
        <w:t xml:space="preserve"> Impact of external cost internalization on short sea shipping – The case of the Portugal-Northern Europe trade — https://doi.org/10.1016/j.trd.2022.103544</w:t>
      </w:r>
    </w:p>
    <w:p>
      <w:pPr/>
      <w:r>
        <w:rPr>
          <w:b/>
        </w:rPr>
        <w:t>Shared claim-specific concepts:</w:t>
      </w:r>
      <w:r>
        <w:t xml:space="preserve"> case, northern, used, regarding, different; EU scope visible. This is a provisional connection, not an outcome finding.</w:t>
      </w:r>
    </w:p>
    <w:p>
      <w:pPr>
        <w:pStyle w:val="SourceNote"/>
      </w:pPr>
      <w:r>
        <w:rPr>
          <w:b/>
        </w:rPr>
        <w:t>Available abstract (not full text):</w:t>
      </w:r>
      <w:r>
        <w:t xml:space="preserve"> This paper presents research on the impact of transportation external costs internalization in the competitiveness of short sea shipping. Numerical methods for calculating emissions and external costs, that consider the full range of technical and operational vehicle characteristics are presented. The impacts of existing and future emission control areas, emissions abatement technologies, types of fuel, ship speed, cargo capacity and utilization factors in the required freight rate are evaluated. Internal and external costs are used to evaluate alternative intermodal chains for a set of pairs origin/destination extending to a range of regions in Northern Europe. Short sea shipping is competitive for a large set of destinations and its scope of competitiveness does not change significantly between different scenarios. Competitiveness regarding external costs shows more variation but, due to the small relative magnitude of these costs, internalization shows a moderate potential for promoting modal shift towards short sea shipping.</w:t>
      </w:r>
    </w:p>
    <w:p>
      <w:pPr/>
      <w:r>
        <w:rPr>
          <w:b/>
        </w:rPr>
        <w:t>POSSIBLE 2022:</w:t>
      </w:r>
      <w:r>
        <w:t xml:space="preserve"> Epidemiological Trends of Human Monkeypox Cases in Northern, Southern, Western, and Eastern Regions in Europe: A Cross-Sectional Study — https://doi.org/10.1155/2022/4042962</w:t>
      </w:r>
    </w:p>
    <w:p>
      <w:pPr/>
      <w:r>
        <w:rPr>
          <w:b/>
        </w:rPr>
        <w:t>Shared claim-specific concepts:</w:t>
      </w:r>
      <w:r>
        <w:t xml:space="preserve"> northern, portugal, different; EU scope visible. This is a provisional connection, not an outcome finding.</w:t>
      </w:r>
    </w:p>
    <w:p>
      <w:pPr>
        <w:pStyle w:val="SourceNote"/>
      </w:pPr>
      <w:r>
        <w:rPr>
          <w:b/>
        </w:rPr>
        <w:t>Available abstract (not full text):</w:t>
      </w:r>
      <w:r>
        <w:t xml:space="preserve"> Background: The growing amount of monkeypox cases in non-endemic regions raises concerns in societies as a potential pandemic. This study highlights the prevalence and epidemiological trends of a human monkeypox outbreak in various regions in Europe. Methods: This cross-sectional study was conducted in the Department of Physiology, College of Medicine, King Saud University, Riyadh, Saudi Arabia. The data about the monkeypox outbreak in European countries were recorded by the World Health Organization (WHO), and Centers for Disease Control and Prevention (CDC) reports. The period prevalence-based data were recorded from Jan 1, 2022, to July 7, 2022, and analyzed, and epidemiological trends were established in different European regions and countries. Results: In Europe, the human monkeypox rapidly spread in all the four subregions and involved 30 European countries, infecting 6077 people. The rising number of monkeypox cases is identified in Western Europe, 2599 (42.76%); Southern Europe, 1932 (31.79%); Northern Europe, 1487 (24.46%); and Eastern Europe, 59 (0.97%). In Western Europe, significant cases are found in Germany (1304), France (604), the Netherlands (352), Belgium (168), and Switzerland (131). In Northern Europe, it is found in the United Kingdom (1351), Ireland (44), Sweden (28), and Denmark (26); in Southern Europe, it is found in Spain (1256), Portugal (415), and I</w:t>
      </w:r>
    </w:p>
    <w:p>
      <w:pPr/>
      <w:r>
        <w:rPr>
          <w:b/>
        </w:rPr>
        <w:t>POSSIBLE 2022:</w:t>
      </w:r>
      <w:r>
        <w:t xml:space="preserve"> The impact of the COVID-19 pandemic on Portuguese events: the case of Northern Portugal — https://doi.org/10.34190/ictr.15.1.209</w:t>
      </w:r>
    </w:p>
    <w:p>
      <w:pPr/>
      <w:r>
        <w:rPr>
          <w:b/>
        </w:rPr>
        <w:t>Shared claim-specific concepts:</w:t>
      </w:r>
      <w:r>
        <w:t xml:space="preserve"> case, northern, portugal, used, regarding; EU scope visible. This is a provisional connection, not an outcome finding.</w:t>
      </w:r>
    </w:p>
    <w:p>
      <w:pPr>
        <w:pStyle w:val="SourceNote"/>
      </w:pPr>
      <w:r>
        <w:rPr>
          <w:b/>
        </w:rPr>
        <w:t>Available abstract (not full text):</w:t>
      </w:r>
      <w:r>
        <w:t xml:space="preserve"> Events, as forms of leisure and tourism, have had an exponential growth, visible in academic studies, but also as a new form of communication. Acting as important tools for territorial dynamization, they are assumed as generators of development opportunities for a region and leverage the positioning of a strong and positive image for tourist destinations. COVID-19 has had an impact on almost all aspects of our life. Many industries have faced significant revenue losses and contracted in terms of their growth and, naturally, one of the worst affected by the pandemic was the events industry. This pandemic crisis has introduced an unparalleled level of doubts regarding the type of events that will take place in the coming years and how they will be produced. Also, with restrictions and a population less willing to be in the physical presence of others, it's important to understand how participants are facing the possibility to attend future events. This research study aims to investigate and understand the impact of the Covid-19 pandemic on the tourism sector, particularly on the events industry, especially in the North of Portugal. It is also analysed how Portuguese were affected by the cancellation and/or postponement of events and also how they anticipate the future of this area. It is also analysed the risk and fear management and its relationship with the pandemic. In methodo</w:t>
      </w:r>
    </w:p>
    <w:p>
      <w:pPr>
        <w:pStyle w:val="Heading2"/>
      </w:pPr>
      <w:r>
        <w:t>737.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2023:</w:t>
      </w:r>
      <w:r>
        <w:t xml:space="preserve"> Interactive robots for health in Europe: Technology readiness and adoption potential — https://doi.org/10.3389/fpubh.2023.979225</w:t>
      </w:r>
    </w:p>
    <w:p>
      <w:pPr/>
      <w:r>
        <w:rPr>
          <w:b/>
        </w:rPr>
        <w:t>Shared claim-specific concepts:</w:t>
      </w:r>
      <w:r>
        <w:t xml:space="preserve"> potential, far; EU scope visible. This is a provisional connection, not an outcome finding.</w:t>
      </w:r>
    </w:p>
    <w:p>
      <w:pPr>
        <w:pStyle w:val="SourceNote"/>
      </w:pPr>
      <w:r>
        <w:rPr>
          <w:b/>
        </w:rPr>
        <w:t>Available abstract (not full text):</w:t>
      </w:r>
      <w:r>
        <w:t xml:space="preserve"> Introduction: Social robots are accompanied by high expectations of what they can bring to society and in the healthcare sector. So far, promising assumptions have been presented about how and where social robots are most relevant. We know that the industry has used robots for a long time, but what about social uptake outside industry, specifically, in the healthcare sector? This study discusses what trends are discernible, to better understand the gap between technology readiness and adoption of interactive robots in the welfare and health sectors in Europe. Methods: An assessment of interactive robot applications at the upper levels of the Technology Readiness Level scale is combined with an assessment of adoption potential based on Rogers' theory of diffusion of innovation. Most robot solutions are dedicated to individual rehabilitation or frailty and stress. Fewer solutions are developed for managing welfare services or public healthcare. Results: The results show that while robots are ready from the technological point of view, most of the applications had a low score for demand according to the stakeholders. Discussion: To enhance social uptake, a more initiated discussion, and more studies on the connections between technology readiness and adoption and use are suggested. Applications being available to users does not mean they have an advantage over previous solutions. </w:t>
      </w:r>
    </w:p>
    <w:p>
      <w:pPr/>
      <w:r>
        <w:rPr>
          <w:b/>
        </w:rPr>
        <w:t>POSSIBLE 2022:</w:t>
      </w:r>
      <w:r>
        <w:t xml:space="preserve"> Evaluation of laboratory test methods for assessing the alkali-reactivity potential of aggregates by field site tests — https://doi.org/10.3989/mc.2022.17221</w:t>
      </w:r>
    </w:p>
    <w:p>
      <w:pPr/>
      <w:r>
        <w:rPr>
          <w:b/>
        </w:rPr>
        <w:t>Shared claim-specific concepts:</w:t>
      </w:r>
      <w:r>
        <w:t xml:space="preserve"> test, potential, method, sites; EU scope visible. This is a provisional connection, not an outcome finding.</w:t>
      </w:r>
    </w:p>
    <w:p>
      <w:pPr>
        <w:pStyle w:val="SourceNote"/>
      </w:pPr>
      <w:r>
        <w:rPr>
          <w:b/>
        </w:rPr>
        <w:t>Available abstract (not full text):</w:t>
      </w:r>
      <w:r>
        <w:t xml:space="preserve"> Field site tests were carried out to assess the reliability of the tests developed by RILEM and some regional tests to evaluate the alkali-reactivity potential of aggregates (eight tests were included). One hundred concrete cubes made with 13 different European aggregate combinations were stored on eight different European field sites to compare their expansions with the laboratory test results. All highly reactive aggregate combinations caused significant expansion of concrete cubes within the first six years on all field sites from Norway to Spain. These and the non-reactive aggregate combinations were correctly identified with all laboratory tests. Concrete cubes with moderately reactive aggregate combinations expanded very slowly and mainly in the outdoor exposure sites with warm climate conditions. The RILEM test method AAR-4.1 (60°C accelerated concrete prism test) and the Norwegian concrete prism test at 38°C seem to be best suited to identity the potential reactivity of moderately reactive aggregate combinations.</w:t>
      </w:r>
    </w:p>
    <w:p>
      <w:pPr/>
      <w:r>
        <w:rPr>
          <w:b/>
        </w:rPr>
        <w:t>POSSIBLE 2022:</w:t>
      </w:r>
      <w:r>
        <w:t xml:space="preserve"> Exploring the Potential of Mobile Laser Scanning to Quantify Forest Structural Complexity — https://doi.org/10.3389/frsen.2022.861337</w:t>
      </w:r>
    </w:p>
    <w:p>
      <w:pPr/>
      <w:r>
        <w:rPr>
          <w:b/>
        </w:rPr>
        <w:t>Shared claim-specific concepts:</w:t>
      </w:r>
      <w:r>
        <w:t xml:space="preserve"> potential, several, exploring; EU scope visible. This is a provisional connection, not an outcome finding.</w:t>
      </w:r>
    </w:p>
    <w:p>
      <w:pPr>
        <w:pStyle w:val="SourceNote"/>
      </w:pPr>
      <w:r>
        <w:rPr>
          <w:b/>
        </w:rPr>
        <w:t>Available abstract (not full text):</w:t>
      </w:r>
      <w:r>
        <w:t xml:space="preserve"> Today, creating or maintaining forest structural complexity is a management paradigm in many countries due to the positive relationships between structural complexity and several forest functions and services. In this study, we tested whether the box-dimension (D b ), a holistic and objective measure to describe the structural complexity of trees or forests, can be used to quantify the structural complexity of 14 European beech ( Fagus sylvatica L.) dominated forest plots by means of mobile laser scanning (MLS). The goal of this study was to explore the potential of this approach for quantifying the effect of leaves (summer vs winter) and management (lately unmanaged vs managed) on forest structural complexity. The findings suggest that repeated measurements on the same site and at the same time yielded consistent results if the measuring scheme is standardized. The results also showed that standardized measurement protocols allowed quantifying differences in forest structural complexity due to season. The highest stand structural complexity was found in leaf-on condition during summer, with the complexity being significantly higher than in winter condition. Also, in case of our beech-dominated plots, managed forests were more complex in structure than formerly managed but now unmanaged forests. This study illustrates the potential of MLS for monitoring the changes in forest st</w:t>
      </w:r>
    </w:p>
    <w:p>
      <w:pPr/>
      <w:r>
        <w:rPr>
          <w:b/>
        </w:rPr>
        <w:t>POSSIBLE 2022:</w:t>
      </w:r>
      <w:r>
        <w:t xml:space="preserve"> Giardia duodenalis in Wildlife: Exploring Genotype Diversity in Italy and across Europe — https://doi.org/10.3390/pathogens11010105</w:t>
      </w:r>
    </w:p>
    <w:p>
      <w:pPr/>
      <w:r>
        <w:rPr>
          <w:b/>
        </w:rPr>
        <w:t>Shared claim-specific concepts:</w:t>
      </w:r>
      <w:r>
        <w:t xml:space="preserve"> exploring, far, find; EU scope visible. This is a provisional connection, not an outcome finding.</w:t>
      </w:r>
    </w:p>
    <w:p>
      <w:pPr>
        <w:pStyle w:val="SourceNote"/>
      </w:pPr>
      <w:r>
        <w:rPr>
          <w:b/>
        </w:rPr>
        <w:t>Available abstract (not full text):</w:t>
      </w:r>
      <w:r>
        <w:t xml:space="preserve"> Fragmented data are so far available on genotype diversity of G. duodenalis in wildlife in different countries in Europe, in particular, in Italy. In the present study, G. duodenalis sequences obtained from different Italian wild animals [12 porcupines (Hystrix cristata), 4 wild boars (Sus scrofa), 1 wolf (Canis lupus italicus), 6 Alpine chamois (Rupicapra rupicapra rupicapra)] were compared with those available from wild host species in Europe to add new data on the geographic distribution of Giardia assemblages/sub-assemblages and their transmission patterns among natural hosts. Thirty-eight sequences were obtained by MLG analysis (SSU-rRNA, bg, gdh, and tpi genes) and subsequently compared by phylogenetic and network analyses with those from wild species monitored in the last decades in Europe. The results revealed the presence of potentially zoonotic (A-AI, A-AII from wild boar; B from porcupine) and host-adapted (D from wolf; E, A-AIII from chamois) assemblages and sub-assemblages and represent the first report for Italian wild boar. The analysis did not find any evidence of spatial or host segregation for specific genetic variants, mostly shared between different hosts from different European countries. However, conflicting evidence was found in genotypic assignment, advocating for data improvement and new genomic approaches.</w:t>
      </w:r>
    </w:p>
    <w:p>
      <w:pPr/>
      <w:r>
        <w:rPr>
          <w:b/>
        </w:rPr>
        <w:t>POSSIBLE 2021:</w:t>
      </w:r>
      <w:r>
        <w:t xml:space="preserve"> Testing UNFC as a harmonized supporting tool for resource management in Europe — https://doi.org/10.5194/egusphere-egu21-15566</w:t>
      </w:r>
    </w:p>
    <w:p>
      <w:pPr/>
      <w:r>
        <w:rPr>
          <w:b/>
        </w:rPr>
        <w:t>Shared claim-specific concepts:</w:t>
      </w:r>
      <w:r>
        <w:t xml:space="preserve"> test, potential; EU scope visible. This is a provisional connection, not an outcome finding.</w:t>
      </w:r>
    </w:p>
    <w:p>
      <w:pPr>
        <w:pStyle w:val="SourceNote"/>
      </w:pPr>
      <w:r>
        <w:rPr>
          <w:b/>
        </w:rPr>
        <w:t>Available abstract (not full text):</w:t>
      </w:r>
      <w:r>
        <w:t xml:space="preserve"> With the global increase in raw material demand comes the need for harmonized supporting tools for sustainable resource management in Europe. Europe needs to assess their resource potential, but the European countries do not have a common tool to aggregate information for continent-wide resource inventories. The United Nations Framework Classification for Resources (UNFC) is a system that may be used for this purpose. One of the specific tasks in the MINTELL4EU project under the GeoERA programme is to test if the European geological surveys will be able to use UNFC as a tool to evaluate a country’s known and potential resources across variable levels of knowledge. The project will also show, if the application of UNFC can provide better harmonization of mineral resource data nationally and across Europe. The work on UNFC in MINTELL4EU is based on case studies to gain experience. Based on the knowledge and lessons learned from the case studies, guidelines and recommendations for further work will be given. Preliminary results show that there is a need for a more harmonized system and that stricter guidelines are required. On top of this, there are different levels of experience in UNFC among the European geological surveys, and the approach and methods on UNFC varies between the countries.</w:t>
      </w:r>
    </w:p>
    <w:p>
      <w:pPr/>
      <w:r>
        <w:rPr>
          <w:b/>
        </w:rPr>
        <w:t>POSSIBLE 2021:</w:t>
      </w:r>
      <w:r>
        <w:t xml:space="preserve"> Health Inequality Analysis in Europe: Exploring the Potential of the EQ-5D as Outcome — https://doi.org/10.3389/fpubh.2021.744405</w:t>
      </w:r>
    </w:p>
    <w:p>
      <w:pPr/>
      <w:r>
        <w:rPr>
          <w:b/>
        </w:rPr>
        <w:t>Shared claim-specific concepts:</w:t>
      </w:r>
      <w:r>
        <w:t xml:space="preserve"> potential, exploring; EU scope visible. This is a provisional connection, not an outcome finding.</w:t>
      </w:r>
    </w:p>
    <w:p>
      <w:pPr>
        <w:pStyle w:val="SourceNote"/>
      </w:pPr>
      <w:r>
        <w:rPr>
          <w:b/>
        </w:rPr>
        <w:t>Available abstract (not full text):</w:t>
      </w:r>
      <w:r>
        <w:t xml:space="preserve"> Objective: This study explored the additive value of the multi-item EuroQol 5-Dimension 5-Level (EQ-5D-5L) as an outcome measure in health inequality analyses, relative to the single-item EuroQol visual analog scale (EQ VAS). Methods: A sample comprising the general population from Italy, the Netherlands, and United Kingdom (UK) completed the EQ-5D-5L and the EQ VAS. The level of education was selected as a proxy for socio-economic status (SES). EQ-5D-5L level sum scores (LSS) were compared against EQ VAS scores. Stratified and multivariable analyses were used to study the associations between SES and the LSS/EQ VAS relative to the presence of chronic health conditions. Results: A total of 10,172 people participated in this study. In the UK and Netherlands, the LSS was worst for respondents with a low educational level and better for respondents with middle and high educational levels. For Italy, the LSS was best for respondents with a middle educational level compared to respondents with low and high educational levels. The same patterns were observed for the EQ VAS, but differences were slightly smaller. Multivariable analyses showed generally stronger predictive relations in the UK, and with the LSS. The presence of chronic health conditions and being unable to work were independent strong predictors, canceling out the effects of education. Conclusions: In three different Eu</w:t>
      </w:r>
    </w:p>
    <w:p>
      <w:pPr/>
      <w:r>
        <w:rPr>
          <w:b/>
        </w:rPr>
        <w:t>POSSIBLE 2021:</w:t>
      </w:r>
      <w:r>
        <w:t xml:space="preserve"> Exploring the therapeutic potential of mitochondrial uncouplers in cancer — https://doi.org/10.1016/j.molmet.2021.101222</w:t>
      </w:r>
    </w:p>
    <w:p>
      <w:pPr/>
      <w:r>
        <w:rPr>
          <w:b/>
        </w:rPr>
        <w:t>Shared claim-specific concepts:</w:t>
      </w:r>
      <w:r>
        <w:t xml:space="preserve"> potential, several, exploring; EU scope not established. This is a provisional connection, not an outcome finding.</w:t>
      </w:r>
    </w:p>
    <w:p>
      <w:pPr>
        <w:pStyle w:val="SourceNote"/>
      </w:pPr>
      <w:r>
        <w:rPr>
          <w:b/>
        </w:rPr>
        <w:t>Available abstract (not full text):</w:t>
      </w:r>
      <w:r>
        <w:t xml:space="preserve"> BACKGROUND: Mitochondrial uncouplers are well-known for their ability to treat a myriad of metabolic diseases, including obesity and fatty liver diseases. However, for many years now, mitochondrial uncouplers have also been evaluated in diverse models of cancer in vitro and in vivo. Furthermore, some mitochondrial uncouplers are now in clinical trials for cancer, although none have yet been approved for the treatment of cancer. SCOPE OF REVIEW: In this review we summarise published studies in which mitochondrial uncouplers have been investigated as an anti-cancer therapy in preclinical models. In many cases, mitochondrial uncouplers show strong anti-cancer effects both as single agents, and in combination therapies, and some are more toxic to cancer cells than normal cells. Furthermore, the mitochondrial uncoupling mechanism of action in cancer cells has been described in detail, with consistencies and inconsistencies between different structural classes of uncouplers. For example, many mitochondrial uncouplers decrease ATP levels and disrupt key metabolic signalling pathways such as AMPK/mTOR but have different effects on reactive oxygen species (ROS) production. Many of these effects oppose aberrant phenotypes common in cancer cells that ultimately result in cell death. We also highlight several gaps in knowledge that need to be addressed before we have a clear direction and </w:t>
      </w:r>
    </w:p>
    <w:p>
      <w:pPr/>
      <w:r>
        <w:rPr>
          <w:b/>
        </w:rPr>
        <w:t>POSSIBLE 2021:</w:t>
      </w:r>
      <w:r>
        <w:t xml:space="preserve"> Exploring the potential of coconut shell biomass for charcoal production — https://doi.org/10.1016/j.asej.2021.05.013</w:t>
      </w:r>
    </w:p>
    <w:p>
      <w:pPr/>
      <w:r>
        <w:rPr>
          <w:b/>
        </w:rPr>
        <w:t>Shared claim-specific concepts:</w:t>
      </w:r>
      <w:r>
        <w:t xml:space="preserve"> potential, several, exploring, alternative; EU scope not established. This is a provisional connection, not an outcome finding.</w:t>
      </w:r>
    </w:p>
    <w:p>
      <w:pPr>
        <w:pStyle w:val="SourceNote"/>
      </w:pPr>
      <w:r>
        <w:rPr>
          <w:b/>
        </w:rPr>
        <w:t>Available abstract (not full text):</w:t>
      </w:r>
      <w:r>
        <w:t xml:space="preserve"> Coconut shells are produced in a vast amount around tropical countries that needs to be utilized properly. Thermochemical methods are the main route for converting biomass to charcoal. Percentage of some relative factors in the biomass such as low-density, low caloric value, high ash, SOX, NOX, moisture content, microstructure, and complex elements are its major drawbacks. Nevertheless, no scientific studies were conducted on the carbonization of converting coconut shells to charcoal from local to global scales. Therefore, comprehensive and precise data on its production is limited. To overcome these problems; biomass materials need to be evaluated to assure the suitability of the biomass for the thermochemical process to curtail the yearning of energy demand. For the overall efficiency of the biomass conversion processes into the preference biomass-derived fuel, it is important to understand the physicochemical characteristics of the biomass. The paper aims at understanding the specialties of coconut shell biomass, which is directly used for thermochemical conversion mainly for charcoal production via; chemical structure, energy potential, and morphological analysis. The biomass exhibits a high: density of 412 kg/m3, a calorific value of 19.4 MJ/kg, fixed carbon of 21.8%, a volatile matter of 70.8%, carbon of 40.1%, and low amount moisture of 5.6%, and ash of 1.8%. EDX and XRF</w:t>
      </w:r>
    </w:p>
    <w:p>
      <w:pPr/>
      <w:r>
        <w:rPr>
          <w:b/>
        </w:rPr>
        <w:t>POSSIBLE 2020:</w:t>
      </w:r>
      <w:r>
        <w:t xml:space="preserve"> Sources of particulate-matter air pollution and its oxidative potential in Europe — https://doi.org/10.1038/s41586-020-2902-8</w:t>
      </w:r>
    </w:p>
    <w:p>
      <w:pPr/>
      <w:r>
        <w:rPr>
          <w:b/>
        </w:rPr>
        <w:t>Shared claim-specific concepts:</w:t>
      </w:r>
      <w:r>
        <w:t xml:space="preserve"> potential, modelling, find; EU scope visible. This is a provisional connection, not an outcome finding.</w:t>
      </w:r>
    </w:p>
    <w:p>
      <w:pPr>
        <w:pStyle w:val="SourceNote"/>
      </w:pPr>
      <w:r>
        <w:rPr>
          <w:b/>
        </w:rPr>
        <w:t>Available abstract (not full text):</w:t>
      </w:r>
      <w:r>
        <w:t xml:space="preserve"> . Here we use field observations and air-quality modelling to quantify the major primary and secondary sources of particulate matter and of oxidative potential in Europe. We find that secondary inorganic components, crustal material and secondary biogenic organic aerosols control the mass concentration of particulate matter. By contrast, oxidative potential concentration is associated mostly with anthropogenic sources, in particular with fine-mode secondary organic aerosols largely from residential biomass burning and coarse-mode metals from vehicular non-exhaust emissions. Our results suggest that mitigation strategies aimed at reducing the mass concentrations of particulate matter alone may not reduce the oxidative potential concentration. If the oxidative potential can be linked to major health impacts, it may be more effective to control specific sources of particulate matter rather than overall particulate mass.</w:t>
      </w:r>
    </w:p>
    <w:p>
      <w:pPr>
        <w:pStyle w:val="Heading2"/>
      </w:pPr>
      <w:r>
        <w:t>738.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2024:</w:t>
      </w:r>
      <w:r>
        <w:t xml:space="preserve"> Developing clinical prediction models: a step-by-step guide — https://doi.org/10.1136/bmj-2023-078276</w:t>
      </w:r>
    </w:p>
    <w:p>
      <w:pPr/>
      <w:r>
        <w:rPr>
          <w:b/>
        </w:rPr>
        <w:t>Shared claim-specific concepts:</w:t>
      </w:r>
      <w:r>
        <w:t xml:space="preserve"> prediction, also; EU scope not established. This is a provisional connection, not an outcome finding.</w:t>
      </w:r>
    </w:p>
    <w:p>
      <w:pPr>
        <w:pStyle w:val="SourceNote"/>
      </w:pPr>
      <w:r>
        <w:rPr>
          <w:b/>
        </w:rPr>
        <w:t>Available abstract (not full text):</w:t>
      </w:r>
      <w:r>
        <w:t xml:space="preserve">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pPr/>
      <w:r>
        <w:rPr>
          <w:b/>
        </w:rPr>
        <w:t>POSSIBLE 2024:</w:t>
      </w:r>
      <w:r>
        <w:t xml:space="preserve"> Machine Learning Approaches for Stroke Risk Prediction: Findings from the Suita Study — https://doi.org/10.3390/jcdd11070207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Stroke constitutes a significant public health concern due to its impact on mortality and morbidity. This study investigates the utility of machine learning algorithms in predicting stroke and identifying key risk factors using data from the Suita study, comprising 7389 participants and 53 variables. Initially, unsupervised k-prototype clustering categorized participants into risk clusters, while five supervised models including Logistic Regression (LR), Random Forest (RF), Support Vector Machine (SVM), Extreme Gradient Boosting (XGBoost), and Light Gradient Boosted Machine (LightGBM) were employed to predict stroke outcomes. Stroke incidence disparities among identified risk clusters using the unsupervised k-prototype clustering method are substantial, according to the findings. Supervised learning, particularly RF, was a preferable option because of the higher levels of performance metrics. The Shapley Additive Explanations (SHAP) method identified age, systolic blood pressure, hypertension, estimated glomerular filtration rate, metabolic syndrome, and blood glucose level as key predictors of stroke, aligning with findings from the unsupervised clustering approach in high-risk groups. Additionally, previously unidentified risk factors such as elbow joint thickness, fructosamine, hemoglobin, and calcium level demonstrate potential for stroke prediction. In conclusion, machine </w:t>
      </w:r>
    </w:p>
    <w:p>
      <w:pPr/>
      <w:r>
        <w:rPr>
          <w:b/>
        </w:rPr>
        <w:t>POSSIBLE 2024:</w:t>
      </w:r>
      <w:r>
        <w:t xml:space="preserve"> Prediction in bilingual sentence processing — https://doi.org/10.1075/lab.22102.mei</w:t>
      </w:r>
    </w:p>
    <w:p>
      <w:pPr/>
      <w:r>
        <w:rPr>
          <w:b/>
        </w:rPr>
        <w:t>Shared claim-specific concepts:</w:t>
      </w:r>
      <w:r>
        <w:t xml:space="preserve"> prediction, findings, support, use, also; EU scope not established. This is a provisional connection, not an outcome finding.</w:t>
      </w:r>
    </w:p>
    <w:p>
      <w:pPr>
        <w:pStyle w:val="SourceNote"/>
      </w:pPr>
      <w:r>
        <w:rPr>
          <w:b/>
        </w:rPr>
        <w:t>Available abstract (not full text):</w:t>
      </w:r>
      <w:r>
        <w:t xml:space="preserve"> Abstract The Unified Competition Model ( MacWhinney, 2012 ) accounts for cross-linguistic differences in thematic role mapping. We investigated production and predictive use of accusative case morphology in Russian-Hebrew bilingual children. We also investigated the role of production in predictive processing testing the Prediction-by-Production Account ( Pickering &amp; Garrod, 2018 ) vs. the Missing Surface Inflection Hypothesis ( Prévost &amp; White, 2000 ). Three groups of children aged 4–8 participated: Russian-Hebrew-speaking bilinguals, Russian-speaking and Hebrew-speaking monolingual controls. All children participated in the accusative case production and Visual-World eye-tracking comprehension experiments. Bilinguals were tested in both of their languages. The results of the study confirmed the predictions of the Unified Competition Model showing typological differences in the strength of the case-marking cue and its predictive use in sentence processing in Russian- and Hebrew-speaking controls. While Russian-speaking monolinguals relied on case marking to predict the upcoming agent/patient, the performance of Hebrew-speaking monolingual children varied. The findings for bilinguals showed that despite their lower production accuracy in both languages, they were either indistinguishable from monolinguals or showed an advantage in the predictive use of case morphology. The find</w:t>
      </w:r>
    </w:p>
    <w:p>
      <w:pPr/>
      <w:r>
        <w:rPr>
          <w:b/>
        </w:rPr>
        <w:t>POSSIBLE 2024:</w:t>
      </w:r>
      <w:r>
        <w:t xml:space="preserve"> Diabetes Prediction Based on Support Vector Machine Model — https://doi.org/10.54097/ygdasy74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Diabetes is a chronic condition, the symptoms of which may be relatively mild in the initial stages. Consequently, early prediction is of paramount importance for disease management and treatment. This study aims to employ a Support Vector Machine (SVM) model for the prognostication of diabetes risk. In comparison to conventional prediction techniques, SVMs are adept at capturing complex nonlinear relationships, and possess the capability to handle high-dimensional data and model nonlinearities effectively. By leveraging the strengths of SVMs, it is possible to anticipate the risk of diabetes based on various diagnostic indicators, thereby mitigating the severity of the condition and the risk of complications. The findings of this research offer valuable insights for the management and treatment of diabetes, holding significant application potential for the improvement of diagnosis and therapeutic strategies for diabetic patients.</w:t>
      </w:r>
    </w:p>
    <w:p>
      <w:pPr/>
      <w:r>
        <w:rPr>
          <w:b/>
        </w:rPr>
        <w:t>POSSIBLE 2023:</w:t>
      </w:r>
      <w:r>
        <w:t xml:space="preserve"> There is no such thing as a validated prediction model — https://doi.org/10.1186/s12916-023-02779-w</w:t>
      </w:r>
    </w:p>
    <w:p>
      <w:pPr/>
      <w:r>
        <w:rPr>
          <w:b/>
        </w:rPr>
        <w:t>Shared claim-specific concepts:</w:t>
      </w:r>
      <w:r>
        <w:t xml:space="preserve"> prediction, support, not, but; EU scope not established. This is a provisional connection, not an outcome finding.</w:t>
      </w:r>
    </w:p>
    <w:p>
      <w:pPr>
        <w:pStyle w:val="SourceNote"/>
      </w:pPr>
      <w:r>
        <w:rPr>
          <w:b/>
        </w:rPr>
        <w:t>Available abstract (not full text):</w:t>
      </w:r>
      <w:r>
        <w:t xml:space="preserve"> BACKGROUND: Clinical prediction models should be validated before implementation in clinical practice. But is favorable performance at internal validation or one external validation sufficient to claim that a prediction model works well in the intended clinical context? MAIN BODY: We argue to the contrary because (1) patient populations vary, (2) measurement procedures vary, and (3) populations and measurements change over time. Hence, we have to expect heterogeneity in model performance between locations and settings, and across time. It follows that prediction models are never truly validated. This does not imply that validation is not important. Rather, the current focus on developing new models should shift to a focus on more extensive, well-conducted, and well-reported validation studies of promising models. CONCLUSION: Principled validation strategies are needed to understand and quantify heterogeneity, monitor performance over time, and update prediction models when appropriate. Such strategies will help to ensure that prediction models stay up-to-date and safe to support clinical decision-making.</w:t>
      </w:r>
    </w:p>
    <w:p>
      <w:pPr/>
      <w:r>
        <w:rPr>
          <w:b/>
        </w:rPr>
        <w:t>POSSIBLE 2022:</w:t>
      </w:r>
      <w:r>
        <w:t xml:space="preserve"> Computing Model for Alzheimer Prediction Using Support Vector Machine Classifier — https://doi.org/10.1109/ccet56606.2022.10080346</w:t>
      </w:r>
    </w:p>
    <w:p>
      <w:pPr/>
      <w:r>
        <w:rPr>
          <w:b/>
        </w:rPr>
        <w:t>Shared claim-specific concepts:</w:t>
      </w:r>
      <w:r>
        <w:t xml:space="preserve"> then, prediction, findings, support; EU scope not established. This is a provisional connection, not an outcome finding.</w:t>
      </w:r>
    </w:p>
    <w:p>
      <w:pPr>
        <w:pStyle w:val="SourceNote"/>
      </w:pPr>
      <w:r>
        <w:rPr>
          <w:b/>
        </w:rPr>
        <w:t>Available abstract (not full text):</w:t>
      </w:r>
      <w:r>
        <w:t xml:space="preserve"> The first stage of Alzheimer's disease is known as Mild Cognitive Impairment. Identification of MCI subjects who are at high risk of developing frame over time is crucial for successful therapy. In order to track the progress of numerous Alzheimer's forecasts over time, automated modelling was used in this work. Three separate longitudinal data systems are used to train models. Then, for each experimental investigation, these models are used to assess biomarker data. Finally, MCI patients at risk of acquiring in the future are identified using a typical support vector machine categorization. Both cognitive points and magnetic resonance image-based measurements are used to thoroughly assess the proposed models' prediction ability. Our suggested strategy produced the maximum AUC 88.93% (Accuracy = 84.29%) and 88.13% (Accuracy = 83.26%) in the five different split verification settings, respectively, 1 year and 2 years prior to conversion prediction of MCI data. Important findings of this research include: Clinical changes in magnetic resonance image- based therapies may be predicted more accurately than cognitive points in two ways: Multiple predictive models are more accurate in predicting change than single biomarker models and Neuropsychology programme by themselves may provide superior long-term change prediction. Enhancing the accuracy of Alzheimer occurrences prediction usi</w:t>
      </w:r>
    </w:p>
    <w:p>
      <w:pPr/>
      <w:r>
        <w:rPr>
          <w:b/>
        </w:rPr>
        <w:t>POSSIBLE 2021:</w:t>
      </w:r>
      <w:r>
        <w:t xml:space="preserve"> Limits of Electoral Predictions Using Twitter — https://doi.org/10.1609/icwsm.v5i1.14189</w:t>
      </w:r>
    </w:p>
    <w:p>
      <w:pPr/>
      <w:r>
        <w:rPr>
          <w:b/>
        </w:rPr>
        <w:t>Shared claim-specific concepts:</w:t>
      </w:r>
      <w:r>
        <w:t xml:space="preserve"> findings, support, not, but; EU scope not established. This is a provisional connection, not an outcome finding.</w:t>
      </w:r>
    </w:p>
    <w:p>
      <w:pPr>
        <w:pStyle w:val="SourceNote"/>
      </w:pPr>
      <w:r>
        <w:rPr>
          <w:b/>
        </w:rPr>
        <w:t>Available abstract (not full text):</w:t>
      </w:r>
      <w:r>
        <w:t xml:space="preserve"> Using social media for political discourse is becoming common practice, especially around election time. One interesting aspect of this trend is the possibility of pulsing the public’s opinion about the elections, and that has attracted the interest of many researchers and the press. Allegedly, predicting electoral outcomes from social media data can be feasible and even simple. Positive results have been reported, but without an analysis on what principle enables them. Our work puts to test the purported predictive power of socialmedia metrics against the 2010 US congressional elections. Here, we applied techniques that had reportedly led to positive election predictions in the past, on the Twitter data collected from the 2010 US congressional elections. Unfortunately, we find no correlation between the analysis results and the electoral outcomes, contradicting previous reports. Observing that 80 years of polling research would support our findings, we argue that one should not be accepting predictions about events using social media data as a black box. Instead, scholarly research should be accompanied by a model explaining the predictive power of social media, when there is one.</w:t>
      </w:r>
    </w:p>
    <w:p>
      <w:pPr>
        <w:pStyle w:val="Heading2"/>
      </w:pPr>
      <w:r>
        <w:t>739.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r>
        <w:rPr>
          <w:b/>
        </w:rPr>
        <w:t>POSSIBLE 2025:</w:t>
      </w:r>
      <w:r>
        <w:t xml:space="preserve"> Stock Rebuilding in a Mixed‐Population Fishery Context: The Case of North Sea and Western Baltic Herring — https://doi.org/10.1111/fme.70037</w:t>
      </w:r>
    </w:p>
    <w:p>
      <w:pPr/>
      <w:r>
        <w:rPr>
          <w:b/>
        </w:rPr>
        <w:t>Shared claim-specific concepts:</w:t>
      </w:r>
      <w:r>
        <w:t xml:space="preserve"> case, baltic, herring, fisheries; EU scope not established. This is a provisional connection, not an outcome finding.</w:t>
      </w:r>
    </w:p>
    <w:p>
      <w:pPr>
        <w:pStyle w:val="SourceNote"/>
      </w:pPr>
      <w:r>
        <w:rPr>
          <w:b/>
        </w:rPr>
        <w:t>Available abstract (not full text):</w:t>
      </w:r>
      <w:r>
        <w:t xml:space="preserve"> ABSTRACT Managing and giving advice for mixed‐population fisheries of the same species can be challenging due to difficulties in predicting stock mixing, technical interactions, and in ensuring precautionary stock dynamics. Most fish species consist of several populations all of which need to be sustainably managed to preserve biodiversity and resilience to environmental changes, and to sustain productive fisheries. Mixing of populations of the same species with different productivity represents additional challenges for assessment and management. In such cases, there is a need to develop assessment and advice methods to consider mixed stocks and advise managers on fishing opportunities. In this study, we develop a framework including multifleet multi‐stock assessment models and forecasts where future stock dynamics depend on stock mixing, fleet‐specific fishing opportunities, and management in place. This framework is applied to the large North Sea herring stock and the overexploited western Baltic herring stock, which in part of their distribution areas are found to be mixed in both catches and surveys. The framework is used to investigate the trade‐offs between stock rebuilding and fishing opportunities in a mixed fishery. The study shows that spatial management implying transfer of quotas away from the areas where the stocks mix and towards the stock in good condition could</w:t>
      </w:r>
    </w:p>
    <w:p>
      <w:pPr/>
      <w:r>
        <w:rPr>
          <w:b/>
        </w:rPr>
        <w:t>POSSIBLE 2024:</w:t>
      </w:r>
      <w:r>
        <w:t xml:space="preserve"> Developing a Multi-Criteria Restaurant Recommendation System with MOORA: A Case Study in Gading Serpong — https://doi.org/10.33168/jliss.2024.1128</w:t>
      </w:r>
    </w:p>
    <w:p>
      <w:pPr/>
      <w:r>
        <w:rPr>
          <w:b/>
        </w:rPr>
        <w:t>Shared claim-specific concepts:</w:t>
      </w:r>
      <w:r>
        <w:t xml:space="preserve"> case, recommendations, use, food, based, assesses; EU scope not established. This is a provisional connection, not an outcome finding.</w:t>
      </w:r>
    </w:p>
    <w:p>
      <w:pPr>
        <w:pStyle w:val="SourceNote"/>
      </w:pPr>
      <w:r>
        <w:rPr>
          <w:b/>
        </w:rPr>
        <w:t>Available abstract (not full text):</w:t>
      </w:r>
      <w:r>
        <w:t xml:space="preserve"> The rapid growth of the restaurant industry in Indonesia, particularly in the Gading Serpong area, has led to an increasing variety of dining options.This abundance of choices can often lead to confusion among consumers when selecting a restaurant.To address this issue, this study aims to develop a web-based restaurant recommendation system using the Multi-Objective Optimization by Ratio Analysis (MOORA) method.The system assists users in making informed decisions by providing restaurant recommendations based on their preferences.The MOORA method is employed to rank restaurants considering multiple criteria such as price, operating hours, cleanliness, food variety, and ratings.The system's effectiveness is evaluated using the End-user Computing Satisfaction (EUCS) method, which assesses user satisfaction across five dimensions: content, accuracy, format, ease of use, and timeliness.The results indicate that the developed system achieves an overall user satisfaction rate of 87.53%, demonstrating its potential to assist users in restaurant selection.This research contributes to the application of multi-criteria decision-making methods in recommendation systems and highlights the importance of user satisfaction evaluation in system development.</w:t>
      </w:r>
    </w:p>
    <w:p>
      <w:pPr/>
      <w:r>
        <w:rPr>
          <w:b/>
        </w:rPr>
        <w:t>POSSIBLE 2024:</w:t>
      </w:r>
      <w:r>
        <w:t xml:space="preserve"> Reduced predation and competition from herring may have contributed to the increase of three-spined stickleback in the Baltic Sea — https://doi.org/10.1093/icesjms/fsae168</w:t>
      </w:r>
    </w:p>
    <w:p>
      <w:pPr/>
      <w:r>
        <w:rPr>
          <w:b/>
        </w:rPr>
        <w:t>Shared claim-specific concepts:</w:t>
      </w:r>
      <w:r>
        <w:t xml:space="preserve"> baltic, herring, food, increased; EU scope visible. This is a provisional connection, not an outcome finding.</w:t>
      </w:r>
    </w:p>
    <w:p>
      <w:pPr>
        <w:pStyle w:val="SourceNote"/>
      </w:pPr>
      <w:r>
        <w:rPr>
          <w:b/>
        </w:rPr>
        <w:t>Available abstract (not full text):</w:t>
      </w:r>
      <w:r>
        <w:t xml:space="preserve"> Abstract In many areas of the Baltic Sea, three-spined stickleback (Gasterosteus aculeatus) has increased several fold since the early 2000s. Two major planktivores of the Baltic Sea, Atlantic herring (Clupea harengus) and European sprat (Sprattus sprattus), may interact with stickleback via competition for food and predation, but the potential implications at the population level are still unknown. Here, we explored interactions between stickleback, herring, and sprat using (i) herring diet analyses and (ii) fish biomass estimates from hydroacoustics for 2001–2019 covering the largest Baltic Sea basins—the Central Baltic and the Bothnian Sea. The diet analyses revealed that stickleback is an important prey for large herring along the Swedish Baltic Sea coast, comprising up to 64% of the diet of individuals &gt;22 cm. We found a negative influence of large herring (&gt;18 cm) on stickleback in the Central Baltic, and a negative relationship between sprat and small herring (&lt;18 cm) (pooled) and stickleback in the Bothnian Sea. The decline in herring and sprat population after the mid-1990s could have contributed to the increase in stickleback population via reduced predation and competition. Overall, herring may be an underappreciated piscivore, and high fishing pressure on herring could generate cascading effects on lower trophic levels.</w:t>
      </w:r>
    </w:p>
    <w:p>
      <w:pPr/>
      <w:r>
        <w:rPr>
          <w:b/>
        </w:rPr>
        <w:t>POSSIBLE 2024:</w:t>
      </w:r>
      <w:r>
        <w:t xml:space="preserve"> Workshop 3 on Stock Identification and Allocation of Catches of Herring to Stocks (WKSIDAC3) — https://doi.org/10.17895/ices.pub.27902457</w:t>
      </w:r>
    </w:p>
    <w:p>
      <w:pPr/>
      <w:r>
        <w:rPr>
          <w:b/>
        </w:rPr>
        <w:t>Shared claim-specific concepts:</w:t>
      </w:r>
      <w:r>
        <w:t xml:space="preserve"> case, baltic, herring, based, workshop; EU scope not established. This is a provisional connection, not an outcome finding.</w:t>
      </w:r>
    </w:p>
    <w:p>
      <w:pPr>
        <w:pStyle w:val="SourceNote"/>
      </w:pPr>
      <w:r>
        <w:rPr>
          <w:b/>
        </w:rPr>
        <w:t>Available abstract (not full text):</w:t>
      </w:r>
      <w:r>
        <w:t xml:space="preserve"> Most herring populations are migratory with variable overlap such that catches and surveys often cover a mixture of stocks. To monitor specific stocks, stock composition data based on ver-tebrae, otoliths or genetics have routinely been collected; however, the design of sampling strate-gies has received limited attention for this specific purpose. WKSIDAC3 reviewed current sam-pling strategies and designs. Further, simulation and case studies evaluated different sampling strategies and the effect of different sample sizes. Most institutes are collecting genetic samples from herring in surveys and commercial catches. However, some gaps are still present, particularly in the southwestern North Sea, eastern Baltic Sea, and Icelandic Sea. The number of individual genotypes needed for inference on stock com-positions depends on the genetic difference between stocks, between haul variation, and the sub-sequent analysis. Simulation studies indicated that random sampling strategies should geno-type at least 30–50 individuals per haul and 300 per stratum. For length stratified sampling the minimum number per haul should be 50–70. When possible, increasing the number of hauls is more effective at increasing precision than increasing the number of genotyped individuals. The two case studies have also demonstrated this. However, further studies based on the specific sampling programs are n</w:t>
      </w:r>
    </w:p>
    <w:p>
      <w:pPr/>
      <w:r>
        <w:rPr>
          <w:b/>
        </w:rPr>
        <w:t>POSSIBLE 2023:</w:t>
      </w:r>
      <w:r>
        <w:t xml:space="preserve"> Storytelling at board meetings: A case study of co-developing recommendations — https://doi.org/10.35680/2372-0247.1742</w:t>
      </w:r>
    </w:p>
    <w:p>
      <w:pPr/>
      <w:r>
        <w:rPr>
          <w:b/>
        </w:rPr>
        <w:t>Shared claim-specific concepts:</w:t>
      </w:r>
      <w:r>
        <w:t xml:space="preserve"> case, recommendations, use, governance; EU scope not established. This is a provisional connection, not an outcome finding.</w:t>
      </w:r>
    </w:p>
    <w:p>
      <w:pPr>
        <w:pStyle w:val="SourceNote"/>
      </w:pPr>
      <w:r>
        <w:rPr>
          <w:b/>
        </w:rPr>
        <w:t>Available abstract (not full text):</w:t>
      </w:r>
      <w:r>
        <w:t xml:space="preserve"> In healthcare, stories shared by patients often provide details and insights into experiences of illness and care. Stories are a way to educate healthcare providers and others to improve care and systems to become more patient and family centred and to better meet patients’ needs and priorities. Telling stories may bring benefits to both storytellers and audience members but also presents risks of harm. A reflective storytelling practice aims to honor stories and storytellers by ensuring there is time to prepare, reflect, learn, ask questions, and engage in dialogue with the storyteller to explore what went well and where there are learning and improvement opportunities. Healthcare Excellence Canada (HEC) is a pan-Canadian health organization focused on improving the quality and safety of care in Canada. HEC commits to engage patients, caregivers, and communities and aims to develop practices and structures to enable engagement activities. At the request of the HEC Board, the Patient Engagement and Partnerships team co-developed recommendations on the process for how best to meaningfully share stories at Board meetings, including stories from those leading, providing, and receiving care. This Case Study outlines the process HEC used to co-develop storytelling recommendations, focusing on a trauma-informed approach to create safe spaces for preparing, learning from and reflectin</w:t>
      </w:r>
    </w:p>
    <w:p>
      <w:pPr/>
      <w:r>
        <w:rPr>
          <w:b/>
        </w:rPr>
        <w:t>POSSIBLE 2023:</w:t>
      </w:r>
      <w:r>
        <w:t xml:space="preserve"> The challenges of developing accurate mood-based music recommendation systems: A Conceptual Case Investigation — https://doi.org/10.21203/rs.3.rs-3364709/v1</w:t>
      </w:r>
    </w:p>
    <w:p>
      <w:pPr/>
      <w:r>
        <w:rPr>
          <w:b/>
        </w:rPr>
        <w:t>Shared claim-specific concepts:</w:t>
      </w:r>
      <w:r>
        <w:t xml:space="preserve"> case, based, identifies; EU scope not established. This is a provisional connection, not an outcome finding.</w:t>
      </w:r>
    </w:p>
    <w:p>
      <w:pPr>
        <w:pStyle w:val="SourceNote"/>
      </w:pPr>
      <w:r>
        <w:rPr>
          <w:b/>
        </w:rPr>
        <w:t>Available abstract (not full text):</w:t>
      </w:r>
      <w:r>
        <w:t xml:space="preserve"> Abstract The development of accurate mood-based music recommendation systems is a challenging task due to the complexity and subjectivity of human emotions, the lack of standardized datasets for mood detection, the diversity of music genres and styles, the cold start problem, and the user's personal preferences. This paper presents a conceptual framework with documentation analysis case study with different scenarios for studying the challenges of developing accurate mood-based music recommendation systems. Case 1 investigated combination of physiological signals and audio features to detect users' moods, Case 2 investigated large dataset of music tracks that had been labeled with emotions to train a machine learning algorithm to recommend music based on users' moods Music recommendation system that uses a combination of collaborative filtering and content-based filtering. We analysis the secondary source of data studied by researchers at the University of California, Berkeley, University of Amsterdam and University of Cambridge. The conceptual framework is based on the theory of emotions, and the documentation analysis identifies the different methods that have been used to develop these systems. The different scenarios are based on the different methods that have been used to develop mood-based music recommendation systems. The paper concludes by discussing the challenges tha</w:t>
      </w:r>
    </w:p>
    <w:p>
      <w:pPr/>
      <w:r>
        <w:rPr>
          <w:b/>
        </w:rPr>
        <w:t>POSSIBLE 2023:</w:t>
      </w:r>
      <w:r>
        <w:t xml:space="preserve"> The prevalence of Corynosoma parasite worms in the great cormorants and the Baltic herring in the northern Baltic Sea, Finland — https://doi.org/10.1016/j.ijppaw.2023.07.004</w:t>
      </w:r>
    </w:p>
    <w:p>
      <w:pPr/>
      <w:r>
        <w:rPr>
          <w:b/>
        </w:rPr>
        <w:t>Shared claim-specific concepts:</w:t>
      </w:r>
      <w:r>
        <w:t xml:space="preserve"> baltic, herring, increased; EU scope visible. This is a provisional connection, not an outcome finding.</w:t>
      </w:r>
    </w:p>
    <w:p>
      <w:pPr>
        <w:pStyle w:val="SourceNote"/>
      </w:pPr>
      <w:r>
        <w:rPr>
          <w:b/>
        </w:rPr>
        <w:t>Available abstract (not full text):</w:t>
      </w:r>
      <w:r>
        <w:t xml:space="preserve"> were found. The prevalence of corynosoma in herring increased from 2014 to 2018, and individuals in the Bothnian Sea were infected less frequently than herring in the Archipelago Sea. Results also showed that infected herring individuals were generally larger than non-infected individuals, which could be explained by their size and their feeding habits. Currently, the changing environment of the Baltic Sea may cause an effect on the herring making them more susceptible to infections. Our results, therefore, emphasize the importance of the regular monitoring of infections and the parasite-host relationships in the Baltic Sea.</w:t>
      </w:r>
    </w:p>
    <w:p>
      <w:pPr>
        <w:pStyle w:val="Heading2"/>
      </w:pPr>
      <w:r>
        <w:t>740.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r>
        <w:rPr>
          <w:b/>
        </w:rPr>
        <w:t>POSSIBLE 2024:</w:t>
      </w:r>
      <w:r>
        <w:t xml:space="preserve"> A Dynamical Systems View of Psychiatric Disorders—Practical Implications — https://doi.org/10.1001/jamapsychiatry.2024.0228</w:t>
      </w:r>
    </w:p>
    <w:p>
      <w:pPr/>
      <w:r>
        <w:rPr>
          <w:b/>
        </w:rPr>
        <w:t>Shared claim-specific concepts:</w:t>
      </w:r>
      <w:r>
        <w:t xml:space="preserve"> practical, implications, conclusions; EU scope not established. This is a provisional connection, not an outcome finding.</w:t>
      </w:r>
    </w:p>
    <w:p>
      <w:pPr>
        <w:pStyle w:val="SourceNote"/>
      </w:pPr>
      <w:r>
        <w:rPr>
          <w:b/>
        </w:rPr>
        <w:t>Available abstract (not full text):</w:t>
      </w:r>
      <w:r>
        <w:t xml:space="preserve"> Importance: Dynamical systems theory is widely used to explain tipping points, cycles, and chaos in complex systems ranging from the climate to ecosystems. It has been suggested that the same theory may be used to explain the nature and dynamics of psychiatric disorders, which may come and go with symptoms changing over a lifetime. Here we review evidence for the practical applicability of this theory and its quantitative tools in psychiatry. Observations: Emerging results suggest that time series of mood and behavior may be used to monitor the resilience of patients using the same generic dynamical indicators that are now employed globally to monitor the risks of collapse of complex systems, such as tropical rainforest and tipping elements of the climate system. Other dynamical systems tools used in ecology and climate science open ways to infer personalized webs of causality for patients that may be used to identify targets for intervention. Meanwhile, experiences in ecological restoration help make sense of the occasional long-term success of short interventions. Conclusions and Relevance: Those observations, while promising, evoke follow-up questions on how best to collect dynamic data, infer informative timescales, construct mechanistic models, and measure the effect of interventions on resilience. Done well, monitoring resilience to inform well-timed interventions may be </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framework, region;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2023:</w:t>
      </w:r>
      <w:r>
        <w:t xml:space="preserve"> Practical implications of workplace ostracism: a systematic literature review — https://doi.org/10.1108/baj-12-2022-0036</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Purpose This review analyzes data from research articles published from 2010 to 2022 related to workplace ostracism which include theoretical or empirical practical implications. The primary motive of this review is to identify main themes of practical implications relevant to workplace ostracism. Design/methodology/approach In total, 86 research articles published in 56 journals were retrieved from six well-known management science databases, namely, Science Direct, Emerald Online, Springer Link, Taylor and Francis, Wiley and Sage. The affinity diagram was utilized to organize the practical implications of the studies into meaningful themes. Moreover, in order to prioritize the main themes, the Pareto diagram was utilized. Findings Eleven themes have been used to categorize the practical implications of the reviewed articles, demonstrating various human resource (HR) interventions for avoiding or limiting the feelings of ostracism at work. Specifically, they focus on training and development, culture, formal and informal meetings, interpersonal relationships, task interdependence, monitoring, trust and transparency, proper channel, job autonomy and individual characteristics. Originality/value While many systematic and traditional literature reviews have been undertaken in an attempt to thoroughly organize extant literature on various aspects of workplace ostracism, no study h</w:t>
      </w:r>
    </w:p>
    <w:p>
      <w:pPr/>
      <w:r>
        <w:rPr>
          <w:b/>
        </w:rPr>
        <w:t>POSSIBLE 2023:</w:t>
      </w:r>
      <w:r>
        <w:t xml:space="preserve"> Sex and Gender Differences in Stroke and Their Practical Implications in Acute Care — https://doi.org/10.5853/jos.2022.04077</w:t>
      </w:r>
    </w:p>
    <w:p>
      <w:pPr/>
      <w:r>
        <w:rPr>
          <w:b/>
        </w:rPr>
        <w:t>Shared claim-specific concepts:</w:t>
      </w:r>
      <w:r>
        <w:t xml:space="preserve"> practical, implications, conclusions, provide; EU scope not established. This is a provisional connection, not an outcome finding.</w:t>
      </w:r>
    </w:p>
    <w:p>
      <w:pPr>
        <w:pStyle w:val="SourceNote"/>
      </w:pPr>
      <w:r>
        <w:rPr>
          <w:b/>
        </w:rPr>
        <w:t>Available abstract (not full text):</w:t>
      </w:r>
      <w:r>
        <w:t xml:space="preserve"> There are several controversies regarding the role of sex and gender in the pathophysiology and management of acute stroke. Assessing the role of sex, i.e., biological/pathophysiological factors, and gender, i.e., sociocultural factors, in isolation is often not possible since they are closely intertwined with each other. To complicate matters even more, the functional baseline status of women and men at the time of their first stroke is substantially different, whereby women have, on average, a poorer reported/ascertained baseline function compared to men. These differences in baseline variables account for a large part of the differences in post-stroke outcomes between women and men. Adjusting for these baseline differences is difficult, and in many cases, residual confounding cannot be excluded. Despite these obstacles, a better understanding of how patient sex and gender differences influence acute stroke and stroke care pathways is crucial to avoid biases and allow us to provide the best possible care for all acute stroke patients. Disregarding patient sex and gender on one hand and ignoring potential confounding factors in sex- and gender-stratified analyses on the other hand, may cause researchers to come to erroneous conclusions and physicians to provide suboptimal care. This review outlines sex- and gender-related factors in key aspects of acute stroke, including acute</w:t>
      </w:r>
    </w:p>
    <w:p>
      <w:pPr/>
      <w:r>
        <w:rPr>
          <w:b/>
        </w:rPr>
        <w:t>POSSIBLE 2023:</w:t>
      </w:r>
      <w:r>
        <w:t xml:space="preserve"> Medico-Legal Implications and Regulatory Frameworks of Regenerative Orthopaedics — https://doi.org/10.7759/cureus.42557</w:t>
      </w:r>
    </w:p>
    <w:p>
      <w:pPr/>
      <w:r>
        <w:rPr>
          <w:b/>
        </w:rPr>
        <w:t>Shared claim-specific concepts:</w:t>
      </w:r>
      <w:r>
        <w:t xml:space="preserve"> implications, provide, framework; EU scope visible. This is a provisional connection, not an outcome finding.</w:t>
      </w:r>
    </w:p>
    <w:p>
      <w:pPr>
        <w:pStyle w:val="SourceNote"/>
      </w:pPr>
      <w:r>
        <w:rPr>
          <w:b/>
        </w:rPr>
        <w:t>Available abstract (not full text):</w:t>
      </w:r>
      <w:r>
        <w:t xml:space="preserve"> Regenerative orthopaedics has revolutionized traditional medicine, which represents a giant leap in science and research. The knowledge of the medico-legal implications and regulatory framework of this branch is vital for clinicians and researchers to go forward smoothly. This systematic review of the literature should shed light on these considerations and provide a comprehensive knowledge of the various implications and laws governing practice and research. The wide plethora of knowledge in the use of regenerative orthopaedics should be complemented by updated regulations and clinicians' grasp of knowledge on regenerative medicine. The review focused on peer-reviewed published articles concerned with the topic and outlined common medico-legal issues and the current regulatory frameworks in various countries. The articles suggest that developed nations like the US have faced several lawsuits in this field, and a few countries in Europe like Italy and Germany, which were frontrunners in this field based on research, have fallen back due to emerging legal and regulatory policies. Undoubtedly, regenerative orthopaedics holds the key to future orthopaedics, but the world is skeptical of this concept, and laws and regulatory frameworks can curb it if not guided well. In India, this field has received prime attention, but at a slow pace when compared to the laws. After reviewing 113</w:t>
      </w:r>
    </w:p>
    <w:p>
      <w:pPr/>
      <w:r>
        <w:rPr>
          <w:b/>
        </w:rPr>
        <w:t>POSSIBLE 2023:</w:t>
      </w:r>
      <w:r>
        <w:t xml:space="preserve"> Resilience: Theoretical Framework and Implications for School — https://doi.org/10.5539/ies.v16n2p1</w:t>
      </w:r>
    </w:p>
    <w:p>
      <w:pPr/>
      <w:r>
        <w:rPr>
          <w:b/>
        </w:rPr>
        <w:t>Shared claim-specific concepts:</w:t>
      </w:r>
      <w:r>
        <w:t xml:space="preserve"> implications, provide, framework; EU scope not established. This is a provisional connection, not an outcome finding.</w:t>
      </w:r>
    </w:p>
    <w:p>
      <w:pPr>
        <w:pStyle w:val="SourceNote"/>
      </w:pPr>
      <w:r>
        <w:rPr>
          <w:b/>
        </w:rPr>
        <w:t>Available abstract (not full text):</w:t>
      </w:r>
      <w:r>
        <w:t xml:space="preserve"> The main purpose of this report is to provide a brief yet holistic view of the concept of Resilience. In the following pages the basic aspects of this term are going to be examined so that not only the significance of Resilience in our everyday lives, but also the factors that affect someone’s ability to bounce back and keep making progress in many aspects of life can be understood despite the adversities that may interfere. The above mentioned are widely known as protective and risk factors depending on the way they affect somebody’s life. Another aspect that is going to be briefly analyzed is the role of school and teacher in students’ resilience- how this role can help students maintain their psychosocial and learning progress.</w:t>
      </w:r>
    </w:p>
    <w:p>
      <w:pPr/>
      <w:r>
        <w:rPr>
          <w:b/>
        </w:rPr>
        <w:t>POSSIBLE 2022:</w:t>
      </w:r>
      <w:r>
        <w:t xml:space="preserve"> THEORETICAL AND PRACTICAL ASPECTS REGARDING THE ISSUANCE OF EUROPEAN INVESTIGATION ORDER — https://openalex.org/W4365816987</w:t>
      </w:r>
    </w:p>
    <w:p>
      <w:pPr/>
      <w:r>
        <w:rPr>
          <w:b/>
        </w:rPr>
        <w:t>Shared claim-specific concepts:</w:t>
      </w:r>
      <w:r>
        <w:t xml:space="preserve"> practical, implications, conclusions, framework; EU scope visible. This is a provisional connection, not an outcome finding.</w:t>
      </w:r>
    </w:p>
    <w:p>
      <w:pPr>
        <w:pStyle w:val="SourceNote"/>
      </w:pPr>
      <w:r>
        <w:rPr>
          <w:b/>
        </w:rPr>
        <w:t>Available abstract (not full text):</w:t>
      </w:r>
      <w:r>
        <w:t xml:space="preserve"> The chosen topic, through its novelty in the field of international judicial cooperation in criminal matters, presents both theoretical and practical importance through the procedural-criminal implications it determines. The author analyzes both synthetically and analytically the functionality of the institution of the European investigation order, determining its content, application limits and subjects involved in the criminal trial report, highlighting the aspects of non-correlation of the objective with the intended purpose. The conclusions materialized in proposals to complete and improve the existing legislative framework, represented by Law no. 236/2017.</w:t>
      </w:r>
    </w:p>
    <w:p>
      <w:pPr/>
      <w:r>
        <w:rPr>
          <w:b/>
        </w:rPr>
        <w:t>POSSIBLE 2022:</w:t>
      </w:r>
      <w:r>
        <w:t xml:space="preserve"> Globalization, Green Economy and Environmental Challenges: State of the Art Review for Practical Implications — https://doi.org/10.3389/fenvs.2022.870271</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Globalization has significantly influenced the economy, ecology, and society during the previous decade. Meanwhile, the green economy has emerged as a critical policy framework for growth and development in developed and developing countries. The current study is an attempt to provide a detailed review on globalization, green economy, and climate challenges to draw some implications. There are disagreements between competing green economic discourses and a variety of definitions, all of which have problems. Recognizing the environmental effects of natural resource depletion and the economic benefits of environmental management are common examples of green economy operationalization. The new study also examines climate change’s impact on the green economy and infrastructure development. The study further considers the role of economic structure to mitigate environmental issues, increase production efficiency, enhance green economy and environmentally friendly technologies. The present study concluded that working toward a green economy helps reduce poverty in the four ways indicated in this study. It also shed a brief light to improves poor people’s access to a healthy and safe environment while increasing human security by preventing or resolving conflicts over land, food, water, and other natural resources.</w:t>
      </w:r>
    </w:p>
    <w:p>
      <w:pPr>
        <w:pStyle w:val="Heading2"/>
      </w:pPr>
      <w:r>
        <w:t>741.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2024:</w:t>
      </w:r>
      <w:r>
        <w:t xml:space="preserve"> Reducing greenhouse gases from ruminants: a Korean perspective — https://doi.org/10.5187/ait.2024.11.2.93</w:t>
      </w:r>
    </w:p>
    <w:p>
      <w:pPr/>
      <w:r>
        <w:rPr>
          <w:b/>
        </w:rPr>
        <w:t>Shared claim-specific concepts:</w:t>
      </w:r>
      <w:r>
        <w:t xml:space="preserve"> aims, reduce, greenhouse, gas, provide, energy; EU scope visible. This is a provisional connection, not an outcome finding.</w:t>
      </w:r>
    </w:p>
    <w:p>
      <w:pPr>
        <w:pStyle w:val="SourceNote"/>
      </w:pPr>
      <w:r>
        <w:rPr>
          <w:b/>
        </w:rPr>
        <w:t>Available abstract (not full text):</w:t>
      </w:r>
      <w:r>
        <w:t xml:space="preserve">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pPr/>
      <w:r>
        <w:rPr>
          <w:b/>
        </w:rPr>
        <w:t>POSSIBLE 2024:</w:t>
      </w:r>
      <w:r>
        <w:t xml:space="preserve"> Advancements in Transition to Green Steel in Europe through Direct Reduced Iron Production — https://doi.org/10.32730/mswt.2024.68.2.2</w:t>
      </w:r>
    </w:p>
    <w:p>
      <w:pPr/>
      <w:r>
        <w:rPr>
          <w:b/>
        </w:rPr>
        <w:t>Shared claim-specific concepts:</w:t>
      </w:r>
      <w:r>
        <w:t xml:space="preserve"> reduce, greenhouse, gas, emissions, compared, reduction; EU scope visible. This is a provisional connection, not an outcome finding.</w:t>
      </w:r>
    </w:p>
    <w:p>
      <w:pPr>
        <w:pStyle w:val="SourceNote"/>
      </w:pPr>
      <w:r>
        <w:rPr>
          <w:b/>
        </w:rPr>
        <w:t>Available abstract (not full text):</w:t>
      </w:r>
      <w:r>
        <w:t xml:space="preserve"> This article describes the current situation in Europe regarding methods of steel production and transition to green steel, produced in a sustainable way, i.e. with renewable energy and without fossil fuels, in order to reduce greenhouse gas emissions. The study focuses on direct reduction (DR) as potentially the best technology to eliminate the use of fossil fuels in the steel industry. The main commercial processes of direct reduced iron (DRI) production such as MIDREX, Energiron, PERED, SL/RN, Fastmet and Circored are described and compared in terms of the quality of finished products, operational conditions and efficiency. The article presents recent statistics regarding the production capacity of DRI, comparing Europe with the rest of the world. Plans concerning the construction of DRI plants across Europe are summarised alongside other projects aimed to support the process of transition to green steel by providing environmentally friendly materials or increasing efficiency of already implemented technologies by recycling waste materials.</w:t>
      </w:r>
    </w:p>
    <w:p>
      <w:pPr/>
      <w:r>
        <w:rPr>
          <w:b/>
        </w:rPr>
        <w:t>POSSIBLE 2024:</w:t>
      </w:r>
      <w:r>
        <w:t xml:space="preserve"> Transforming Trade and Environment: Digital Trade's Impact on Carbon Emissions in the European Union — https://doi.org/10.1002/jid.3977</w:t>
      </w:r>
    </w:p>
    <w:p>
      <w:pPr/>
      <w:r>
        <w:rPr>
          <w:b/>
        </w:rPr>
        <w:t>Shared claim-specific concepts:</w:t>
      </w:r>
      <w:r>
        <w:t xml:space="preserve"> emissions, compared, reduction; EU scope visible. This is a provisional connection, not an outcome finding.</w:t>
      </w:r>
    </w:p>
    <w:p>
      <w:pPr>
        <w:pStyle w:val="SourceNote"/>
      </w:pPr>
      <w:r>
        <w:rPr>
          <w:b/>
        </w:rPr>
        <w:t>Available abstract (not full text):</w:t>
      </w:r>
      <w:r>
        <w:t xml:space="preserve"> ABSTRACT The rapid expansion of digital trade is reshaping global economies, offering promising opportunities to mitigate carbon emissions. This study investigates the impact of digital trade on carbon emissions across 27 European Union countries from 2009 to 2023, presenting new insights into the environmental benefits of digital trade. The empirical findings reveal that digital trade significantly reduces emissions by optimizing industrial structure, promoting technological innovation and enhancing human capital. The heterogeneity analysis shows that this reduction effect is more pronounced in Northern, Western and Central Europe, where digital infrastructure and regulatory support may be more robust, and it is also stronger in highly innovative countries compared to less innovative ones. These results underscore the potential of digital trade as a driver of sustainable economic growth, providing valuable insights for policymakers aiming to leverage digitalization to enhance environmental sustainability, align with climate targets and foster a more efficient, low‐carbon economy.</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aims, reduce, greenhouse, gas, emissions, compared;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On the issue of reducing greenhouse gas emissions from the combustion of organic fuels — https://doi.org/10.18799/24131830/2023/11/4122</w:t>
      </w:r>
    </w:p>
    <w:p>
      <w:pPr/>
      <w:r>
        <w:rPr>
          <w:b/>
        </w:rPr>
        <w:t>Shared claim-specific concepts:</w:t>
      </w:r>
      <w:r>
        <w:t xml:space="preserve"> greenhouse, gas, emissions, reduction, energy; EU scope visible. This is a provisional connection, not an outcome finding.</w:t>
      </w:r>
    </w:p>
    <w:p>
      <w:pPr>
        <w:pStyle w:val="SourceNote"/>
      </w:pPr>
      <w:r>
        <w:rPr>
          <w:b/>
        </w:rPr>
        <w:t>Available abstract (not full text):</w:t>
      </w:r>
      <w:r>
        <w:t xml:space="preserve">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pPr>
        <w:pStyle w:val="Heading2"/>
      </w:pPr>
      <w:r>
        <w:t>742.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2024:</w:t>
      </w:r>
      <w:r>
        <w:t xml:space="preserve"> Reducing greenhouse gases from ruminants: a Korean perspective — https://doi.org/10.5187/ait.2024.11.2.93</w:t>
      </w:r>
    </w:p>
    <w:p>
      <w:pPr/>
      <w:r>
        <w:rPr>
          <w:b/>
        </w:rPr>
        <w:t>Shared claim-specific concepts:</w:t>
      </w:r>
      <w:r>
        <w:t xml:space="preserve"> aims, reduce, greenhouse, gas, provide, energy; EU scope visible. This is a provisional connection, not an outcome finding.</w:t>
      </w:r>
    </w:p>
    <w:p>
      <w:pPr>
        <w:pStyle w:val="SourceNote"/>
      </w:pPr>
      <w:r>
        <w:rPr>
          <w:b/>
        </w:rPr>
        <w:t>Available abstract (not full text):</w:t>
      </w:r>
      <w:r>
        <w:t xml:space="preserve">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pPr/>
      <w:r>
        <w:rPr>
          <w:b/>
        </w:rPr>
        <w:t>POSSIBLE 2024:</w:t>
      </w:r>
      <w:r>
        <w:t xml:space="preserve"> Advancements in Transition to Green Steel in Europe through Direct Reduced Iron Production — https://doi.org/10.32730/mswt.2024.68.2.2</w:t>
      </w:r>
    </w:p>
    <w:p>
      <w:pPr/>
      <w:r>
        <w:rPr>
          <w:b/>
        </w:rPr>
        <w:t>Shared claim-specific concepts:</w:t>
      </w:r>
      <w:r>
        <w:t xml:space="preserve"> reduce, greenhouse, gas, emissions, compared, reduction; EU scope visible. This is a provisional connection, not an outcome finding.</w:t>
      </w:r>
    </w:p>
    <w:p>
      <w:pPr>
        <w:pStyle w:val="SourceNote"/>
      </w:pPr>
      <w:r>
        <w:rPr>
          <w:b/>
        </w:rPr>
        <w:t>Available abstract (not full text):</w:t>
      </w:r>
      <w:r>
        <w:t xml:space="preserve"> This article describes the current situation in Europe regarding methods of steel production and transition to green steel, produced in a sustainable way, i.e. with renewable energy and without fossil fuels, in order to reduce greenhouse gas emissions. The study focuses on direct reduction (DR) as potentially the best technology to eliminate the use of fossil fuels in the steel industry. The main commercial processes of direct reduced iron (DRI) production such as MIDREX, Energiron, PERED, SL/RN, Fastmet and Circored are described and compared in terms of the quality of finished products, operational conditions and efficiency. The article presents recent statistics regarding the production capacity of DRI, comparing Europe with the rest of the world. Plans concerning the construction of DRI plants across Europe are summarised alongside other projects aimed to support the process of transition to green steel by providing environmentally friendly materials or increasing efficiency of already implemented technologies by recycling waste materials.</w:t>
      </w:r>
    </w:p>
    <w:p>
      <w:pPr/>
      <w:r>
        <w:rPr>
          <w:b/>
        </w:rPr>
        <w:t>POSSIBLE 2024:</w:t>
      </w:r>
      <w:r>
        <w:t xml:space="preserve"> Transforming Trade and Environment: Digital Trade's Impact on Carbon Emissions in the European Union — https://doi.org/10.1002/jid.3977</w:t>
      </w:r>
    </w:p>
    <w:p>
      <w:pPr/>
      <w:r>
        <w:rPr>
          <w:b/>
        </w:rPr>
        <w:t>Shared claim-specific concepts:</w:t>
      </w:r>
      <w:r>
        <w:t xml:space="preserve"> emissions, compared, reduction; EU scope visible. This is a provisional connection, not an outcome finding.</w:t>
      </w:r>
    </w:p>
    <w:p>
      <w:pPr>
        <w:pStyle w:val="SourceNote"/>
      </w:pPr>
      <w:r>
        <w:rPr>
          <w:b/>
        </w:rPr>
        <w:t>Available abstract (not full text):</w:t>
      </w:r>
      <w:r>
        <w:t xml:space="preserve"> ABSTRACT The rapid expansion of digital trade is reshaping global economies, offering promising opportunities to mitigate carbon emissions. This study investigates the impact of digital trade on carbon emissions across 27 European Union countries from 2009 to 2023, presenting new insights into the environmental benefits of digital trade. The empirical findings reveal that digital trade significantly reduces emissions by optimizing industrial structure, promoting technological innovation and enhancing human capital. The heterogeneity analysis shows that this reduction effect is more pronounced in Northern, Western and Central Europe, where digital infrastructure and regulatory support may be more robust, and it is also stronger in highly innovative countries compared to less innovative ones. These results underscore the potential of digital trade as a driver of sustainable economic growth, providing valuable insights for policymakers aiming to leverage digitalization to enhance environmental sustainability, align with climate targets and foster a more efficient, low‐carbon economy.</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aims, reduce, greenhouse, gas, emissions, compared;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On the issue of reducing greenhouse gas emissions from the combustion of organic fuels — https://doi.org/10.18799/24131830/2023/11/4122</w:t>
      </w:r>
    </w:p>
    <w:p>
      <w:pPr/>
      <w:r>
        <w:rPr>
          <w:b/>
        </w:rPr>
        <w:t>Shared claim-specific concepts:</w:t>
      </w:r>
      <w:r>
        <w:t xml:space="preserve"> greenhouse, gas, emissions, reduction, energy; EU scope visible. This is a provisional connection, not an outcome finding.</w:t>
      </w:r>
    </w:p>
    <w:p>
      <w:pPr>
        <w:pStyle w:val="SourceNote"/>
      </w:pPr>
      <w:r>
        <w:rPr>
          <w:b/>
        </w:rPr>
        <w:t>Available abstract (not full text):</w:t>
      </w:r>
      <w:r>
        <w:t xml:space="preserve">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pPr>
        <w:pStyle w:val="Heading2"/>
      </w:pPr>
      <w:r>
        <w:t>743.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2024:</w:t>
      </w:r>
      <w:r>
        <w:t xml:space="preserve"> Attributing responsibility to farmers for environmental protection and climate action: insights from the European Union — https://doi.org/10.1007/s13412-024-00981-7</w:t>
      </w:r>
    </w:p>
    <w:p>
      <w:pPr/>
      <w:r>
        <w:rPr>
          <w:b/>
        </w:rPr>
        <w:t>Shared claim-specific concepts:</w:t>
      </w:r>
      <w:r>
        <w:t xml:space="preserve"> farmers, climate, environmental; EU scope visible. This is a provisional connection, not an outcome finding.</w:t>
      </w:r>
    </w:p>
    <w:p>
      <w:pPr>
        <w:pStyle w:val="SourceNote"/>
      </w:pPr>
      <w:r>
        <w:rPr>
          <w:b/>
        </w:rPr>
        <w:t>Available abstract (not full text):</w:t>
      </w:r>
      <w:r>
        <w:t xml:space="preserve"> The attribution of responsibility is an important aspect of democratic government and governance. This study is interested in explaining variation in the responsibility that the public attributes to farmers for tackling climate change and environmental degradation. It analyzes data for respondents based in the 27 member states of the European Union as offered by a special issue of the Eurobarometer. Theoretically, the study postulates that if individuals perceive agriculture as a cause of climate change and environmental degradation, then they are more likely to indicate that it is a responsibility of farmers to take environmental and climate action. It also hypothesizes that individuals with a left-leaning ideology are more likely to attribute responsibility to farmers than right-leaning ones. Empirically, we find that the attribution of responsibility to farmers for mitigating climate change and environmental degradation is highest among Danes and lowest among Estonians. In 19 out of the 27 member states, our hypothesis holds true that individuals who perceive agriculture as a cause of climate change and environmental degradation are also more likely to attribute farmers' responsibility for taking climate and environmental action. And in 11 member states, left-leaning individuals have a significantly higher likelihood of attributing farmers' responsibility for tackling climat</w:t>
      </w:r>
    </w:p>
    <w:p>
      <w:pPr/>
      <w:r>
        <w:rPr>
          <w:b/>
        </w:rPr>
        <w:t>POSSIBLE 2023:</w:t>
      </w:r>
      <w:r>
        <w:t xml:space="preserve"> Farmers’ behavioural determinants of on-farm biodiversity management in Europe: a systematic review — https://doi.org/10.1007/s10460-023-10505-8</w:t>
      </w:r>
    </w:p>
    <w:p>
      <w:pPr/>
      <w:r>
        <w:rPr>
          <w:b/>
        </w:rPr>
        <w:t>Shared claim-specific concepts:</w:t>
      </w:r>
      <w:r>
        <w:t xml:space="preserve"> farmers, major, policies; EU scope visible. This is a provisional connection, not an outcome finding.</w:t>
      </w:r>
    </w:p>
    <w:p>
      <w:pPr>
        <w:pStyle w:val="SourceNote"/>
      </w:pPr>
      <w:r>
        <w:rPr>
          <w:b/>
        </w:rPr>
        <w:t>Available abstract (not full text):</w:t>
      </w:r>
      <w:r>
        <w:t xml:space="preserve"> Abstract Agricultural intensification and landscape homogenisation are major drivers of biodiversity loss in European agricultural landscapes. Improvements require changes in farming practices, but empirical evidence on farmers’ motivations underlying their on-farm biodiversity management remains fragmented. To date, there is no aggregated overview of behavioural determinants that influence European farmers’ decisions to implement biodiversity-friendly farming practices. This study aims to fill this knowledge gap by conducting a systematic literature review of 150 empirical studies published between 2000 and 2022. We identified 108 potential determinants of farmers’ behaviour, which were integrated into a multilevel framework. The results show that the farmers’ decisions are complex and often non-directional processes, shaped by numerous external (at a society, landscape, community, and farm level) and internal factors. These factors are embedded in regional and cultural contexts. However, the analysis of study sites indicates that the spatial coverage of scientific evidence on biodiversity-friendly farming measures is uneven across Europe. Given the diversity of local and socio-cultural conditions, there is a need for public policies, including the European Union’s Common Agricultural Policy, to address more specifically determinants encouraging biodiversity-friendly farm mana</w:t>
      </w:r>
    </w:p>
    <w:p>
      <w:pPr/>
      <w:r>
        <w:rPr>
          <w:b/>
        </w:rPr>
        <w:t>POSSIBLE 2022:</w:t>
      </w:r>
      <w:r>
        <w:t xml:space="preserve"> WHAT AFFECTS THE FINANCIAL STRUCTURE OF FIRMS IN THE ICT INDUSTRY IN SELECTED EUROPEAN COUNTRIES — https://doi.org/10.25142/aak.2022.016</w:t>
      </w:r>
    </w:p>
    <w:p>
      <w:pPr/>
      <w:r>
        <w:rPr>
          <w:b/>
        </w:rPr>
        <w:t>Shared claim-specific concepts:</w:t>
      </w:r>
      <w:r>
        <w:t xml:space="preserve"> affect, industry, different; EU scope visible. This is a provisional connection, not an outcome finding.</w:t>
      </w:r>
    </w:p>
    <w:p>
      <w:pPr>
        <w:pStyle w:val="SourceNote"/>
      </w:pPr>
      <w:r>
        <w:rPr>
          <w:b/>
        </w:rPr>
        <w:t>Available abstract (not full text):</w:t>
      </w:r>
      <w:r>
        <w:t xml:space="preserve"> During its life cycle, a company needs different amounts of funds, which can come from different entities.Each company has a specific structure of funding sources with respect to geographical and industry affiliation.The size of the company also has an impact on the structure of these sources.There is a number of determinants that affects the financial structure which is why a universal recommendation cannot be found.Thanks to these facts, more and more research has been created for over half a century.However, it is not possible to focus on individual companies and so compare different industries and economies.This research expands knowledge in the industry of information and telecommunication technologies in the countries of the extended Visegrád Group (V4 plus Austria, Bulgaria, Romania, Slovenia).Medium and (very) large companies during the period 2010-2018 are analysed.The aim of this research is to determine whether profitability, liquidity, asset structure, GDP growth rate, inflation rate and reference interest rate affect the level of total, long-term and short-term debt.The Generalized Method of Moments was chosen to determine these impacts.The main conclusion is that without regard to the size, the level of debt is most affected by determinants that represent the external environment of companies with the level of the reference interest rate having the most significan</w:t>
      </w:r>
    </w:p>
    <w:p>
      <w:pPr/>
      <w:r>
        <w:rPr>
          <w:b/>
        </w:rPr>
        <w:t>POSSIBLE 2022:</w:t>
      </w:r>
      <w:r>
        <w:t xml:space="preserve"> Ship of Darkness: Jazz and/as Affect in the Global Cruise Industry — https://doi.org/10.5406/25784773.5.2.02</w:t>
      </w:r>
    </w:p>
    <w:p>
      <w:pPr/>
      <w:r>
        <w:rPr>
          <w:b/>
        </w:rPr>
        <w:t>Shared claim-specific concepts:</w:t>
      </w:r>
      <w:r>
        <w:t xml:space="preserve"> affect, industry, notably; EU scope not established. This is a provisional connection, not an outcome finding.</w:t>
      </w:r>
    </w:p>
    <w:p>
      <w:pPr>
        <w:pStyle w:val="SourceNote"/>
      </w:pPr>
      <w:r>
        <w:rPr>
          <w:b/>
        </w:rPr>
        <w:t>Available abstract (not full text):</w:t>
      </w:r>
      <w:r>
        <w:t xml:space="preserve"> This is an experimental story that dwells in the connections between academic jazz programs and the global cruise industry, the ideological and affective attachments people maintain between these two institutions in the twenty-first century, and what is at stake in their naming and contemplation.3 Using disruptively prosed rhythms and modular form, it attempts a worlding of everyday cruise life and the soundings, mobilities, and affective geographies of early-career musicians living at sea, profoundly unmoored from the places and networks in which jazz is typically thought to flourish.Narrating this story means disrupting the silence of jazz studies on a political economy that has implicated generations of university-trained musicians ever since the turn of the 1970s, which witnessed the coterminous rise of college jazz education in the United States and multinational, corporatized cruise tourism.4 From the former emerged a musical workforce particularly suited for the latter's burgeoning demand for entertainment: technically and stylistically versatile, trained to both improvise and sight-read, and otherwise poised to enter an increasingly precarious terrestrial gig economy, many of these hybrid musicians pay their dues—and their bills—not on the road, but in international waters.Studying the flow of bodies, sounds, and capital between jazz schools and cruise ships, writing th</w:t>
      </w:r>
    </w:p>
    <w:p>
      <w:pPr/>
      <w:r>
        <w:rPr>
          <w:b/>
        </w:rPr>
        <w:t>POSSIBLE 2022:</w:t>
      </w:r>
      <w:r>
        <w:t xml:space="preserve"> Typologies of European farmers: approaches, methods and research gaps — https://doi.org/10.1007/s10113-022-01899-y</w:t>
      </w:r>
    </w:p>
    <w:p>
      <w:pPr/>
      <w:r>
        <w:rPr>
          <w:b/>
        </w:rPr>
        <w:t>Shared claim-specific concepts:</w:t>
      </w:r>
      <w:r>
        <w:t xml:space="preserve"> farmers, different, environmental; EU scope visible. This is a provisional connection, not an outcome finding.</w:t>
      </w:r>
    </w:p>
    <w:p>
      <w:pPr>
        <w:pStyle w:val="SourceNote"/>
      </w:pPr>
      <w:r>
        <w:rPr>
          <w:b/>
        </w:rPr>
        <w:t>Available abstract (not full text):</w:t>
      </w:r>
      <w:r>
        <w:t xml:space="preserve"> Abstract Understanding farmers’ behaviour and their different responses to environmental change, institutional change and policy interventions is important to facilitate the understanding of the drivers of environmental degradation. Identification of behavioural types can be very useful in informing the design of targeted instruments to support transformation towards sustainable agriculture and facilitating the transferability of findings between contexts, while also pointing out limits to the generalization of behavioural patterns detected in individual studies. However, typologies of European farmers are quite scattered geographically, among contexts and disciplines. Here, we present results from a literature review of empirically derived European farmer typologies from 36 academic studies. We investigate the underlying methodologies for determining the types, the purposes of developing typologies and whether there are recurring farmer types across contexts and locations. Our results show that (i) the field is quite diverse in terms of purposes, methods and variables used to develop typologies; (ii) there is surprisingly little awareness of the broader literature; (iii) while there are recurring types, they are still diverse and difficult to compare across studies. We recommend a stronger embedding of new typologies in the existing literature and improvements in the transpare</w:t>
      </w:r>
    </w:p>
    <w:p>
      <w:pPr/>
      <w:r>
        <w:rPr>
          <w:b/>
        </w:rPr>
        <w:t>POSSIBLE 2022:</w:t>
      </w:r>
      <w:r>
        <w:t xml:space="preserve"> Finding the ecological farmer: A farmer typology to understand ecological practice adoption within Europe — https://doi.org/10.1016/j.crsust.2022.100125</w:t>
      </w:r>
    </w:p>
    <w:p>
      <w:pPr/>
      <w:r>
        <w:rPr>
          <w:b/>
        </w:rPr>
        <w:t>Shared claim-specific concepts:</w:t>
      </w:r>
      <w:r>
        <w:t xml:space="preserve"> industry, farmers, climate, policies, chain; EU scope visible. This is a provisional connection, not an outcome finding.</w:t>
      </w:r>
    </w:p>
    <w:p>
      <w:pPr>
        <w:pStyle w:val="SourceNote"/>
      </w:pPr>
      <w:r>
        <w:rPr>
          <w:b/>
        </w:rPr>
        <w:t>Available abstract (not full text):</w:t>
      </w:r>
      <w:r>
        <w:t xml:space="preserve"> Agricultural policies are now orientated towards sustainable food production which integrate climate and biodiversity targets. Increasing the uptake of ecological approaches is intrinsic to the success of these policies. but this is contingent on farmer acceptability of these practices. We employ a cross-European farmer survey to explore the perspectives of producers and to derive a typology based on their ecological self-identities.Using a one stage latent class model we find four types and examine common factors which may correlate to farmer membership of a particular group. We find two types which are positive towards uptake of ecological approaches but are mainly differentiated by their responses to social pressure and the acceptance of ecological practices within their supply chains. A further group reveals a multifunctional identity, which balances ecological with food productivity goals, whereas a final group show indifference towards ecological approaches and may align with previous work identifying productivist farming identities. As Governments are seeking to promote transition within the industry we argue for clear policy intent inmessaging, as well as approaches which support supply chain dialogue to target particular groups of farmers for real behavioural change.</w:t>
      </w:r>
    </w:p>
    <w:p>
      <w:pPr/>
      <w:r>
        <w:rPr>
          <w:b/>
        </w:rPr>
        <w:t>POSSIBLE 2022:</w:t>
      </w:r>
      <w:r>
        <w:t xml:space="preserve"> European Farmer Perspectives and their Adoption of Ecological Practices — https://doi.org/10.1111/1746-692x.12371</w:t>
      </w:r>
    </w:p>
    <w:p>
      <w:pPr/>
      <w:r>
        <w:rPr>
          <w:b/>
        </w:rPr>
        <w:t>Shared claim-specific concepts:</w:t>
      </w:r>
      <w:r>
        <w:t xml:space="preserve"> farmers, forces, environmental; EU scope visible. This is a provisional connection, not an outcome finding.</w:t>
      </w:r>
    </w:p>
    <w:p>
      <w:pPr>
        <w:pStyle w:val="SourceNote"/>
      </w:pPr>
      <w:r>
        <w:rPr>
          <w:b/>
        </w:rPr>
        <w:t>Available abstract (not full text):</w:t>
      </w:r>
      <w:r>
        <w:t xml:space="preserve"> Summary Delivering an agricultural policy which meets ecosystem and climatic pressures and addresses weaknesses in our current food system presents complex challenges for food producers. Adoption of ecological practices will reduce the dependence on imports into the farm and is one way to meet some of these policy ambitions. Understanding why farmers do or don’t adopt these practices is key to enabling this transition. This study outlines a series of investigations into the key barriers, values and perceptions towards ecological practice adoption across European farming. We find that personal, technical and institutional forces influence the adoption of more sustainable practices but these forces have varying levels of influence. The tensions between environmental, compared to purely production orientated motivations, may be a key barrier to ecological practice adoption. We also find a strong influence of commodity supply chains which may either encourage or limit adoption of these approaches. Promoting efforts for co‐ordinated approaches between the public and private sectors may mitigate some of the dissonance in messaging towards these practices and alleviate these tensions. We also identify a great deal of heterogeneity within the European farming community and argue for a more targeted approach that would encourage adoption of ecological approaches and promote the scaling </w:t>
      </w:r>
    </w:p>
    <w:p>
      <w:pPr>
        <w:pStyle w:val="Heading2"/>
      </w:pPr>
      <w:r>
        <w:t>744.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pStyle w:val="Heading2"/>
      </w:pPr>
      <w:r>
        <w:t>745.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health, discuss, trends;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Exploring the Need for Medical Futures Studies: Insights From a Scoping Review of Health Care Foresight — https://doi.org/10.2196/57148</w:t>
      </w:r>
    </w:p>
    <w:p>
      <w:pPr/>
      <w:r>
        <w:rPr>
          <w:b/>
        </w:rPr>
        <w:t>Shared claim-specific concepts:</w:t>
      </w:r>
      <w:r>
        <w:t xml:space="preserve"> foresight, health, care, trends; EU scope not established. This is a provisional connection, not an outcome finding.</w:t>
      </w:r>
    </w:p>
    <w:p>
      <w:pPr>
        <w:pStyle w:val="SourceNote"/>
      </w:pPr>
      <w:r>
        <w:rPr>
          <w:b/>
        </w:rPr>
        <w:t>Available abstract (not full text):</w:t>
      </w:r>
      <w:r>
        <w:t xml:space="preserve">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pPr/>
      <w:r>
        <w:rPr>
          <w:b/>
        </w:rPr>
        <w:t>POSSIBLE 2024:</w:t>
      </w:r>
      <w:r>
        <w:t xml:space="preserve"> Emerging Biotechnologies in Europe: Foresight for Policy — https://doi.org/10.2760/4814109</w:t>
      </w:r>
    </w:p>
    <w:p>
      <w:pPr/>
      <w:r>
        <w:rPr>
          <w:b/>
        </w:rPr>
        <w:t>Shared claim-specific concepts:</w:t>
      </w:r>
      <w:r>
        <w:t xml:space="preserve"> foresight, affect;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approaches for future health shocks: integration into policy making and accompanying research priorities — https://doi.org/10.1136/bmj-2023-078647</w:t>
      </w:r>
    </w:p>
    <w:p>
      <w:pPr/>
      <w:r>
        <w:rPr>
          <w:b/>
        </w:rPr>
        <w:t>Shared claim-specific concepts:</w:t>
      </w:r>
      <w:r>
        <w:t xml:space="preserve"> foresight, health; EU scope not established. This is a provisional connection, not an outcome finding.</w:t>
      </w:r>
    </w:p>
    <w:p>
      <w:pPr>
        <w:pStyle w:val="SourceNote"/>
      </w:pPr>
      <w:r>
        <w:rPr>
          <w:b/>
        </w:rPr>
        <w:t>Available abstract (not full text):</w:t>
      </w:r>
      <w:r>
        <w:t xml:space="preserve"> Christina Pagel and colleagues argue that foresight approaches are key to preparedness for emergencies such as covid-19 and that these must be integrated within policy making at all levels</w:t>
      </w:r>
    </w:p>
    <w:p>
      <w:pPr/>
      <w:r>
        <w:rPr>
          <w:b/>
        </w:rPr>
        <w:t>POSSIBLE 2023:</w:t>
      </w:r>
      <w:r>
        <w:t xml:space="preserve"> Scenario Development Using Foresight Studies — https://doi.org/10.5281/zenodo.7944509</w:t>
      </w:r>
    </w:p>
    <w:p>
      <w:pPr/>
      <w:r>
        <w:rPr>
          <w:b/>
        </w:rPr>
        <w:t>Shared claim-specific concepts:</w:t>
      </w:r>
      <w:r>
        <w:t xml:space="preserve"> foresight, project, modelling, health, stakeholders, trends; EU scope visible. This is a provisional connection, not an outcome finding.</w:t>
      </w:r>
    </w:p>
    <w:p>
      <w:pPr>
        <w:pStyle w:val="SourceNote"/>
      </w:pPr>
      <w:r>
        <w:rPr>
          <w:b/>
        </w:rPr>
        <w:t>Available abstract (not full text):</w:t>
      </w:r>
      <w:r>
        <w:t xml:space="preserve">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pPr/>
      <w:r>
        <w:rPr>
          <w:b/>
        </w:rPr>
        <w:t>POSSIBLE 2023:</w:t>
      </w:r>
      <w:r>
        <w:t xml:space="preserve"> Foresight in public health: application and challenges — https://doi.org/10.1093/eurpub/ckad160.1000</w:t>
      </w:r>
    </w:p>
    <w:p>
      <w:pPr/>
      <w:r>
        <w:rPr>
          <w:b/>
        </w:rPr>
        <w:t>Shared claim-specific concepts:</w:t>
      </w:r>
      <w:r>
        <w:t xml:space="preserve"> foresight, project, health, discuss, stakeholders, trends; EU scope not established. This is a provisional connection, not an outcome finding.</w:t>
      </w:r>
    </w:p>
    <w:p>
      <w:pPr>
        <w:pStyle w:val="SourceNote"/>
      </w:pPr>
      <w:r>
        <w:rPr>
          <w:b/>
        </w:rPr>
        <w:t>Available abstract (not full text):</w:t>
      </w:r>
      <w:r>
        <w:t xml:space="preserve"> Abstract Background Foresight studies in the field of public health are limited. However, in the context of increasing uncertainty and complexity, such as with the COVID-19 pandemic, there is growing need to anticipate future trends and to plan for them. Foresight provides the tools to explore possible futures and develop policy strategies. Despite its value, foresight is an underused methodology. Hence, the aim of this study is to illustrate how foresight can be applied in public health, and how to deal with the associated challenges. Methods We describe the six-steps that are part of foresight methodology. In step 1 we discuss how to formulate study objectives. We illustrate in step 2, the application of the conceptual model and the DESTEP tool to identify and rank driving forces. We then discuss time horizon and spatial distribution, in step 3. In step 4, we discuss scenario logics. Finally in steps 5 and 6, we discuss the types of scenarios and tools for analyses. Possible challenges encountered when applying foresight methodology are drawn from the experiences and lessons learnt from the PHIRI project. Results Challenges during application of the foresight six-steps approach included difficulties in formulating research objectives, developing a conceptual model, identifying most important future trends, developing systematic, consistent and plausible scenarios with clear m</w:t>
      </w:r>
    </w:p>
    <w:p>
      <w:pPr/>
      <w:r>
        <w:rPr>
          <w:b/>
        </w:rPr>
        <w:t>POSSIBLE 2023:</w:t>
      </w:r>
      <w:r>
        <w:t xml:space="preserve"> Foresight for policy making to be better prepared for the future — https://doi.org/10.1093/eurpub/ckad160.236</w:t>
      </w:r>
    </w:p>
    <w:p>
      <w:pPr/>
      <w:r>
        <w:rPr>
          <w:b/>
        </w:rPr>
        <w:t>Shared claim-specific concepts:</w:t>
      </w:r>
      <w:r>
        <w:t xml:space="preserve"> foresight, health, discuss, stakeholders, trends; EU scope not established. This is a provisional connection, not an outcome finding.</w:t>
      </w:r>
    </w:p>
    <w:p>
      <w:pPr>
        <w:pStyle w:val="SourceNote"/>
      </w:pPr>
      <w:r>
        <w:rPr>
          <w:b/>
        </w:rPr>
        <w:t>Available abstract (not full text):</w:t>
      </w:r>
      <w:r>
        <w:t xml:space="preserve"> Abstract Background The COVID-19 pandemic showed that we were not prepared for unexpected and uncertain events. Foresight provides a process that explores the future to anticipate such events and be better prepared. However, in public health, foresight is underdeveloped and underused. It is necessary that policy makers and stakeholders realize the potential and benefits of including foresight into the policy cycle and advocate towards its implementation. Methods Foresight provides a systematic, participatory, and vision-building process that explores the future to anticipate trends and support present-day actions. It provides a participatory platform to discuss such trends and explore different scenarios to get insights into possible challenges and how to address them. Results Foresight studies can allow policy makers to discuss trends, build scenarios, and anticipate future challenges while also exploring desirable futures. We propose several recommendations to professionals and policy makers to include foresight into the policy cycle to promote sustainable and resilient health systems. Conclusions Foresight does not predict the future, it rather explores it through plausible scenarios that consider uncertainty. It provides an overview into possible future challenges to allow present-day policies that anticipate and address these challenges. Implementing foresight into the pol</w:t>
      </w:r>
    </w:p>
    <w:p>
      <w:pPr>
        <w:pStyle w:val="Heading2"/>
      </w:pPr>
      <w:r>
        <w:t>746.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r>
        <w:rPr>
          <w:b/>
        </w:rPr>
        <w:t>POSSIBLE 2023:</w:t>
      </w:r>
      <w:r>
        <w:t xml:space="preserve"> NEW WEATHER FORECASTING APPLICATIONS — https://doi.org/10.21608/ajmris.2023.317449</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Most state-of-the-art approaches for weather and climate modelling are based on physics informed numerical models of the atmosphere. These approaches aim to model the non-linear dynamics and complex interactions between multiple variables, which are challenging to approximate. Additionally, many such numerical models are computationally intensive, especially when modelling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In this research, the data available on Google for research objectives was used in two different algorithms through neural networks (ANN) and by controlling the design of these networks and training them hard, with the aim of obtaining results with a high degree of accuracy for weather forecasting for a period of up to 365 days in the first proposed model of neural networks and in case of the second algorithm the weather forecasted period is of up to four years (1460 days). All the facilities available in the fifty most used and downloaded weather forecasting applicati</w:t>
      </w:r>
    </w:p>
    <w:p>
      <w:pPr/>
      <w:r>
        <w:rPr>
          <w:b/>
        </w:rPr>
        <w:t>POSSIBLE 2022:</w:t>
      </w:r>
      <w:r>
        <w:t xml:space="preserve"> Implementation of European Drone Regulations - Status Quo and Assessment — https://doi.org/10.1007/s10846-022-01714-0</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The fast evolution of drone technology as well as the ubiquitous adoption from private and commercial users lead to the necessity to introduce new regulations covering the operations of Unmanned Aircraft Systems (UAS) in European Member states. The regulations implemented rules for multiple scenarios of normal and complex UAS operations as well as the collection of registration data from remote pilots and Operators. This research project tried for the first time to determine the status quo of the adoption of the novel EASA regulations of drones within the European members states. Data from National Aviation Authorities has been collected, accumulated, and analyzed towards qualitative and quantitative features.</w:t>
      </w:r>
    </w:p>
    <w:p>
      <w:pPr/>
      <w:r>
        <w:rPr>
          <w:b/>
        </w:rPr>
        <w:t>POSSIBLE 2022:</w:t>
      </w:r>
      <w:r>
        <w:t xml:space="preserve"> 7.L. Workshop: New roles and innovative skill-mix in nursing across Europe: trends and lessons for implementation — https://doi.org/10.1093/eurpub/ckac129.446</w:t>
      </w:r>
    </w:p>
    <w:p>
      <w:pPr/>
      <w:r>
        <w:rPr>
          <w:b/>
        </w:rPr>
        <w:t>Shared claim-specific concepts:</w:t>
      </w:r>
      <w:r>
        <w:t xml:space="preserve"> implementation, first, presented; EU scope visible. This is a provisional connection, not an outcome finding.</w:t>
      </w:r>
    </w:p>
    <w:p>
      <w:pPr>
        <w:pStyle w:val="SourceNote"/>
      </w:pPr>
      <w:r>
        <w:rPr>
          <w:b/>
        </w:rPr>
        <w:t>Available abstract (not full text):</w:t>
      </w:r>
      <w:r>
        <w:t xml:space="preserve"> Abstract Many countries in Europe are changing the roles and skill-mix of their nursing workforce. A sufficient and well-skilled nursing workforce has shown to be key for population health, most recently demonstrated during the Covid-19 pandemic. An increasing number of countries have introduced Master-level education for nurses to work in advanced practice nursing (APN) roles. These changes in the educational systems have implications on patients, clinical practice, teams and health systems. Moreover, many countries are re-orienting their health services from hospital to primary health care and prevention, driving new roles for nurses. The relevance of high-quality education and upskilling has been exemplified during the Covid-19 pandemic, where nurses had to quickly adapt to new treatment and caregiving situations in challenging work environments. Objectives of the workshop. This workshop will provide an overview of research and policy developments in Europe, drawing on recent research. First, an overview of innovative skill-mix changes in nursing will be presented and evidence on health outcomes, based on a study from the European Observatory on Health Systems and Policies. Second, research from Germany in five innovator hospitals will be presented, a country which is still at an early stage with integrating nurses in advanced roles. The panel discussion will address innovat</w:t>
      </w:r>
    </w:p>
    <w:p>
      <w:pPr/>
      <w:r>
        <w:rPr>
          <w:b/>
        </w:rPr>
        <w:t>POSSIBLE 2022:</w:t>
      </w:r>
      <w:r>
        <w:t xml:space="preserve"> Advancing Weather and Climate Forecasting for Our Changing World — https://doi.org/10.1175/bams-d-21-0262.1</w:t>
      </w:r>
    </w:p>
    <w:p>
      <w:pPr/>
      <w:r>
        <w:rPr>
          <w:b/>
        </w:rPr>
        <w:t>Shared claim-specific concepts:</w:t>
      </w:r>
      <w:r>
        <w:t xml:space="preserve"> weather, information; EU scope not established. This is a provisional connection, not an outcome finding.</w:t>
      </w:r>
    </w:p>
    <w:p>
      <w:pPr>
        <w:pStyle w:val="SourceNote"/>
      </w:pPr>
      <w:r>
        <w:rPr>
          <w:b/>
        </w:rPr>
        <w:t>Available abstract (not full text):</w:t>
      </w:r>
      <w:r>
        <w:t xml:space="preserve"> Abstract Our world is rapidly changing. Societies are facing an increase in the frequency and intensity of high-impact and extreme weather and climate events. These extremes together with exponential population growth and demographic shifts (e.g., urbanization, increase in coastal populations) are increasing the detrimental societal and economic impact of hazardous weather and climate events. Urbanization and our changing global economy have also increased the need for accurate projections of climate change and improved predictions of disruptive and potentially beneficial weather events on kilometer scales. Technological innovations are also leading to an evolving and growing role of the private sector in the weather and climate enterprise. This article discusses the challenges faced in accelerating advances in weather and climate forecasting and proposes a vision for key actions needed across the private, public, and academic sectors. Actions span (i) utilizing the new observational and computing ecosystems; (ii) strategies to advance Earth system models; (iii) ways to benefit from the growing role of artificial intelligence; (iv) practices to improve the communication of forecast information and decision support in our age of internet and social media; and (v) addressing the need to reduce the relatively large, detrimental impacts of weather and climate on all nations and esp</w:t>
      </w:r>
    </w:p>
    <w:p>
      <w:pPr/>
      <w:r>
        <w:rPr>
          <w:b/>
        </w:rPr>
        <w:t>POSSIBLE 2022:</w:t>
      </w:r>
      <w:r>
        <w:t xml:space="preserve"> Assessment of stochastic weather forecast of precipitation near European cities, based on analogs of circulation — https://doi.org/10.5194/gmd-15-4941-2022</w:t>
      </w:r>
    </w:p>
    <w:p>
      <w:pPr/>
      <w:r>
        <w:rPr>
          <w:b/>
        </w:rPr>
        <w:t>Shared claim-specific concepts:</w:t>
      </w:r>
      <w:r>
        <w:t xml:space="preserve"> weather, good; EU scope visible. This is a provisional connection, not an outcome finding.</w:t>
      </w:r>
    </w:p>
    <w:p>
      <w:pPr>
        <w:pStyle w:val="SourceNote"/>
      </w:pPr>
      <w:r>
        <w:rPr>
          <w:b/>
        </w:rPr>
        <w:t>Available abstract (not full text):</w:t>
      </w:r>
      <w:r>
        <w:t xml:space="preserve"> Abstract. In this study, we aim to assess the skill of a stochastic weather generator (SWG) to forecast precipitation in several cities of Western Europe. The SWG is based on random sampling of analogs of the geopotential height at 500 hPa. The SWG is evaluated for two reanalyses (NCEP and ERA5). We simulate 100-member ensemble forecasts on a daily time increment. We evaluate the performance of SWG with forecast skill scores and we compare it to ECMWF forecasts. Results show significant positive skill scores (continuous rank probability skill score and correlation) for lead times of 5 and 10 days for different areas in Europe. We found that the low predictability of our model is related to specific weather regimes, depending on the European region. Comparing SWG forecasts to ECMWF forecasts, we found that the SWG shows a good performance for 5 days. This performance varies from one region to another. This paper is a proof of concept for a stochastic regional ensemble precipitation forecast. Its parameters (e.g. region for analogs) must be tuned for each region in order to optimize its performance.</w:t>
      </w:r>
    </w:p>
    <w:p>
      <w:pPr/>
      <w:r>
        <w:rPr>
          <w:b/>
        </w:rPr>
        <w:t>POSSIBLE 2021:</w:t>
      </w:r>
      <w:r>
        <w:t xml:space="preserve"> First Draft of Crypto-Asset Regulation (MiCA) with the European Union and Potential Implementation — https://doi.org/10.4467/22996834flr.21.011.13979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This article focuses on the very first working draft of new crypto-asset regulation within the European Union. The primary aim of this article is to evaluate the newly defined institutes in the draft and confirm or disprove the hypothesis that this new system of crypto-assets may be implemented to the actual regulation of capital markets as well as payment system, in effect within the European Union. As mentioned above, hypothesis will count on an ideal adoption of the MiCA regulation into the existing legal framework of both, capital markets as well as payments regulation in the European Union, not interfering with existing laws or regulations. Within the first part of this article, synthesis will be used as well as compilation for the description of crypto-asset categories and of the issuers of crypto-assets or crypto-asset service providers. Subsequently, analysis will be applied for the specification of missing elements for the purpose of finding the right connection and implementation into the existing regulation of capital markets and payments industry.</w:t>
      </w:r>
    </w:p>
    <w:p>
      <w:pPr/>
      <w:r>
        <w:rPr>
          <w:b/>
        </w:rPr>
        <w:t>POSSIBLE 2021:</w:t>
      </w:r>
      <w:r>
        <w:t xml:space="preserve"> Implementation of the New European Bauhaus Principles as a Context for Teaching Sustainable Architecture — https://doi.org/10.3390/su131910715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Due to the presentation of the European Green Deal (EGD) on 11 December 2019, it is important to introduce a new context for the education of architects corresponding to the objectives set by the European Union. These include reducing greenhouse gas emissions, increasing the energy efficiency of buildings, designing buildings in accordance with the principles of the circular economy, using renewable energy, as well as promoting ecological food and protecting biodiversity. As part of the design course Environmentally Friendly Housing Architecture, inspired by, among others, the design of the New European Bauhaus and the former Bauhaus art school, both of which are compared in the first part of this article, we identify a number of new, assessed design indicators related to the achievement of the above objectives, in line with the trend of sustainable architecture. The indicators are divided into four main categories: energy, environment, indoor climate, and society, where, for example, the environmental category includes the following criteria: embodied energy (MJ/m2), embodied carbon footprint (CO2eq/m2), use of rainwater and gray water (% of demand), use of mains water (% of demand), local production of vegetables and fruit (% of demand). During the design process, changes were made to achieve better indicators, and the final designs were described using radar charts. The pape</w:t>
      </w:r>
    </w:p>
    <w:p>
      <w:pPr/>
      <w:r>
        <w:rPr>
          <w:b/>
        </w:rPr>
        <w:t>POSSIBLE 2021:</w:t>
      </w:r>
      <w:r>
        <w:t xml:space="preserve"> Implementation of circular economy on the basis of European experience — https://doi.org/10.23939/smeu2021.02.280</w:t>
      </w:r>
    </w:p>
    <w:p>
      <w:pPr/>
      <w:r>
        <w:rPr>
          <w:b/>
        </w:rPr>
        <w:t>Shared claim-specific concepts:</w:t>
      </w:r>
      <w:r>
        <w:t xml:space="preserve"> implementation, first, agreement; EU scope visible. This is a provisional connection, not an outcome finding.</w:t>
      </w:r>
    </w:p>
    <w:p>
      <w:pPr>
        <w:pStyle w:val="SourceNote"/>
      </w:pPr>
      <w:r>
        <w:rPr>
          <w:b/>
        </w:rPr>
        <w:t>Available abstract (not full text):</w:t>
      </w:r>
      <w:r>
        <w:t xml:space="preserve"> Accelerated population growth, depletion of natural resources, excessive pollution of the environment, which threatens the existence of mankind, was a prerequisite for the emergence of the concept of circular economy and the principles of sustainable development, ie doing business without harm to the environment. The model of circular (circular) economy is aimed at energy saving, regenerative environmentally friendly consumption and production. The article presents the results of the study of the concept of circular economy and the benefits of its implementation based on the experience of the European Union - a global leader in this field. The main goals, priorities and measures of the EU in the implementation of the circular economy are revealed. The basic principles of the circular economy are highlighted, examples of successful use of its business models are given. The two most acute global problems that can be solved only by a closed-loop economy are identified, and forecasts of the results of its global use are given. Closed-loop economics is a concept of resource management that is rapidly gaining global popularity and is recognized in the scientific literature as one of the key drivers for achieving objectives of the Paris Agreement. 30 years have passed since the first mention of the "circularity" of the economy, however only after its official introduction in the EU it</w:t>
      </w:r>
    </w:p>
    <w:p>
      <w:pPr/>
      <w:r>
        <w:rPr>
          <w:b/>
        </w:rPr>
        <w:t>POSSIBLE 2021:</w:t>
      </w:r>
      <w:r>
        <w:t xml:space="preserve"> RURAL ECONOMY: DIRECTIONS OF NEW THEORIZATION AND IMPLEMENTATION OF BEST EUROPEAN FINANCIAL REGULATION PRACTICES — https://doi.org/10.18371/fcaptp.v5i40.245198</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A Ukrainian intellectual-expert community is at the initial stage of forming a methodological basis of the rural economy ontogenesis that is determined, first of all, by the ongoing decentralization reform, a new role of the rural economy from the national perspective of a new (both coronavirus and post-COVID) economic reality in ensuring food sovereignty, economic recovery of the economy, in general, and rural territorial communities, in particular, with regard to new challenges associated with the ageing of the rural community, de-population, predominance of the rural employment in the rural area and financivization of relationships within the rural economic agents, ultimately creating a new normality of the operation and development of the rural economy. Taking into account that Ukraine has strategically outlined its aspiration for integrating into the European Community having successfully passed a forming phase of group dynamics (according to Bruce Tuckman), has moved to a conflict phase having enlarged its orthodox understanding to the absence of proper parity in the development of socioeconomic, financial-institutional processes inside the rural economy, having created the threats to its transition to comprehensive digitalization and «greening» of finances applied for it. In the European Union, this problematics has been studied and an analysis of searches of d</w:t>
      </w:r>
    </w:p>
    <w:p>
      <w:pPr>
        <w:pStyle w:val="Heading2"/>
      </w:pPr>
      <w:r>
        <w:t>747.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2025:</w:t>
      </w:r>
      <w:r>
        <w:t xml:space="preserve"> Approximating Fixed‐Horizon Forecasts Using Fixed‐Event Forecasts — https://doi.org/10.1002/jae.3114</w:t>
      </w:r>
    </w:p>
    <w:p>
      <w:pPr/>
      <w:r>
        <w:rPr>
          <w:b/>
        </w:rPr>
        <w:t>Shared claim-specific concepts:</w:t>
      </w:r>
      <w:r>
        <w:t xml:space="preserve"> forecasts, horizon, empirical; EU scope not established. This is a provisional connection, not an outcome finding.</w:t>
      </w:r>
    </w:p>
    <w:p>
      <w:pPr>
        <w:pStyle w:val="SourceNote"/>
      </w:pPr>
      <w:r>
        <w:rPr>
          <w:b/>
        </w:rPr>
        <w:t>Available abstract (not full text):</w:t>
      </w:r>
      <w:r>
        <w:t xml:space="preserve"> ABSTRACT Many forecast surveys ask their participants for fixed‐event forecasts. As fixed‐event forecasts have seasonal properties, users often employ an ad hoc approach to approximate fixed‐horizon forecasts based on these fixed‐event forecasts. We derive an optimal approximation for fixed‐horizon forecasts by minimizing the mean‐squared approximation error. Like the ad hoc approach, our approximation employs a weighted average of the fixed‐event forecasts. The optimal weights tend to differ substantially from those of the ad hoc approach. In empirical applications, the gains from using optimal instead of ad hoc weights turn out to be sizeable. The approximation approach proposed can also be useful in other applications.</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horizon, all, renewable, energy, increasing, trend;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horizon, all, groups, different;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Hybrid AI-enhanced lightning flash prediction in the medium-range forecast horizon — https://doi.org/10.1038/s41467-024-44697-2</w:t>
      </w:r>
    </w:p>
    <w:p>
      <w:pPr/>
      <w:r>
        <w:rPr>
          <w:b/>
        </w:rPr>
        <w:t>Shared claim-specific concepts:</w:t>
      </w:r>
      <w:r>
        <w:t xml:space="preserve"> forecasts, horizon, obtained; EU scope visible. This is a provisional connection, not an outcome finding.</w:t>
      </w:r>
    </w:p>
    <w:p>
      <w:pPr>
        <w:pStyle w:val="SourceNote"/>
      </w:pPr>
      <w:r>
        <w:rPr>
          <w:b/>
        </w:rPr>
        <w:t>Available abstract (not full text):</w:t>
      </w:r>
      <w:r>
        <w:t xml:space="preserve"> Traditional fully-deterministic algorithms, which rely on physical equations and mathematical models, are the backbone of many scientific disciplines for decades. These algorithms are based on well-established principles and laws of physics, enabling a systematic and predictable approach to problem-solving. On the other hand, AI-based strategies emerge as a powerful tool for handling vast amounts of data and extracting patterns and relationships that might be challenging to identify through traditional algorithms. Here, we bridge these two realms by using AI to find an optimal mapping of meteorological features predicted two days ahead by the state-of-the-art numerical weather prediction model by the European Centre for Medium-range Weather Forecasts (ECMWF) into lightning flash occurrence. The prediction capability of the resulting AI-enhanced algorithm turns out to be significantly higher than that of the fully-deterministic algorithm employed in the ECMWF model. A remarkable Recall peak of about 95% within the 0-24 h forecast interval is obtained. This performance surpasses the 85% achieved by the ECMWF model at the same Precision of the AI algorithm.</w:t>
      </w:r>
    </w:p>
    <w:p>
      <w:pPr/>
      <w:r>
        <w:rPr>
          <w:b/>
        </w:rPr>
        <w:t>POSSIBLE 2023:</w:t>
      </w:r>
      <w:r>
        <w:t xml:space="preserve"> Transformers for Multi-Horizon Forecasting in an Industry 4.0 Use Case — https://doi.org/10.3390/s23073516</w:t>
      </w:r>
    </w:p>
    <w:p>
      <w:pPr/>
      <w:r>
        <w:rPr>
          <w:b/>
        </w:rPr>
        <w:t>Shared claim-specific concepts:</w:t>
      </w:r>
      <w:r>
        <w:t xml:space="preserve"> horizon, obtained, showed; EU scope not established. This is a provisional connection, not an outcome finding.</w:t>
      </w:r>
    </w:p>
    <w:p>
      <w:pPr>
        <w:pStyle w:val="SourceNote"/>
      </w:pPr>
      <w:r>
        <w:rPr>
          <w:b/>
        </w:rPr>
        <w:t>Available abstract (not full text):</w:t>
      </w:r>
      <w:r>
        <w:t xml:space="preserve"> Recently, a novel approach in the field of Industry 4.0 factory operations was proposed for a new generation of automated guided vehicles (AGVs) that are connected to a virtualized programmable logic controller (PLC) via a 5G multi-access edge-computing (MEC) platform to enable remote control. However, this approach faces a critical challenge as the 5G network may encounter communication disruptions that can lead to AGV deviations and, with this, potential safety risks and workplace issues. To mitigate this problem, several works have proposed the use of fixed-horizon forecasting techniques based on deep-learning models that can anticipate AGV trajectory deviations and take corrective maneuvers accordingly. However, these methods have limited prediction flexibility for the AGV operator and are not robust against network instability. To address this limitation, this study proposes a novel approach based on multi-horizon forecasting techniques to predict the deviation of remotely controlled AGVs. As its primary contribution, the work presents two new versions of the state-of-the-art transformer architecture that are well-suited to the multi-horizon prediction problem. We conduct a comprehensive comparison between the proposed models and traditional deep-learning models, such as the long short-term memory (LSTM) neural network, to evaluate the performance and capabilities of the p</w:t>
      </w:r>
    </w:p>
    <w:p>
      <w:pPr/>
      <w:r>
        <w:rPr>
          <w:b/>
        </w:rPr>
        <w:t>POSSIBLE 2021:</w:t>
      </w:r>
      <w:r>
        <w:t xml:space="preserve"> Machine learning for regional crop yield forecasting in Europe — https://doi.org/10.1016/j.fcr.2021.108377</w:t>
      </w:r>
    </w:p>
    <w:p>
      <w:pPr/>
      <w:r>
        <w:rPr>
          <w:b/>
        </w:rPr>
        <w:t>Shared claim-specific concepts:</w:t>
      </w:r>
      <w:r>
        <w:t xml:space="preserve"> forecasts, trend, ones; EU scope visible. This is a provisional connection, not an outcome finding.</w:t>
      </w:r>
    </w:p>
    <w:p>
      <w:pPr>
        <w:pStyle w:val="SourceNote"/>
      </w:pPr>
      <w:r>
        <w:rPr>
          <w:b/>
        </w:rPr>
        <w:t>Available abstract (not full text):</w:t>
      </w:r>
      <w:r>
        <w:t xml:space="preserve"> Crop yield forecasting at national level relies on predictors aggregated from smaller spatial units to larger ones according to harvested crop areas. Such crop areas come from land cover maps or reported statistics, both of which can have errors and uncertainties. Sub-national or regional crop yield forecasting minimizes the propagation of these errors to some extent. In addition, regional forecasts provide added value and insights to stakeholders on regional differences within a country, which would otherwise compensate each other at national level. We propose a crop yield forecasting approach for multiple spatial levels based on regional crop yield forecasts from machine learning. Machine learning, with its data-driven approach, can leverage larger data sizes and capture nonlinear relationships between predictors and yield at regional level. We designed a generic machine learning workflow to demonstrate the benefits of regional crop yield forecasting in Europe. To evaluate the quality and usefulness of regional forecasts, we predicted crop yields for 35 case studies, including nine countries that are major producers of six crops (soft wheat, spring barley, sunflower, grain maize, sugar beets and potatoes). Machine learning models at regional level had lower normalized root mean squared errors (NRMSE) and uncertainty than a linear trend model, with Wilcoxon p-values of 3e-7 an</w:t>
      </w:r>
    </w:p>
    <w:p>
      <w:pPr/>
      <w:r>
        <w:rPr>
          <w:b/>
        </w:rPr>
        <w:t>POSSIBLE 2020:</w:t>
      </w:r>
      <w:r>
        <w:t xml:space="preserve"> A Review of Electricity Demand Forecasting in Low and Middle Income Countries: The Demand Determinants and Horizons — https://doi.org/10.3390/su12155931</w:t>
      </w:r>
    </w:p>
    <w:p>
      <w:pPr/>
      <w:r>
        <w:rPr>
          <w:b/>
        </w:rPr>
        <w:t>Shared claim-specific concepts:</w:t>
      </w:r>
      <w:r>
        <w:t xml:space="preserve"> forecasts, increasing, different; EU scope not established. This is a provisional connection, not an outcome finding.</w:t>
      </w:r>
    </w:p>
    <w:p>
      <w:pPr>
        <w:pStyle w:val="SourceNote"/>
      </w:pPr>
      <w:r>
        <w:rPr>
          <w:b/>
        </w:rPr>
        <w:t>Available abstract (not full text):</w:t>
      </w:r>
      <w:r>
        <w:t xml:space="preserve"> With the globally increasing electricity demand, its related uncertainties are on the rise as well. Therefore, a deeper insight of load forecasting techniques for projecting future electricity demands becomes imperative for business entities and policy makers. The electricity demand is governed by a set of different variables or “electricity demand determinants”. These demand determinants depend on forecasting horizons (long term, medium term, and short term), the load aggregation level, climate, and socio-economic activities. In this paper, a review of different electricity demand forecasting methodologies is provided in the context of a group of low and middle income countries. The article presents a comprehensive literature review by tabulating the different demand determinants used in different countries and forecasting the trends and techniques used in these countries. A comparative review of these forecasting methodologies over different time horizons reveals that the time series modeling approach has been extensively used while forecasting for long and medium terms. For short term forecasts, artificial intelligence-based techniques remain prevalent in the literature. Furthermore, a comparative analysis of the demand determinants in these countries indicates a frequent use of determinants like the population, GDP, weather, and load data over different time horizons. Follo</w:t>
      </w:r>
    </w:p>
    <w:p>
      <w:pPr>
        <w:pStyle w:val="Heading2"/>
      </w:pPr>
      <w:r>
        <w:t>748.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2025:</w:t>
      </w:r>
      <w:r>
        <w:t xml:space="preserve"> Legislative instruments protecting freedom of expression in Europe - an overview — https://doi.org/10.1007/s12027-025-00852-w</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Freedom of expression is a foundational value shared across European nations, and this is reflected in the regulatory policy of both the European Union and of the Council of Europe. In response to the profound transformations and emerging challenges in public communication over the past decade, the European Union has adopted a comprehensive regulatory framework, which this article outlines in brief. Concurrently, the Council of Europe has contributed through the development of progressive soft law instruments. This article examines the underlying logic and structure of the evolving regulatory landscape, referencing key legal instruments, case law, and other relevant resources.</w:t>
      </w:r>
    </w:p>
    <w:p>
      <w:pPr/>
      <w:r>
        <w:rPr>
          <w:b/>
        </w:rPr>
        <w:t>POSSIBLE 2024:</w:t>
      </w:r>
      <w:r>
        <w:t xml:space="preserve"> DIGITALISED WORK OF WOMEN IN THE EUROPEAN UNION AND POLISH REGULATION AND LEGISLATIVE PROPOSALS — https://doi.org/10.31338/2544-3135.si.2024-99.4</w:t>
      </w:r>
    </w:p>
    <w:p>
      <w:pPr/>
      <w:r>
        <w:rPr>
          <w:b/>
        </w:rPr>
        <w:t>Shared claim-specific concepts:</w:t>
      </w:r>
      <w:r>
        <w:t xml:space="preserve"> however, legislative, proposals, union; EU scope visible. This is a provisional connection, not an outcome finding.</w:t>
      </w:r>
    </w:p>
    <w:p>
      <w:pPr>
        <w:pStyle w:val="SourceNote"/>
      </w:pPr>
      <w:r>
        <w:rPr>
          <w:b/>
        </w:rPr>
        <w:t>Available abstract (not full text):</w:t>
      </w:r>
      <w:r>
        <w:t xml:space="preserve"> The article aims to assess if women’s problems are specifically identified in labour legislation relating to digitalisation. Women appear in preparatory phases of legislative procedures (reports, motives), while usually they are not explicitly addressed in final drafts or acts. Digitalisation of work of women as such, referring to biological features of the gender itself is not perceived as a specific problem to be solved. Female workers are not treated as a vulnerable group which should benefit from additional guarantees in the process of digitalisation. It proves that in digitalised work, sex is not a distinctive feature: both sexes are able and skilled to work with digital devices. Criteria used to identify vulnerable groups refer to social situations rather than sex itself (e.g. education and training, caring responsibilities). However, women tend to constitute the majority of such groups. Therefore, respective ‘horizontal’ protective provisions and standards (e.g. working time, right to disconnect, work-life balance or non-discrimination) are particularly important for women.</w:t>
      </w:r>
    </w:p>
    <w:p>
      <w:pPr/>
      <w:r>
        <w:rPr>
          <w:b/>
        </w:rPr>
        <w:t>POSSIBLE 2024:</w:t>
      </w:r>
      <w:r>
        <w:t xml:space="preserve"> The Letta report: a set of proposals for revitalising the European economy — https://doi.org/10.53479/38193</w:t>
      </w:r>
    </w:p>
    <w:p>
      <w:pPr/>
      <w:r>
        <w:rPr>
          <w:b/>
        </w:rPr>
        <w:t>Shared claim-specific concepts:</w:t>
      </w:r>
      <w:r>
        <w:t xml:space="preserve"> however, legislative, proposals, number, set, union; EU scope visible. This is a provisional connection, not an outcome finding.</w:t>
      </w:r>
    </w:p>
    <w:p>
      <w:pPr>
        <w:pStyle w:val="SourceNote"/>
      </w:pPr>
      <w:r>
        <w:rPr>
          <w:b/>
        </w:rPr>
        <w:t>Available abstract (not full text):</w:t>
      </w:r>
      <w:r>
        <w:t xml:space="preserve"> Europe is facing a number of major challenges in the near future, including managing the climate transition, the effects of technological transformations and geopolitical changes. European and national authorities are aware that the tools currently in place are insufficient to address these challenges and that a determined reform drive is therefore needed. At the start of a new European institutional cycle, the set of proposals in the Letta report, aimed at completing the Single Market and adapting it to the new circumstances, constitute a major contribution to the European economic policy debate. The most important initiatives include the revitalisation of the capital markets union, the creation of a pan-European State aid scheme based on national contributions, the promulgation of a European code of commercial law as an alternative to the harmonisation of the 27 existing national systems, the incorporation into the Single Market of sectors that have so far been largely outside it (such as energy and telecommunications) or, in the legislative field, the prioritisation of the use of regulations, which are directly applicable in the Member States, over directives, which require transposition into the legal systems of each country. The report’s diagnosis is largely shared by the various national authorities, who also welcomed the main thrust of the proposals. However, it is not d</w:t>
      </w:r>
    </w:p>
    <w:p>
      <w:pPr/>
      <w:r>
        <w:rPr>
          <w:b/>
        </w:rPr>
        <w:t>POSSIBLE 2024:</w:t>
      </w:r>
      <w:r>
        <w:t xml:space="preserve"> Legislative measures to combat domestic violence: A comparison of European and Asian countries — https://doi.org/10.32518/sals4.2024.157</w:t>
      </w:r>
    </w:p>
    <w:p>
      <w:pPr/>
      <w:r>
        <w:rPr>
          <w:b/>
        </w:rPr>
        <w:t>Shared claim-specific concepts:</w:t>
      </w:r>
      <w:r>
        <w:t xml:space="preserve"> legislative, number, reduction; EU scope visible. This is a provisional connection, not an outcome finding.</w:t>
      </w:r>
    </w:p>
    <w:p>
      <w:pPr>
        <w:pStyle w:val="SourceNote"/>
      </w:pPr>
      <w:r>
        <w:rPr>
          <w:b/>
        </w:rPr>
        <w:t>Available abstract (not full text):</w:t>
      </w:r>
      <w:r>
        <w:t xml:space="preserve"> The purpose of this study was to determine the effectiveness of legislative initiatives to combat domestic violence in different cultural contexts. The study covered 10 countries: five European (Germany, France, the United Kingdom, Sweden, Spain) and five Asian (Japan, India, Turkey, Kazakhstan, Mongolia). The study included an analysis of the legislation of the respective countries, and an assessment of the effectiveness of innovative legal approaches. The study revealed substantial regional differences in the effectiveness of legislative measures. European countries have demonstrated a higher level of implementation of comprehensive protection mechanisms. The most effective were electronic monitoring of offenders in Sweden, which led to a significant reduction in the number of violations of restraining orders; the Telephone Grave Danger urgent response system in France, which provided rapid protection for high-risk victims; and specialised courts in Spain, which expedited the processing of domestic violence cases. In Asia, the greatest progress was seen in the implementation of rehabilitation programmes for perpetrators in Mongolia, which reduced recidivism rates, and the expansion of the legal definition of domestic violence in India to include economic and psychological violence. An analysis of expert assessments revealed that cultural barriers stay a considerable challenge</w:t>
      </w:r>
    </w:p>
    <w:p>
      <w:pPr/>
      <w:r>
        <w:rPr>
          <w:b/>
        </w:rPr>
        <w:t>POSSIBLE 2024:</w:t>
      </w:r>
      <w:r>
        <w:t xml:space="preserve"> Cultured meat in the European Union: Legislative context and food safety issues — https://doi.org/10.1016/j.crfs.2024.100722</w:t>
      </w:r>
    </w:p>
    <w:p>
      <w:pPr/>
      <w:r>
        <w:rPr>
          <w:b/>
        </w:rPr>
        <w:t>Shared claim-specific concepts:</w:t>
      </w:r>
      <w:r>
        <w:t xml:space="preserve"> however, legislative, goal, set, union; EU scope visible. This is a provisional connection, not an outcome finding.</w:t>
      </w:r>
    </w:p>
    <w:p>
      <w:pPr>
        <w:pStyle w:val="SourceNote"/>
      </w:pPr>
      <w:r>
        <w:rPr>
          <w:b/>
        </w:rPr>
        <w:t>Available abstract (not full text):</w:t>
      </w:r>
      <w:r>
        <w:t xml:space="preserve"> The current food system, which is responsible for about one third of all global gas emissions, is considered one of the main causes of resource depletion. For this reason, scientific research is investigating new alternatives capable of feeding an ever-growing population that is set to reach 9-11 billion by 2050. Among these, cell-based meat, also called cultured meat, is one possible solution. It is part of a larger branch of science called cellular agriculture, whose goal is to produce food from individual cells rather than whole organisms, tracing their molecular profile. To date, however, cultured meat aroused conflicting opinions. For this reason, the aim of this review was to take an in-depth look at the current European legislative framework, which reflects a 'precautionary approach' based on the assumption that these innovative foods require careful risk assessment to safeguard consumer health. In this context, the assessment of possible risks made it possible not only to identify the main critical points during each stage of the production chain (proliferation, differentiation, scaffolding, maturation and marketing), but also to identify solutions in accordance with the recommendations of the European Food Safety Authority (EFSA). Further, the main challenges related to organoleptic and nutritional properties have been reviewed.. Finally, possible future markets were s</w:t>
      </w:r>
    </w:p>
    <w:p>
      <w:pPr/>
      <w:r>
        <w:rPr>
          <w:b/>
        </w:rPr>
        <w:t>POSSIBLE 2023:</w:t>
      </w:r>
      <w:r>
        <w:t xml:space="preserve"> Workability via Platform: A Legislative Proposal and a Collective Movement for Socio-Labor Civil Integration — https://doi.org/10.24857/rgsa.v18n2-023</w:t>
      </w:r>
    </w:p>
    <w:p>
      <w:pPr/>
      <w:r>
        <w:rPr>
          <w:b/>
        </w:rPr>
        <w:t>Shared claim-specific concepts:</w:t>
      </w:r>
      <w:r>
        <w:t xml:space="preserve"> legislative, objective, union; EU scope not established. This is a provisional connection, not an outcome finding.</w:t>
      </w:r>
    </w:p>
    <w:p>
      <w:pPr>
        <w:pStyle w:val="SourceNote"/>
      </w:pPr>
      <w:r>
        <w:rPr>
          <w:b/>
        </w:rPr>
        <w:t>Available abstract (not full text):</w:t>
      </w:r>
      <w:r>
        <w:t xml:space="preserve"> Introduction: The legal integration of work via technological platforms (applications) in the Brazilian legal system. Contextualization/concept: Under the terms of articles 7 and 114 of the Constitution of the Federative Republic of Brazil of 1988, it is work and work relations that gain grammaticality and literality in the constitutional text, which inaugurate the concept of workability, when the tone of employment (industrial sector) would be giving way to work (services sector). Objective: The historical and normative broth induces a perspective of reflexivity in the midst of resisted change, which will impose on workers via the platform (as mostly urban workers) and labor institutions renewed forms of collective union political, legislative and organizational action, whether at a national or international level, to overcome obstacles that impede the effectiveness of constitutional labor standards. Methodology: The methodology follows comprehensive (Weberian) and extensive interpretative and constitutional historical analysis connected to excerpts from current reality, centered on the theoretical-normative method. Theoretical framework: For Weber (2000), legal norms have the function of disciplining and ordering actions and social relations, constituting maxims and, therefore, creating the conditions of administration and obedience of society's participants to the law. Concl</w:t>
      </w:r>
    </w:p>
    <w:p>
      <w:pPr/>
      <w:r>
        <w:rPr>
          <w:b/>
        </w:rPr>
        <w:t>POSSIBLE 2022:</w:t>
      </w:r>
      <w:r>
        <w:t xml:space="preserve"> Metrics, Explainability and the European AI Act Proposal — https://doi.org/10.3390/j5010010</w:t>
      </w:r>
    </w:p>
    <w:p>
      <w:pPr/>
      <w:r>
        <w:rPr>
          <w:b/>
        </w:rPr>
        <w:t>Shared claim-specific concepts:</w:t>
      </w:r>
      <w:r>
        <w:t xml:space="preserve"> expected, goal, set; EU scope visible. This is a provisional connection, not an outcome finding.</w:t>
      </w:r>
    </w:p>
    <w:p>
      <w:pPr>
        <w:pStyle w:val="SourceNote"/>
      </w:pPr>
      <w:r>
        <w:rPr>
          <w:b/>
        </w:rPr>
        <w:t>Available abstract (not full text):</w:t>
      </w:r>
      <w:r>
        <w:t xml:space="preserve"> On 21 April 2021, the European Commission proposed the first legal framework on Artificial Intelligence (AI) to address the risks posed by this emerging method of computation. The Commission proposed a Regulation known as the AI Act. The proposed AI Act considers not only machine learning, but expert systems and statistical models long in place. Under the proposed AI Act, new obligations are set to ensure transparency, lawfulness, and fairness. Their goal is to establish mechanisms to ensure quality at launch and throughout the whole life cycle of AI-based systems, thus ensuring legal certainty that encourages innovation and investments on AI systems while preserving fundamental rights and values. A standardisation process is ongoing: several entities (e.g., ISO) and scholars are discussing how to design systems that are compliant with the forthcoming Act, and explainability metrics play a significant role. Specifically, the AI Act sets some new minimum requirements of explicability (transparency and explainability) for a list of AI systems labelled as “high-risk” listed in Annex III. These requirements include a plethora of technical explanations capable of covering the right amount of information, in a meaningful way. This paper aims to investigate how such technical explanations can be deemed to meet the minimum requirements set by the law and expected by society. To answer </w:t>
      </w:r>
    </w:p>
    <w:p>
      <w:pPr/>
      <w:r>
        <w:rPr>
          <w:b/>
        </w:rPr>
        <w:t>POSSIBLE 2021:</w:t>
      </w:r>
      <w:r>
        <w:t xml:space="preserve"> Evaluating the Tax Veto in a Digital Age: Legislative Efficiency and National Sovereignty in the European Union — https://openalex.org/W3175327905</w:t>
      </w:r>
    </w:p>
    <w:p>
      <w:pPr/>
      <w:r>
        <w:rPr>
          <w:b/>
        </w:rPr>
        <w:t>Shared claim-specific concepts:</w:t>
      </w:r>
      <w:r>
        <w:t xml:space="preserve"> however, legislative, proposals, council, union; EU scope visible. This is a provisional connection, not an outcome finding.</w:t>
      </w:r>
    </w:p>
    <w:p>
      <w:pPr>
        <w:pStyle w:val="SourceNote"/>
      </w:pPr>
      <w:r>
        <w:rPr>
          <w:b/>
        </w:rPr>
        <w:t>Available abstract (not full text):</w:t>
      </w:r>
      <w:r>
        <w:t xml:space="preserve"> The total market capitalization of the six largest US-headquartered tech companies now tops $4.5 trillion; yet, much of the revenues from these largest tech companies legally escapes taxation every year. Recognizing the challenges of taxing the digital economy, the international community joined forces to reform the outdated global tax framework. In 2018, however, the United States (US) hesitated to commit to reform and international negotiations stalled. The European Commission (Commission) subsequently proposed an interim Digital Service Tax for the European Union (EU), in part, to incentivize stronger US involvement in negotiations. Because the European Council requires unanimity when voting on tax proposals, however, the proposal failed when three Member States exercised their tax veto. Defeated by veto, EU leaders could have pursued Enhanced Cooperation to revive the legislation. Instead, the Commission proposed permanent elimination of tax unanimity through the obscure and never-used Passerelle Clauses that allow legislators to utilize majority voting without amending any treaties. In doing so, the Commission signaled its desire for the European Union to emerge as a global tax leader, unencumbered by the need to obtain unanimity. However, the Commission’s proposal also raises serious EU state sovereignty concerns. This Note explores the costs and benefits of abandoning th</w:t>
      </w:r>
    </w:p>
    <w:p>
      <w:pPr>
        <w:pStyle w:val="Heading2"/>
      </w:pPr>
      <w:r>
        <w:t>749.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r>
        <w:rPr>
          <w:b/>
        </w:rPr>
        <w:t>POSSIBLE 2019:</w:t>
      </w:r>
      <w:r>
        <w:t xml:space="preserve"> European Union Litigation — https://doi.org/10.1515/ercl-2019-0020</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February and the end of June 2019.</w:t>
      </w:r>
    </w:p>
    <w:p>
      <w:pPr/>
      <w:r>
        <w:rPr>
          <w:b/>
        </w:rPr>
        <w:t>POSSIBLE 2019:</w:t>
      </w:r>
      <w:r>
        <w:t xml:space="preserve"> European Union Litigation — https://doi.org/10.1515/ercl-2019-0005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mid-July 2018 and the end of January 2019.</w:t>
      </w:r>
    </w:p>
    <w:p>
      <w:pPr>
        <w:pStyle w:val="Heading2"/>
      </w:pPr>
      <w:r>
        <w:t>750.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2025:</w:t>
      </w:r>
      <w:r>
        <w:t xml:space="preserve"> Shariah-Integrated Early Warning Framework for Financial Distress in Indonesian Islamic Banks — https://doi.org/10.37641/jiakes.v13i4.3868</w:t>
      </w:r>
    </w:p>
    <w:p>
      <w:pPr/>
      <w:r>
        <w:rPr>
          <w:b/>
        </w:rPr>
        <w:t>Shared claim-specific concepts:</w:t>
      </w:r>
      <w:r>
        <w:t xml:space="preserve"> early, warning, system, proposed, factors; EU scope not established. This is a provisional connection, not an outcome finding.</w:t>
      </w:r>
    </w:p>
    <w:p>
      <w:pPr>
        <w:pStyle w:val="SourceNote"/>
      </w:pPr>
      <w:r>
        <w:rPr>
          <w:b/>
        </w:rPr>
        <w:t>Available abstract (not full text):</w:t>
      </w:r>
      <w:r>
        <w:t xml:space="preserve"> Indonesia’s Islamic banking sector has grown rapidly, driven by Shariah-compliant operations, but faces vulnerabilities from complex governance and regulatory demands. Ensuring financial stability requires effective predictive tools tailored to these unique operational and regulatory conditions. This study aims to develop a structural Early Warning System (EWS) to predict financial distress in Islamic banks, integrating macroeconomic indicators, bank-specific performance variables, and a Shariah Compliance Index, with Islamic corporate governance and risk management as mediators. Data from 14 Islamic commercial banks over 2015–2024 were analyzed using Partial Least Squares Structural Equation Modeling (PLS-SEM) via SmartPLS 4. The results show that internal bank factors and Shariah compliance significantly strengthen governance and risk management, which in turn reduces financial distress, while macroeconomic variables have no direct effect. The findings highlight the central role of internal governance and compliance in resilience. The proposed framework provides a unified, Shariah-aligned predictive system, enabling regulators, Shariah Supervisory Boards, and bank executives to implement evidence-based strategies. This study also lays the groundwork for a Shariah-based Financial Distress Index, enhancing the sector’s ability to manage operational and regulatory complexities e</w:t>
      </w:r>
    </w:p>
    <w:p>
      <w:pPr/>
      <w:r>
        <w:rPr>
          <w:b/>
        </w:rPr>
        <w:t>POSSIBLE 2025:</w:t>
      </w:r>
      <w:r>
        <w:t xml:space="preserve"> Early warning of regime switching in a complex financial system from a spillover network dynamic perspective — https://doi.org/10.1016/j.isci.2025.111924</w:t>
      </w:r>
    </w:p>
    <w:p>
      <w:pPr/>
      <w:r>
        <w:rPr>
          <w:b/>
        </w:rPr>
        <w:t>Shared claim-specific concepts:</w:t>
      </w:r>
      <w:r>
        <w:t xml:space="preserve"> early, warning, system, stock, selected; EU scope not established. This is a provisional connection, not an outcome finding.</w:t>
      </w:r>
    </w:p>
    <w:p>
      <w:pPr>
        <w:pStyle w:val="SourceNote"/>
      </w:pPr>
      <w:r>
        <w:rPr>
          <w:b/>
        </w:rPr>
        <w:t>Available abstract (not full text):</w:t>
      </w:r>
      <w:r>
        <w:t xml:space="preserve"> Early warning of regime switching in a complex financial system is a critical and challenging issue in risk management. Previous research has examined regime switching through analyzing the fluctuation features in a single point in time series; however, it has rarely examined the dynamic spillovers across multivariable time series. This paper develops an early warning model of regime switching that incorporates a spillover network model and a machine learning model. Typical energy prices and stock market indices are selected as the sample data. The key spillover networks can be detected according to the distribution of the network indicators. The early warning signals can be captured by six typical machine learning models, and the random forest model has better performance. The robustness of the model is also discussed. Our study enriches regime switching research and provides important early warning signals for policymakers and market investors.</w:t>
      </w:r>
    </w:p>
    <w:p>
      <w:pPr/>
      <w:r>
        <w:rPr>
          <w:b/>
        </w:rPr>
        <w:t>POSSIBLE 2023:</w:t>
      </w:r>
      <w:r>
        <w:t xml:space="preserve"> Real-Time High-Resolution Prediction of Orographic Rainfall for Early Warning of Landslides — https://doi.org/10.1007/978-3-031-16898-7_17</w:t>
      </w:r>
    </w:p>
    <w:p>
      <w:pPr/>
      <w:r>
        <w:rPr>
          <w:b/>
        </w:rPr>
        <w:t>Shared claim-specific concepts:</w:t>
      </w:r>
      <w:r>
        <w:t xml:space="preserve"> early, warning; EU scope not established. This is a provisional connection, not an outcome finding.</w:t>
      </w:r>
    </w:p>
    <w:p>
      <w:pPr>
        <w:pStyle w:val="SourceNote"/>
      </w:pPr>
      <w:r>
        <w:rPr>
          <w:b/>
        </w:rPr>
        <w:t>Available abstract (not full text):</w:t>
      </w:r>
      <w:r>
        <w:t xml:space="preserve"> Abstract Heavy rainfall often causes devastating landslides. Early warning based on reliable rainfall prediction can help reduce human and economic damages. This paper describes a recent development of reliable high-resolution prediction of orographic (topographic) rainfall using our next-generation numerical weather prediction model, the Multi-Scale Simulator for the Geoenvironment (MSSG). High-resolution computing is required for reliable rainfall prediction, and the MSSG can run with very high resolutions. Robust cloud microphysics is another key to realizing reliable predictions of orographic clouds, where the atmospheric boundary turbulence can affect. This paper clarifies that in-cloud turbulence can enhance cloud development. The recent cloud microphysics model that can consider turbulence enhancement is newly implemented in the MSSG. The emerging machine-learning technology is also coupled with the MSSG for reliable operational predictions. We show the recent development towards reliable predictions of orographic rainfall for realizing early warning of landslides.</w:t>
      </w:r>
    </w:p>
    <w:p>
      <w:pPr/>
      <w:r>
        <w:rPr>
          <w:b/>
        </w:rPr>
        <w:t>POSSIBLE 2023:</w:t>
      </w:r>
      <w:r>
        <w:t xml:space="preserve"> Volatility Spillovers and Contagion During Major Crises: An Early Warning Approach Based on a Deep Learning Model — https://doi.org/10.1007/s10614-023-10412-4</w:t>
      </w:r>
    </w:p>
    <w:p>
      <w:pPr/>
      <w:r>
        <w:rPr>
          <w:b/>
        </w:rPr>
        <w:t>Shared claim-specific concepts:</w:t>
      </w:r>
      <w:r>
        <w:t xml:space="preserve"> early, warning, system, asian, stock; EU scope not established. This is a provisional connection, not an outcome finding.</w:t>
      </w:r>
    </w:p>
    <w:p>
      <w:pPr>
        <w:pStyle w:val="SourceNote"/>
      </w:pPr>
      <w:r>
        <w:rPr>
          <w:b/>
        </w:rPr>
        <w:t>Available abstract (not full text):</w:t>
      </w:r>
      <w:r>
        <w:t xml:space="preserve"> Abstract This paper contributes to the ongoing debate on the nature and characteristics of the volatility transmission channels of major crash events in international stock markets between 03 July 1997 and 09 March 2021. Using dynamic conditional correlations (DCC) for conditional correlations and volatility clustering, GARCH-BEKK for the direction of transmission of disturbances, and the Diebold-Yilmaz spillover index for the level of volatility contagion, the paper finds that the climbs in external shock transmissions have long-lasting impacts in domestic markets due to the contagion effect during crisis periods. The findings also reveal that the heavier magnitude of financial stress is transmitted between Asian countries via the Hong Kong stock market. Additionally, the degree of volatility spillovers between advanced and emerging equity markets is smaller compared to the pure spillovers between advanced markets or emerging markets, offering a window of opportunity for international market participants in terms of portfolio diversification and risk management applications. Furthermore, the study introduces a novel early warning system created by integrating DCC correlations with a state-of-the-art deep learning model to predict the global financial crisis and COVID-19 crisis. The experimental analysis of long short-term memory network finds evidence of contagion risk by veri</w:t>
      </w:r>
    </w:p>
    <w:p>
      <w:pPr/>
      <w:r>
        <w:rPr>
          <w:b/>
        </w:rPr>
        <w:t>POSSIBLE 2022:</w:t>
      </w:r>
      <w:r>
        <w:t xml:space="preserve"> Early Warning System for the European Insurance Sector — https://doi.org/10.31577/ekoncas.2022.01.01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study proposes an Early Warning System model composed of macrofinancial and company-specific indicators that could help to anticipate a potential market distress in the European insurance sector.A distress is defined as periods in which insurance companies' equity prices crash and CDS spreads spike simultaneously.The model is estimated using a sample of 36 insurance companies that are listed.Based on a fixed-effects panel binomial logit specification, empirical evidence shows that economic overheating that could be manifested by high economic growth, inflation and interest rates have negative impact on insurance sector stability.At the company level, a drop in return on assets and price-to-book value or raising operating expenses increase the likelihood of distress occurrence.</w:t>
      </w:r>
    </w:p>
    <w:p>
      <w:pPr/>
      <w:r>
        <w:rPr>
          <w:b/>
        </w:rPr>
        <w:t>POSSIBLE 2022:</w:t>
      </w:r>
      <w:r>
        <w:t xml:space="preserve"> Early Warning Systems for Small Business: Insights from Across Europe — https://doi.org/10.1142/s0218495822500157</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In this paper we propose that a crisis can be avoided by taking countermeasures, which are informed by an Early Warning System. An Early Warning System can help lessen the impact of crisis episodes and provide a systematic approach to the response of small business owners to challenges in their business environment. Following a review of the literature, we undertook data collection in two stages. In stage one, focus groups were conducted with small business owners in four European countries. In stage two we worked with an expert panel to refine and develop a set of indicators for an Early Warning System. It is envisaged that the set of indicators will serve as the basis for further thought and empiricism. We argue that a delay in crisis recognition curtails the scope and time for corrective action.</w:t>
      </w:r>
    </w:p>
    <w:p>
      <w:pPr/>
      <w:r>
        <w:rPr>
          <w:b/>
        </w:rPr>
        <w:t>POSSIBLE 2022:</w:t>
      </w:r>
      <w:r>
        <w:t xml:space="preserve"> New psychoactive substances: 25 years of early warning and response in Europe. An update from the EU Early Warning System — https://doi.org/10.1016/j.toxac.2022.06.022</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Unavailable</w:t>
      </w:r>
    </w:p>
    <w:p>
      <w:pPr>
        <w:pStyle w:val="Heading2"/>
      </w:pPr>
      <w:r>
        <w:t>751.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r>
        <w:rPr>
          <w:b/>
        </w:rPr>
        <w:t>POSSIBLE 2025:</w:t>
      </w:r>
      <w:r>
        <w:t xml:space="preserve"> Practical Application of Surface Complexation Models: Evolution, Approaches, and Examples — https://doi.org/10.2138/rmg.2025.91a.13</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EXAMPLES FROM THE QURAN AND HUMAN NATURE: PRACTICAL APPLICATION IN THE MODERN ERA — https://openalex.org/W7220088003</w:t>
      </w:r>
    </w:p>
    <w:p>
      <w:pPr/>
      <w:r>
        <w:rPr>
          <w:b/>
        </w:rPr>
        <w:t>Shared claim-specific concepts:</w:t>
      </w:r>
      <w:r>
        <w:t xml:space="preserve"> examples, practical, application, individual; EU scope not established. This is a provisional connection, not an outcome finding.</w:t>
      </w:r>
    </w:p>
    <w:p>
      <w:pPr>
        <w:pStyle w:val="SourceNote"/>
      </w:pPr>
      <w:r>
        <w:rPr>
          <w:b/>
        </w:rPr>
        <w:t>Available abstract (not full text):</w:t>
      </w:r>
      <w:r>
        <w:t xml:space="preserve"> The parables of the Quran, known as Amthal ul-Quran, are integral elements of divine wisdom, crafted to guide humanity toward spiritual enlightenment and moral rectitude. These parables employ vivid and relatable analogies to elucidate complex spiritual, ethical, and social truths, making them accessible to people of all intellectual capacities and cultural backgrounds. By bridging abstract ideas with tangible realities, they address universal human experiences and dilemmas, offering solutions rooted in timeless principles. This study delves into the profound relevance of Quranic parables in understanding human nature, reflecting on their alignment with contemporary societal challenges, such as rampant materialism, ethical deterioration, and spiritual crises. It examines how these narratives resonate with the human psyche, transcending historical and cultural barriers to provide enduring guidance. The analysis highlights their practical applications in promoting values such as justice, compassion, and self-awareness, which are essential for individual and collective well-being. Key recommendations include incorporating Quranic parables into educational curricula to enhance moral and ethical understanding among students, fostering their practical application through structured community training programs, and encouraging interdisciplinary research to explore their relevance in a</w:t>
      </w:r>
    </w:p>
    <w:p>
      <w:pPr/>
      <w:r>
        <w:rPr>
          <w:b/>
        </w:rPr>
        <w:t>POSSIBLE 2025:</w:t>
      </w:r>
      <w:r>
        <w:t xml:space="preserve"> A Practical Example of How to Apply Constructivist Grounded Theory Methodology: Exploring Patient Experiences During Paramedic Led Healthcare — https://doi.org/10.1002/nur.22468</w:t>
      </w:r>
    </w:p>
    <w:p>
      <w:pPr/>
      <w:r>
        <w:rPr>
          <w:b/>
        </w:rPr>
        <w:t>Shared claim-specific concepts:</w:t>
      </w:r>
      <w:r>
        <w:t xml:space="preserve"> practical, application, methodology, individual, knowledge; EU scope not established. This is a provisional connection, not an outcome finding.</w:t>
      </w:r>
    </w:p>
    <w:p>
      <w:pPr>
        <w:pStyle w:val="SourceNote"/>
      </w:pPr>
      <w:r>
        <w:rPr>
          <w:b/>
        </w:rPr>
        <w:t>Available abstract (not full text):</w:t>
      </w:r>
      <w:r>
        <w:t xml:space="preserve"> Application of qualitative enquiry is necessary to improve the understanding of patient experience during paramedic-led healthcare. Grounded Theory (GT) is acknowledged as a rigorous qualitative methodology useful for exploring social processes present during healthcare, particularly when little existing knowledge or theory exists. Despite wide use of GT in other health disciplines there are few studies that have used this methodology to guide research in paramedicine. This may be due to GT methods appearing complex and disorientating for both novice and experienced researchers. This methodological article provides a practical example of how Kathy Charmaz's "constructivist" approach to grounded theory (GTc) was applied during research that explored how patients experience paramedic-led healthcare during non-conveyance situations. It explains the fundamental tenets required of GTc research and describes how they were employed during the example research. The article aims to demystify the GTc process and improve the rigour of qualitative GTc research in paramedicine and health disciplines. How to apply Constructivist Grounded Theory methodology is described by providing a practical example of research into patient experience. This article informs researchers how to maintain trustworthiness and credibility when applying GTc methodology. This article describes research that explore</w:t>
      </w:r>
    </w:p>
    <w:p>
      <w:pPr/>
      <w:r>
        <w:rPr>
          <w:b/>
        </w:rPr>
        <w:t>POSSIBLE 2025:</w:t>
      </w:r>
      <w:r>
        <w:t xml:space="preserve"> Case Studies and Practical Examples — https://doi.org/10.1201/9781003587545-7</w:t>
      </w:r>
    </w:p>
    <w:p>
      <w:pPr/>
      <w:r>
        <w:rPr>
          <w:b/>
        </w:rPr>
        <w:t>Shared claim-specific concepts:</w:t>
      </w:r>
      <w:r>
        <w:t xml:space="preserve"> examples, practical, application, technologies, field; EU scope not established. This is a provisional connection, not an outcome finding.</w:t>
      </w:r>
    </w:p>
    <w:p>
      <w:pPr>
        <w:pStyle w:val="SourceNote"/>
      </w:pPr>
      <w:r>
        <w:rPr>
          <w:b/>
        </w:rPr>
        <w:t>Available abstract (not full text):</w:t>
      </w:r>
      <w:r>
        <w:t xml:space="preserve"> This chapter explores the practical applications of Brain-Computer Interface (BCI) technologies through detailed case studies that illustrate the challenges and innovations within this dynamic field. Each case study provides a comprehensive analysis of specific BCI projects, from their conception and methodological frameworks to the practical challenges they address and the solutions they employ. These real-world examples span various applications, including assistive technologies for individuals with disabilities, cognitive monitoring, and interaction enhancements through EEG signal processing and classification. The case studies highlight the use of advanced signal processing techniques, machine learning models, and adaptive algorithms that improve the accuracy, usability, and personalization of BCI systems. By examining these specific instances of BCI application, the chapter sheds light on the broader implications of BCI technologies, their potential for future development, and their impact on both clinical and everyday settings. This exploration not only demonstrates the current capabilities of BCIs but also paves the way for future innovations, underlining the importance of interdisciplinary collaboration and ethical considerations in advancing BCI technologies.</w:t>
      </w:r>
    </w:p>
    <w:p>
      <w:pPr/>
      <w:r>
        <w:rPr>
          <w:b/>
        </w:rPr>
        <w:t>POSSIBLE 2024:</w:t>
      </w:r>
      <w:r>
        <w:t xml:space="preserve"> Design rules applied to silver nanoparticles synthesis: A practical example of machine learning application. — https://doi.org/10.1016/j.csbj.2024.02.010</w:t>
      </w:r>
    </w:p>
    <w:p>
      <w:pPr/>
      <w:r>
        <w:rPr>
          <w:b/>
        </w:rPr>
        <w:t>Shared claim-specific concepts:</w:t>
      </w:r>
      <w:r>
        <w:t xml:space="preserve"> practical, application, field; EU scope not established. This is a provisional connection, not an outcome finding.</w:t>
      </w:r>
    </w:p>
    <w:p>
      <w:pPr>
        <w:pStyle w:val="SourceNote"/>
      </w:pPr>
      <w:r>
        <w:rPr>
          <w:b/>
        </w:rPr>
        <w:t>Available abstract (not full text):</w:t>
      </w:r>
      <w:r>
        <w:t xml:space="preserve"> The synthesis of silver nanoparticles with controlled physicochemical properties is essential for governing their intended functionalities and safety profiles. However, synthesis process involves multiple parameters that could influence the resulting properties. This challenge could be addressed with the development of predictive models that forecast endpoints based on key synthesis parameters. In this study, we manually extracted synthesis-related data from the literature and leveraged various machine learning algorithms. Data extraction included parameters such as reactant concentrations, experimental conditions, as well as physicochemical properties. The antibacterial efficiencies and toxicological profiles of the synthesized nanoparticles were also extracted. In a second step, based on data completeness, we employed regression algorithms to establish relationships between synthesis parameters and desired endpoints and to build predictive models. The models for core size and antibacterial efficiency were trained and validated using a cross-validation approach. Finally, the features' impact was evaluated via Shapley values to provide insights into the contribution of features to the predictions. Factors such as synthesis duration, scale of synthesis and the choice of capping agents emerged as the most significant predictors. This study demonstrated the potential of machine le</w:t>
      </w:r>
    </w:p>
    <w:p>
      <w:pPr/>
      <w:r>
        <w:rPr>
          <w:b/>
        </w:rPr>
        <w:t>POSSIBLE 2023:</w:t>
      </w:r>
      <w:r>
        <w:t xml:space="preserve"> What Is Machine Learning, Artificial Neural Networks and Deep Learning?—Examples of Practical Applications in Medicine — https://doi.org/10.3390/diagnostics13152582</w:t>
      </w:r>
    </w:p>
    <w:p>
      <w:pPr/>
      <w:r>
        <w:rPr>
          <w:b/>
        </w:rPr>
        <w:t>Shared claim-specific concepts:</w:t>
      </w:r>
      <w:r>
        <w:t xml:space="preserve"> examples, practical, application, given; EU scope not established. This is a provisional connection, not an outcome finding.</w:t>
      </w:r>
    </w:p>
    <w:p>
      <w:pPr>
        <w:pStyle w:val="SourceNote"/>
      </w:pPr>
      <w:r>
        <w:rPr>
          <w:b/>
        </w:rPr>
        <w:t>Available abstract (not full text):</w:t>
      </w:r>
      <w:r>
        <w:t xml:space="preserve"> Machine learning (ML), artificial neural networks (ANNs), and deep learning (DL) are all topics that fall under the heading of artificial intelligence (AI) and have gained popularity in recent years. ML involves the application of algorithms to automate decision-making processes using models that have not been manually programmed but have been trained on data. ANNs that are a part of ML aim to simulate the structure and function of the human brain. DL, on the other hand, uses multiple layers of interconnected neurons. This enables the processing and analysis of large and complex databases. In medicine, these techniques are being introduced to improve the speed and efficiency of disease diagnosis and treatment. Each of the AI techniques presented in the paper is supported with an example of a possible medical application. Given the rapid development of technology, the use of AI in medicine shows promising results in the context of patient care. It is particularly important to keep a close eye on this issue and conduct further research in order to fully explore the potential of ML, ANNs, and DL, and bring further applications into clinical use in the future.</w:t>
      </w:r>
    </w:p>
    <w:p>
      <w:pPr>
        <w:pStyle w:val="Heading2"/>
      </w:pPr>
      <w:r>
        <w:t>752.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2026:</w:t>
      </w:r>
      <w:r>
        <w:t xml:space="preserve"> Heatwaves in a 15 °C World: Exploring remote drivers’ influence on Northern Italy with a storyline-based approach — https://doi.org/10.1016/j.wace.2026.100949</w:t>
      </w:r>
    </w:p>
    <w:p>
      <w:pPr/>
      <w:r>
        <w:rPr>
          <w:b/>
        </w:rPr>
        <w:t>Shared claim-specific concepts:</w:t>
      </w:r>
      <w:r>
        <w:t xml:space="preserve"> storylines, used, different, here; EU scope visible. This is a provisional connection, not an outcome finding.</w:t>
      </w:r>
    </w:p>
    <w:p>
      <w:pPr>
        <w:pStyle w:val="SourceNote"/>
      </w:pPr>
      <w:r>
        <w:rPr>
          <w:b/>
        </w:rPr>
        <w:t>Available abstract (not full text):</w:t>
      </w:r>
      <w:r>
        <w:t xml:space="preserve"> Heatwaves (HW) heavily affect several sectors of the economy and society in the European and Mediterranean regions, and particularly in the Po Valley area. Their frequency and intensity are projected to increase, and a thorough understanding of how this occurs in relation to rising global temperatures and to the projected changes in other weather and climate variables is fundamental for developing effective adaptation plans. In this study, developed within the Climate Intelligence (CLINT) project, we propose an application of the storylines technique, empowered by the definition of shared global thermodynamical conditions across the simulations (Common Temperature States, CTS) and by the implementation of an ML-based driver-oriented validation for the used CMIP6 models. This allows us to produce a set of physically sound storylines, where the increase of heatwave-related indices is inspected under specific conditions in the evolution of other drivers, researching proximate drivers and teleconnections. Our results highlight relevant contributions coming from precipitation depletion over three different Euro-Mediterranean domains (Northern Africa, Western and Eastern Europe), which is associated with enhanced sensible heat fluxes and co-occurs with the largest increases in the HW Magnitude Index and the number of HW days. Furthermore, the increase of these indices is found to be </w:t>
      </w:r>
    </w:p>
    <w:p>
      <w:pPr/>
      <w:r>
        <w:rPr>
          <w:b/>
        </w:rPr>
        <w:t>POSSIBLE 2026:</w:t>
      </w:r>
      <w:r>
        <w:t xml:space="preserve"> Worst-case European heat storylines generated using ensemble boosting — https://doi.org/10.1038/s43247-026-03699-2</w:t>
      </w:r>
    </w:p>
    <w:p>
      <w:pPr/>
      <w:r>
        <w:rPr>
          <w:b/>
        </w:rPr>
        <w:t>Shared claim-specific concepts:</w:t>
      </w:r>
      <w:r>
        <w:t xml:space="preserve"> storylines, impacts, large, scale; EU scope visible. This is a provisional connection, not an outcome finding.</w:t>
      </w:r>
    </w:p>
    <w:p>
      <w:pPr>
        <w:pStyle w:val="SourceNote"/>
      </w:pPr>
      <w:r>
        <w:rPr>
          <w:b/>
        </w:rPr>
        <w:t>Available abstract (not full text):</w:t>
      </w:r>
      <w:r>
        <w:t xml:space="preserve"> Abstract Extreme heat poses escalating socio-economic and ecological risks, yet the most severe high-impact heat extremes that would be possible today remain poorly understood. Using thousands of ensemble-boosting storylines, all plausible under current-climate conditions at least within the model world, we reveal the risk of far more intense and unprecedented heatwaves, which surpass historical extremes in both intensity and particularly in persistence by large margins, and greatly exceed levels considered extreme in a 3 °C warmer world. The most extreme heatwaves are preceded by severe soil moisture depletion, both locally and upstream of the region of extreme heat, as well as by strong ocean temperature gradients, with extremely warm anomalies in the nearby basins and cold anomalies in the subpolar North Atlantic region. Furthermore, our storyline simulations reveal an additional risk: worst-case heatwaves occur predominantly after another extreme heatwave. This highlights the potential for aggravated impacts due to decreased recovery times and intensified heat stress on humans, ecosystems and infrastructure made more vulnerable by the first event. Given the scale, intensity, and unprecedented successive and compounding nature of these worst-case heat storylines, we underscore the urgent need for well-informed adaptation strategies that sufficiently reflect these risks.</w:t>
      </w:r>
    </w:p>
    <w:p>
      <w:pPr/>
      <w:r>
        <w:rPr>
          <w:b/>
        </w:rPr>
        <w:t>POSSIBLE 2024:</w:t>
      </w:r>
      <w:r>
        <w:t xml:space="preserve"> A Climatology of Convective Precipitation over Europe — https://doi.org/10.1175/mwr-d-23-0156.1</w:t>
      </w:r>
    </w:p>
    <w:p>
      <w:pPr/>
      <w:r>
        <w:rPr>
          <w:b/>
        </w:rPr>
        <w:t>Shared claim-specific concepts:</w:t>
      </w:r>
      <w:r>
        <w:t xml:space="preserve"> abstract, used, large; EU scope visible. This is a provisional connection, not an outcome finding.</w:t>
      </w:r>
    </w:p>
    <w:p>
      <w:pPr>
        <w:pStyle w:val="SourceNote"/>
      </w:pPr>
      <w:r>
        <w:rPr>
          <w:b/>
        </w:rPr>
        <w:t>Available abstract (not full text):</w:t>
      </w:r>
      <w:r>
        <w:t xml:space="preserve"> Abstract The annual, seasonal, and diurnal spatiotemporal heavy convective precipitation patterns over a pan-European domain are analyzed in this study using a combination of datasets, including the Integrated Multi-satellitE Retrievals for Global Precipitation Measurement (GPM) (IMERG) precipitation rate product, E-OBS ground-based precipitation gauge data, European climatological gauge-adjusted radar precipitation dataset (EURADCLIM), Operational Programme for the Exchange of Weather Radar Information (OPERA) ground-based radar-derived precipitation rates, and fifth major global reanalysis produced by ECMWF (ERA5) total and convective precipitation products. Arrival Time Difference Network (ATDnet) lightning data are used in conjunction with IMERG and EURADCLIM precipitation rates, with an imposed threshold of 10 mm h−1 to classify precipitation as convective. Annually, the largest convective precipitation accumulations are over the European seas and coastlines. In summer, convective precipitation is more common over the European continent, though relatively large accumulations exist over the northern coastal waters and the southern seas, with a seasonal localized maximum over the northern Adriatic Sea. Activity shifts southward to the Mediterranean and its coastlines in autumn and winter, with maxima over the Ionian Sea, the eastern Adriatic Sea, and the adjacent coastline. </w:t>
      </w:r>
    </w:p>
    <w:p>
      <w:pPr/>
      <w:r>
        <w:rPr>
          <w:b/>
        </w:rPr>
        <w:t>POSSIBLE 2024:</w:t>
      </w:r>
      <w:r>
        <w:t xml:space="preserve"> Use of synanthropic roosts by bats in Europe and North America — https://doi.org/10.1111/mam.12380</w:t>
      </w:r>
    </w:p>
    <w:p>
      <w:pPr/>
      <w:r>
        <w:rPr>
          <w:b/>
        </w:rPr>
        <w:t>Shared claim-specific concepts:</w:t>
      </w:r>
      <w:r>
        <w:t xml:space="preserve"> abstract, based, contrasting, used, ways; EU scope visible. This is a provisional connection, not an outcome finding.</w:t>
      </w:r>
    </w:p>
    <w:p>
      <w:pPr>
        <w:pStyle w:val="SourceNote"/>
      </w:pPr>
      <w:r>
        <w:rPr>
          <w:b/>
        </w:rPr>
        <w:t>Available abstract (not full text):</w:t>
      </w:r>
      <w:r>
        <w:t xml:space="preserve"> ABSTRACT Diurnal roosts are vital to bats and growing evidence suggests that bats increasingly exploit synanthropic structures, such as buildings. The use of synanthropic roosts (SRs) has been explained as a consequence of the decreased availability of natural roosts imposed by habitat destruction, although growing evidence suggests that the use of SRs may be beneficial to bats in many ways, including enabling the expansion of distributional ranges. Based on data from Europe and North America, our study aimed to (1) analyse the proportion of use of synanthropic vs. natural roosts, (2) test the hypothesis that bats are forced to use SRs in response to the destruction of natural habitats, (3) analyse latitudinal variation of the proportion of use of SRs and (4) address the highly contrasting pattern in the proportion of use of SRs between the two continents in the light of historical aspects of coexistence between bats and humans. We compiled published data on day roosts obtained by means of radio‐telemetry, providing unbiased evidence of the proportion of synanthropic and natural roosts. We compared the obtained patterns between the two continents, analysed the relationship between the proportion of use of SRs, land cover and latitude and analysed historical reconstruction of anthropogenic land use. In Europe (n = 3385 roosts), SRs were used by twice more (26) bat species and we</w:t>
      </w:r>
    </w:p>
    <w:p>
      <w:pPr/>
      <w:r>
        <w:rPr>
          <w:b/>
        </w:rPr>
        <w:t>POSSIBLE 2024:</w:t>
      </w:r>
      <w:r>
        <w:t xml:space="preserve"> Event-dependent changes of recent European droughts in a warming climate using event-based storyline simulations. — https://doi.org/10.5194/ems2024-902</w:t>
      </w:r>
    </w:p>
    <w:p>
      <w:pPr/>
      <w:r>
        <w:rPr>
          <w:b/>
        </w:rPr>
        <w:t>Shared claim-specific concepts:</w:t>
      </w:r>
      <w:r>
        <w:t xml:space="preserve"> explore, different, resources, recent; EU scope visible. This is a provisional connection, not an outcome finding.</w:t>
      </w:r>
    </w:p>
    <w:p>
      <w:pPr>
        <w:pStyle w:val="SourceNote"/>
      </w:pPr>
      <w:r>
        <w:rPr>
          <w:b/>
        </w:rPr>
        <w:t>Available abstract (not full text):</w:t>
      </w:r>
      <w:r>
        <w:t xml:space="preserve"> Climate change is increasing the intensity, frequency, and persistence of droughts, as observed by the recent record-breaking events in Europe. Two factors contribute to this intensification: dynamic changes —changes in the likelihood of weather patterns— and thermodynamic changes. While the former are uncertain in future climate projections, the latter are characterized by a high signal-to-noise ratio, as there is a robust and ubiquitous rise in land-surface temperatures.To better analyze the contributions of these factors, we utilize the so-called "event-based storyline approach". This involves nudging our global CMIP6 coupled climate model (AWI-CM1) towards the observed (according to ERA5) large-scale free-troposphere winds using various climate background conditions and initial states. In contrast, the model reproduces the circulation in the atmospheric boundary layer and the rest of the variables. This enables us to simulate the same weather conditions (including jet streams, ridges and blockings) in different climates: preindustrial, present, and 2 °C, 3 °C, and 4 ºC warmer worlds. This method creates an efficient way of showing experts and non-experts the consequences of climate change by describing the storyline of specific extreme events in different plausible climates using moderate computational resources.Focusing on Europe, our simulations successfully replicate rec</w:t>
      </w:r>
    </w:p>
    <w:p>
      <w:pPr/>
      <w:r>
        <w:rPr>
          <w:b/>
        </w:rPr>
        <w:t>POSSIBLE 2024:</w:t>
      </w:r>
      <w:r>
        <w:t xml:space="preserve"> Modulation of Northern Europe near-term anthropogenic warming and wettening assessed through internal variability storylines — https://doi.org/10.1038/s41612-024-00759-2</w:t>
      </w:r>
    </w:p>
    <w:p>
      <w:pPr/>
      <w:r>
        <w:rPr>
          <w:b/>
        </w:rPr>
        <w:t>Shared claim-specific concepts:</w:t>
      </w:r>
      <w:r>
        <w:t xml:space="preserve"> based, storylines, explore, here, large, focus; EU scope visible. This is a provisional connection, not an outcome finding.</w:t>
      </w:r>
    </w:p>
    <w:p>
      <w:pPr>
        <w:pStyle w:val="SourceNote"/>
      </w:pPr>
      <w:r>
        <w:rPr>
          <w:b/>
        </w:rPr>
        <w:t>Available abstract (not full text):</w:t>
      </w:r>
      <w:r>
        <w:t xml:space="preserve"> Internal variability arising from the inherently chaotic nature of the climate system has amplified or obscured human-caused changes, especially at regional scales in the extratropics, where its contribution to climate variability is the largest. It is virtually certain that this will continue in the near-term. We here focus on the Northern Europe region, whose variability is largely controlled by the North Atlantic Oscillation (NAO) and the Atlantic Meridional Overturning Circulation (AMOC) through remote dynamical and thermodynamic processes, and introduce the concept of internal variability storylines (IVS) to explore, understand, and quantify the role of the two combined drivers of internal variability in the modulation of the anthropogenic warming by 2040 in winter. Based on a large ensemble of historical-scenario simulations, we show that the high-impact IVS, characterised by weak AMOC decline and a decadal shift of the NAO toward dominant positive phase, leads faster to warmer-wetter conditions independently of actual and future greenhouse gases emissions. By contrast, amplified AMOC reduction and more recurrent negative NAO can considerably damp both warming and wettening at near-term. In the latter IVS, we provide evidence that winter-severe conditions similar to those in 2010, that had been responsible for widespread socio-economic disruptions, remain almost as likely</w:t>
      </w:r>
    </w:p>
    <w:p>
      <w:pPr/>
      <w:r>
        <w:rPr>
          <w:b/>
        </w:rPr>
        <w:t>POSSIBLE 2024:</w:t>
      </w:r>
      <w:r>
        <w:t xml:space="preserve"> Reconciling risk-based and storyline attribution with Bayes theorem — https://doi.org/10.48550/arxiv.2407.10776</w:t>
      </w:r>
    </w:p>
    <w:p>
      <w:pPr/>
      <w:r>
        <w:rPr>
          <w:b/>
        </w:rPr>
        <w:t>Shared claim-specific concepts:</w:t>
      </w:r>
      <w:r>
        <w:t xml:space="preserve"> based, explore; EU scope visible. This is a provisional connection, not an outcome finding.</w:t>
      </w:r>
    </w:p>
    <w:p>
      <w:pPr>
        <w:pStyle w:val="SourceNote"/>
      </w:pPr>
      <w:r>
        <w:rPr>
          <w:b/>
        </w:rPr>
        <w:t>Available abstract (not full text):</w:t>
      </w:r>
      <w:r>
        <w:t xml:space="preserve"> The question to what extent climate change is responsible for extreme weather events has been at the forefront of public and scholarly discussion for years. Proponents of the "risk-based" approach to attribution attempt to give an unconditional answer based on the probability of some class of events in a world with and without human influences. As an alternative, so-called "storyline" studies investigate the impact of a warmer world on a single, specific weather event. This can be seen as a conditional attribution statement. In this study, we connect conditional to unconditional attribution using Bayes theorem: in essence, the conditional statement is composed of two unconditional statements, one based on all available data (event and conditions) and one based on the conditions alone. We explore the effects of the conditioning in a simple statistical toy model and a real-world attribution of European summer temperatures conditional on blocking. The resulting attribution statement is generally strengthened if the conditions are not affected by climate change. Conversely, if part of the trend is contained in the conditions, a weaker attribution statement may result.</w:t>
      </w:r>
    </w:p>
    <w:p>
      <w:pPr/>
      <w:r>
        <w:rPr>
          <w:b/>
        </w:rPr>
        <w:t>POSSIBLE 2024:</w:t>
      </w:r>
      <w:r>
        <w:t xml:space="preserve"> National storylines and topoi found in the focus group discussions — https://doi.org/10.4324/9781032690902-14</w:t>
      </w:r>
    </w:p>
    <w:p>
      <w:pPr/>
      <w:r>
        <w:rPr>
          <w:b/>
        </w:rPr>
        <w:t>Shared claim-specific concepts:</w:t>
      </w:r>
      <w:r>
        <w:t xml:space="preserve"> storylines, used, focus; EU scope visible. This is a provisional connection, not an outcome finding.</w:t>
      </w:r>
    </w:p>
    <w:p>
      <w:pPr>
        <w:pStyle w:val="SourceNote"/>
      </w:pPr>
      <w:r>
        <w:rPr>
          <w:b/>
        </w:rPr>
        <w:t>Available abstract (not full text):</w:t>
      </w:r>
      <w:r>
        <w:t xml:space="preserve"> This chapter presents the results of a qualitative and interpretive analysis of narrative elements in the focus group discussions. First, it showcases the reconstruction of two distinct country-specific storylines of European integration: a “fado story” about missed opportunities found in Portugal and a “pride and prejudice” story of national achievements found in Finland. Next, the chapter presents a selection of key topoi (or commonplaces), detected across the focus group discussions in the nine selected countries. Such topoi (e.g. “solidarity should not be a one-way street”) were used by participants as commonly understood argumentative shortcuts when reasoning about solidarity in communicative interactions with others.</w:t>
      </w:r>
    </w:p>
    <w:p>
      <w:pPr/>
      <w:r>
        <w:rPr>
          <w:b/>
        </w:rPr>
        <w:t>POSSIBLE 2023:</w:t>
      </w:r>
      <w:r>
        <w:t xml:space="preserve"> Performance-based sub-selection of CMIP6 models for impact assessments in Europe — https://doi.org/10.5194/esd-14-457-2023</w:t>
      </w:r>
    </w:p>
    <w:p>
      <w:pPr/>
      <w:r>
        <w:rPr>
          <w:b/>
        </w:rPr>
        <w:t>Shared claim-specific concepts:</w:t>
      </w:r>
      <w:r>
        <w:t xml:space="preserve"> abstract, based, used, trends; EU scope visible. This is a provisional connection, not an outcome finding.</w:t>
      </w:r>
    </w:p>
    <w:p>
      <w:pPr>
        <w:pStyle w:val="SourceNote"/>
      </w:pPr>
      <w:r>
        <w:rPr>
          <w:b/>
        </w:rPr>
        <w:t>Available abstract (not full text):</w:t>
      </w:r>
      <w:r>
        <w:t xml:space="preserve"> Abstract. We have created a performance-based assessment of CMIP6 models for Europe that can be used to inform the sub-selection of models for this region. Our assessment covers criteria indicative of the ability of individual models to capture a range of large-scale processes that are important for the representation of present-day European climate. We use this study to provide examples of how this performance-based assessment may be applied to multi-model ensemble of CMIP6 models to a) filter the ensemble for performance against these climatological/ processed-based criteria and, b) create a smaller sub-set of models based on performance, that also maintains model diversity and the filtered projection range as far as possible. Filtering by excluding the least realistic models leads to higher sensitivity models remaining in the ensemble as an emergent consequence of the assessment. This results in both the 25th percentile and the median of the projected temperature range being shifted toward greater warming for the filtered set of models. We also weight the unfiltered ensemble against global trends. In contrast this shifts both the distribution of towards less warming. This highlights a tension for regional model selection in terms of selection based on regional climate processes versus the global mean warming trend.</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based, used, explore, develop;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Storylines for unprecedented heatwaves based on ensemble boosting — https://doi.org/10.1038/s41467-023-40112-4</w:t>
      </w:r>
    </w:p>
    <w:p>
      <w:pPr/>
      <w:r>
        <w:rPr>
          <w:b/>
        </w:rPr>
        <w:t>Shared claim-specific concepts:</w:t>
      </w:r>
      <w:r>
        <w:t xml:space="preserve"> based, storylines, used, different, here, recent; EU scope not established. This is a provisional connection, not an outcome finding.</w:t>
      </w:r>
    </w:p>
    <w:p>
      <w:pPr>
        <w:pStyle w:val="SourceNote"/>
      </w:pPr>
      <w:r>
        <w:rPr>
          <w:b/>
        </w:rPr>
        <w:t>Available abstract (not full text):</w:t>
      </w:r>
      <w:r>
        <w:t xml:space="preserve"> Recent temperature extremes have shattered previously observed records, reaching intensities that were inconceivable before the events. Could the possibility of an event with such unprecedented intensity as the 2021 Pacific Northwest heatwave have been foreseen, based on climate model information available before the event? Could the scientific community have quantified its potential intensity based on the current generation of climate models? Here, we demonstrate how an ensemble boosting approach can be used to generate physically plausible storylines of a heatwave hotter than observed in the Pacific Northwest. We also show that heatwaves of much greater intensities than ever observed are possible in other locations like the Greater Chicago and Paris regions. In order to establish confidence in storylines of 'black swan'-type events, different lines of evidence need to be combined along with process understanding to make this information robust and actionable for stakeholders.</w:t>
      </w:r>
    </w:p>
    <w:p>
      <w:pPr>
        <w:pStyle w:val="Heading2"/>
      </w:pPr>
      <w:r>
        <w:t>753.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r>
        <w:rPr>
          <w:b/>
        </w:rPr>
        <w:t>POSSIBLE 2024:</w:t>
      </w:r>
      <w:r>
        <w:t xml:space="preserve"> The Legal Governance of Geothermal Energy in Europe: A Historical Review and an Indicator Analysis — https://doi.org/10.4236/blr.2024.152048</w:t>
      </w:r>
    </w:p>
    <w:p>
      <w:pPr/>
      <w:r>
        <w:rPr>
          <w:b/>
        </w:rPr>
        <w:t>Shared claim-specific concepts:</w:t>
      </w:r>
      <w:r>
        <w:t xml:space="preserve"> historical, database, energy; EU scope visible. This is a provisional connection, not an outcome finding.</w:t>
      </w:r>
    </w:p>
    <w:p>
      <w:pPr>
        <w:pStyle w:val="SourceNote"/>
      </w:pPr>
      <w:r>
        <w:rPr>
          <w:b/>
        </w:rPr>
        <w:t>Available abstract (not full text):</w:t>
      </w:r>
      <w:r>
        <w:t xml:space="preserve"> Along with decarbonization, the importance of renewable energy has increased significantly in the European Union (EU) since the turn of the century, and even more during the war in Ukraine. This study is an indication of how legislation making can be more a driver than an obstacle for innovation. The applied methodology includes an in-depth review of ca. 200 pieces of the EU legislation of the last half century, and a text mining exercise in the EU EUR-LEX database to provide a quantitative set of scores independent of the subjective expert judgment. The historical review of the EU law (“acquis”) reveals that many aspects of the geothermal value chain are covered by the acquis. The quantitative text search of EU policy documents and legal pieces indicates how the intensity of policy making correlates with major drivers on energy and on renewable energy. The regulatory environment of exploration and extraction of high enthalpy geothermal energy is similar to that for hydrocarbons, so some EU member states apply the Hydrocarbons Directive (Annex 32) voluntarily. The legislation on low enthalpy geothermal projects is more detailed regarding technical safety, water management, environment and energy efficiency. Because of conflicts with other emerging subsurface resource uses, such as groundwater/gas/carbon storage and urban underground infrastructure, there is a need for coherent </w:t>
      </w:r>
    </w:p>
    <w:p>
      <w:pPr/>
      <w:r>
        <w:rPr>
          <w:b/>
        </w:rPr>
        <w:t>POSSIBLE 2023:</w:t>
      </w:r>
      <w:r>
        <w:t xml:space="preserve"> HANZE database of historical flood impacts in Europe, 1870-2020 — https://doi.org/10.5281/zenodo.8221453</w:t>
      </w:r>
    </w:p>
    <w:p>
      <w:pPr/>
      <w:r>
        <w:rPr>
          <w:b/>
        </w:rPr>
        <w:t>Shared claim-specific concepts:</w:t>
      </w:r>
      <w:r>
        <w:t xml:space="preserve"> historical, data, database, gross; EU scope visible. This is a provisional connection, not an outcome finding.</w:t>
      </w:r>
    </w:p>
    <w:p>
      <w:pPr>
        <w:pStyle w:val="SourceNote"/>
      </w:pPr>
      <w:r>
        <w:rPr>
          <w:b/>
        </w:rPr>
        <w:t>Available abstract (not full text):</w:t>
      </w:r>
      <w:r>
        <w:t xml:space="preserve"> The HANZE dataset covers riverine, pluvial, coastal and compound floods that have occurred in 42 European countries between 1870 and 2020. The data was collected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the database can be viewed, filtered and visualized online: https://naturalhazards.eu. The dataset is designed to be complimentary to HANZE-Exposure, a high-resolution model of historical exposure changes (such as population and asset value), and be easily usable in statistical and spatial analyses. The dataset contains the following file</w:t>
      </w:r>
    </w:p>
    <w:p>
      <w:pPr/>
      <w:r>
        <w:rPr>
          <w:b/>
        </w:rPr>
        <w:t>POSSIBLE 2023:</w:t>
      </w:r>
      <w:r>
        <w:t xml:space="preserve"> Predicting the Past: Imputation of Historical Data — https://doi.org/10.31234/osf.io/9gpwf</w:t>
      </w:r>
    </w:p>
    <w:p>
      <w:pPr/>
      <w:r>
        <w:rPr>
          <w:b/>
        </w:rPr>
        <w:t>Shared claim-specific concepts:</w:t>
      </w:r>
      <w:r>
        <w:t xml:space="preserve"> historical, data, database; EU scope not established. This is a provisional connection, not an outcome finding.</w:t>
      </w:r>
    </w:p>
    <w:p>
      <w:pPr>
        <w:pStyle w:val="SourceNote"/>
      </w:pPr>
      <w:r>
        <w:rPr>
          <w:b/>
        </w:rPr>
        <w:t>Available abstract (not full text):</w:t>
      </w:r>
      <w:r>
        <w:t xml:space="preserve"> Research using historical data is becoming more common across the social sciences. However, approaches using historical data suffer from a more acute missing data problem than approaches using contemporary data. Complete datasets are required to use many common statistical and machine learning techniques, the majority of which cannot handle missing data. One approach to handling missing data is to impute the missing values. Using the Database of Religious History (DRH), a large historical database, comprised of both quantitative and qualitative data, this research compares the accuracy and bias of 10 imputation methods. k-nearest neighbors (k-NN), missForest, Generalized low rank models (GLRM), Factorial analysis for mixed data (FAMD), DataWig, and five methods implemented in the R package mice (multiple imputation by chained equations). On average, a missForest approach had higher imputation accuracy and among the lowest bias compared to the other methods. The accuracy and bias of different methods implemented in mice were highly variable, highlighting the importance of researchers stating the precise method used for imputation, rather than general phrases such as ‘data were imputed using mice’.</w:t>
      </w:r>
    </w:p>
    <w:p>
      <w:pPr/>
      <w:r>
        <w:rPr>
          <w:b/>
        </w:rPr>
        <w:t>POSSIBLE 2023:</w:t>
      </w:r>
      <w:r>
        <w:t xml:space="preserve"> Normalized power priors always discount historical data — https://doi.org/10.1002/sta4.591</w:t>
      </w:r>
    </w:p>
    <w:p>
      <w:pPr/>
      <w:r>
        <w:rPr>
          <w:b/>
        </w:rPr>
        <w:t>Shared claim-specific concepts:</w:t>
      </w:r>
      <w:r>
        <w:t xml:space="preserve"> historical, data; EU scope not established. This is a provisional connection, not an outcome finding.</w:t>
      </w:r>
    </w:p>
    <w:p>
      <w:pPr>
        <w:pStyle w:val="SourceNote"/>
      </w:pPr>
      <w:r>
        <w:rPr>
          <w:b/>
        </w:rPr>
        <w:t>Available abstract (not full text):</w:t>
      </w:r>
      <w:r>
        <w:t xml:space="preserve"> Power priors are used for incorporating historical data in Bayesian analyses by taking the likelihood of the historical data raised to the power as the prior distribution for the model parameters. The power parameter is typically unknown and assigned a prior distribution, most commonly a beta distribution. Here, we give a novel theoretical result on the resulting marginal posterior distribution of in case of the normal and binomial model. Counterintuitively, when the current data perfectly mirror the historical data and the sample sizes from both data sets become arbitrarily large, the marginal posterior of does not converge to a point mass at but approaches a distribution that hardly differs from the prior. The result implies that a complete pooling of historical and current data is impossible if a power prior with beta prior for is used.</w:t>
      </w:r>
    </w:p>
    <w:p>
      <w:pPr/>
      <w:r>
        <w:rPr>
          <w:b/>
        </w:rPr>
        <w:t>POSSIBLE 2023:</w:t>
      </w:r>
      <w:r>
        <w:t xml:space="preserve"> Historical Population Database of Transylvania. — https://doi.org/10.2307/jj.6445824.16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The Historical Population Database of Transylvania (HPDT) is a research tool for population studies developed since 2014 at the Centre for Population Studies in Cluj-Napoca, financed by an SEE-Norway Grant. HPDT employs a source-oriented approach for recording data from the parish registers kept by the Transylvanian churches, focusing primarily on the main vital events such as births, marriages, and deaths. The data entry process was followed by the standardization of various information, such as names, occupations, locations and causes of death, thus allowing the initiation of a linkage process. The database has already been employed in a wide-ranging series of analyses conducted on datasets extracted from HPDT, which include infant and adult mortality, nuptiality and age at first marriage, social mobility, and the medicalization of childbirth. The wealth of information it includes will enable many more scientific investigations.</w:t>
      </w:r>
    </w:p>
    <w:p>
      <w:pPr/>
      <w:r>
        <w:rPr>
          <w:b/>
        </w:rPr>
        <w:t>POSSIBLE 2023:</w:t>
      </w:r>
      <w:r>
        <w:t xml:space="preserve"> Techno-economic analysis of underground hydrogen storage in Europe — https://doi.org/10.1016/j.isci.2023.108771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Hydrogen storage is crucial to developing secure renewable energy systems to meet the European Union's 2050 carbon neutrality objectives. However, a knowledge gap exists concerning the site-specific performance and economic viability of utilizing underground gas storage (UGS) sites for hydrogen storage in Europe. We compile information on European UGS sites to assess potential hydrogen storage capacity and evaluate the associated current and future costs. The total hydrogen storage potential in Europe is 349 TWh of working gas energy (WGE), with site-specific capital costs ranging from $10 million to $1 billion. Porous media and salt caverns, boasting a minimum storage capacity of 0.5 TWh WGE, exhibit levelized costs of $1.5 and $0.8 per kilogram of hydrogen, respectively. It is estimated that future levelized costs associated with hydrogen storage can potentially decrease to as low as $0.4 per kilogram after three experience cycles. Leveraging these techno-economic considerations, we identify suitable storage sites.</w:t>
      </w:r>
    </w:p>
    <w:p>
      <w:pPr/>
      <w:r>
        <w:rPr>
          <w:b/>
        </w:rPr>
        <w:t>POSSIBLE 2022:</w:t>
      </w:r>
      <w:r>
        <w:t xml:space="preserve"> Historical reconstruction of soil erosion in Europe — https://doi.org/10.2905/jrc.c2803r8</w:t>
      </w:r>
    </w:p>
    <w:p>
      <w:pPr/>
      <w:r>
        <w:rPr>
          <w:b/>
        </w:rPr>
        <w:t>Shared claim-specific concepts:</w:t>
      </w:r>
      <w:r>
        <w:t xml:space="preserve"> starting, historical, data; EU scope visible. This is a provisional connection, not an outcome finding.</w:t>
      </w:r>
    </w:p>
    <w:p>
      <w:pPr>
        <w:pStyle w:val="SourceNote"/>
      </w:pPr>
      <w:r>
        <w:rPr>
          <w:b/>
        </w:rPr>
        <w:t>Available abstract (not full text):</w:t>
      </w:r>
      <w:r>
        <w:t xml:space="preserve"> This dataset includes the past reconstruction of soil erosion rates in Europe (incuding UK, Switzerland and Western balkans). The data provided have are aggregated per decade starting from 1860. The soil erosion change is driven by changes in land use and rainfall erosivity. The simulations have been done using the CE-DYNAM model. We also make available the annual histrorical soil loss by water erosion rates (per year for the period 1860 - 2018). Advanced users may also download the monthly files (12 bands per file). The annual and monthly soil erosion reconstruction data (1860-2018) can be useful inputs for Earth System Models.</w:t>
      </w:r>
    </w:p>
    <w:p>
      <w:pPr/>
      <w:r>
        <w:rPr>
          <w:b/>
        </w:rPr>
        <w:t>POSSIBLE 2022:</w:t>
      </w:r>
      <w:r>
        <w:t xml:space="preserve"> Historical Spruce Abundance in Central Europe: A Combined Dendrochronological and Palynological Approach — https://doi.org/10.3389/fevo.2022.909453</w:t>
      </w:r>
    </w:p>
    <w:p>
      <w:pPr/>
      <w:r>
        <w:rPr>
          <w:b/>
        </w:rPr>
        <w:t>Shared claim-specific concepts:</w:t>
      </w:r>
      <w:r>
        <w:t xml:space="preserve"> starting, historical, data, consumption, varies; EU scope visible. This is a provisional connection, not an outcome finding.</w:t>
      </w:r>
    </w:p>
    <w:p>
      <w:pPr>
        <w:pStyle w:val="SourceNote"/>
      </w:pPr>
      <w:r>
        <w:rPr>
          <w:b/>
        </w:rPr>
        <w:t>Available abstract (not full text):</w:t>
      </w:r>
      <w:r>
        <w:t xml:space="preserve"> Spruce is the most cultivated tree species in modern forestry in Central Europe, since it has the ability to grow on many soil types with profitable biomass accumulation. However, even-aged and uniform spruce forests are affected by recurring droughts and associated biotic stressors leading to large-scale diebacks across Central Europe causing controversies among foresters and nature conservationists. We investigate the role of spruce in historical woodlands by using 15666 spruce timbers from historical buildings and on the basis of pollen-based land cover estimates using the REVEALS model from 157 pollen sites in southern Central Europe. Start and end dates of the spruce timber samples and their dendrological characteristics (age, growth rates and stem diameters) were used to obtain information on past forest structures. Tree rings and REVEALS estimates are combined at a spatial scale of 1° × 1° resolution, grouped in four sub-regions, and a temporal resolution of 100-year time windows starting from 1150 to 1850 CE. We found that spruce dominates the species assemblage of construction timber with almost 41% and that the harvest age varies little through time, whereas a declining trend in growth rates and stem diameters are observed toward times before modern forestry. Temporal and regional differences in spruce abundance and building activity were found highlighting periods of</w:t>
      </w:r>
    </w:p>
    <w:p>
      <w:pPr/>
      <w:r>
        <w:rPr>
          <w:b/>
        </w:rPr>
        <w:t>POSSIBLE 2022:</w:t>
      </w:r>
      <w:r>
        <w:t xml:space="preserve"> Historical Population Database of Transylvania. Sources, Particularities, Challenges, and Early Findings — https://doi.org/10.51964/hlcs12038</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The Historical Population Database of Transylvania (HPDT) is a research tool for population studies developed since 2014 at the Centre for Population Studies in Cluj-Napoca, financed by an SEE-Norway Grant. HPDT employs a source-oriented approach for recording data from the parish registers kept by the Transylvanian churches, focusing primarily on the main vital events such as births, marriages, and deaths. The data entry process was followed by the standardization of various information, such as names, occupations, locations and causes of death, thus allowing the initiation of a linkage process. The database has already been employed in a wide-ranging series of analyses conducted on datasets extracted from HPDT, which include infant and adult mortality, nuptiality and age at first marriage, social mobility, and the medicalization of childbirth. The wealth of information it includes will enable many more scientific investigations.</w:t>
      </w:r>
    </w:p>
    <w:p>
      <w:pPr>
        <w:pStyle w:val="Heading2"/>
      </w:pPr>
      <w:r>
        <w:t>754.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2024:</w:t>
      </w:r>
      <w:r>
        <w:t xml:space="preserve"> Effects of climate change on fungal infections — https://doi.org/10.1371/journal.ppat.1012219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Climate change significantly impacts atmospheric, ecological, agricultural, and societal systems.Documented increases in global temperature, extreme precipitation, and the frequency and intensity of severe weather events have been linked to a variety of adverse health outcomes, and conditions are expected to worsen [1].Fungi are particularly susceptible to the effects of climate change because the highest diversity and biomass of fungi are found in the top layer of soil, at the forefront of environmental changes.Fungal diseases cause a wide spectrum of illness, ranging from mild skin and mucosal infections to severe respiratory illness and lifethreatening disseminated disease.Evidence suggests that evolving weather patterns have contributed to expanded geographic ranges of endemic fungi, emergence of new pathogens, and increased antifungal resistance [2,3].This review presents an introduction to and discussion of some of the most important potential climate-related mechanisms associated with the proliferation of pathogenic fungi and associated fungal diseases (Fig 1) that could impact human and animal health.</w:t>
      </w:r>
    </w:p>
    <w:p>
      <w:pPr/>
      <w:r>
        <w:rPr>
          <w:b/>
        </w:rPr>
        <w:t>POSSIBLE 2024:</w:t>
      </w:r>
      <w:r>
        <w:t xml:space="preserve"> Understsanding the Effects of UV Radiation on Climate Change: A Comprehensive Review — https://doi.org/10.70436/nuijb.v3i02.303</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‌This review paper explores the intricate relationship between ultraviolet (UV) radiation and climate change, delving into its multifaceted effects on atmospheric processes, global temperature dynamics, biological entities, and the intricate feedback mechanisms that shape the Earth's climate. Beginning with an examination of UV radiation's interaction with the atmosphere, we uncover its role in ozone layer dynamics and its potential to influence atmospheric circulation patterns.The discussion extends to the impact of UV radiation on global temperature patterns, emphasizing its contribution to the Earth's energy balance and its interaction with greenhouse gases. Moving beyond climatic elements, we explore the biological impacts of UV radiation, encompassing its effects on human health, plant productivity, and aquatic ecosystems. We unveil the intricate feedback loops, revealing how changes induced by UV radiation can cascade through the atmosphere, ecosystems, and human societies.The technological and policy implications are scrutinized, highlighting innovations in monitoring and mitigation strategies alongside international policies crafted to address UV radiation's impact on climate change. Looking toward the future, the paper offers insights into potential advancements, challenges, and opportunities, emphasizing the need for ongoing research, global collaboration, and sustain</w:t>
      </w:r>
    </w:p>
    <w:p>
      <w:pPr/>
      <w:r>
        <w:rPr>
          <w:b/>
        </w:rPr>
        <w:t>POSSIBLE 2024:</w:t>
      </w:r>
      <w:r>
        <w:t xml:space="preserve"> CHARGED PARTICLES IN ATMOSPHERIC AIR: SIGNIFICANCE, PROPERTIES, AND IMPLICATIONS — https://openalex.org/W7219286878</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The study of charged particles, or ions, in atmospheric air is of paramount importance in contemporary atmospheric science. These charged particles play a crucial role in various atmospheric processes, influencing cloud formation, precipitation patterns, and even the propagation of lightning. Understanding their properties and interactions is essential for gaining insights into weather phenomena, climate change dynamics, and strategies for mitigating environmental impacts. Charged particles also have significant implications for human activities, technological systems, and public health, making it imperative to examine their effects comprehensively. Moreover, exploring the realm of charged particles in atmospheric air offers opportunities for scientific advancements, providing valuable insights into the Earth's electrical environment and its relationship with solar and cosmic radiation. This manuscript delves into the complexities of charged particles in atmospheric air, highlighting their significance in advancing atmospheric science, weather prediction, climate change mitigation, technological innovations, and public health preservation.</w:t>
      </w:r>
    </w:p>
    <w:p>
      <w:pPr/>
      <w:r>
        <w:rPr>
          <w:b/>
        </w:rPr>
        <w:t>POSSIBLE 2023:</w:t>
      </w:r>
      <w:r>
        <w:t xml:space="preserve"> The effects of climate change on mental health — https://doi.org/10.3238/arztebl.m2022.0403</w:t>
      </w:r>
    </w:p>
    <w:p>
      <w:pPr/>
      <w:r>
        <w:rPr>
          <w:b/>
        </w:rPr>
        <w:t>Shared claim-specific concepts:</w:t>
      </w:r>
      <w:r>
        <w:t xml:space="preserve"> climate, estimate, increase, not; EU scope not established. This is a provisional connection, not an outcome finding.</w:t>
      </w:r>
    </w:p>
    <w:p>
      <w:pPr>
        <w:pStyle w:val="SourceNote"/>
      </w:pPr>
      <w:r>
        <w:rPr>
          <w:b/>
        </w:rPr>
        <w:t>Available abstract (not full text):</w:t>
      </w:r>
      <w:r>
        <w:t xml:space="preserve"> BACKGROUND: All over the world, climate change is exerting negative and complex effects on human living conditions and health. In this narrative review, we summarize the current global evidence regarding the effects of climate change on mental health. METHODS: A systematic literature search concerning the direct effects of acute extreme weather events (floods, storms, fires) and chronic stresses (heat, drought) due to climate change, as well as the indirect effects of climate change (food insecurity, migration), on the diagnoses of mental disorders, psychological distress, and psychiatric emergency admissions was carried out in PubMed and PsychInfo, and supplemented by expert selection. 1017 studies were identified, and 128 were included. RESULTS: The heterogeneity of study methods does not permit any overall estimate of effect strength. The available evidence shows that traumatic experiences due to extreme weather events increase the risk of affective and anxiety disorders, especially the risk of post-traumatic stress disorder. Heat significantly increases the morbidity and mortality attributable to mental illness, as well as the frequency of psychiatric emergencies. Persistent stressors such as drought, food insecurity, and migration owing to climate change can also be major risk factors for mental illness. CONCLUSION: The consequences of climate change are stress factors for</w:t>
      </w:r>
    </w:p>
    <w:p>
      <w:pPr/>
      <w:r>
        <w:rPr>
          <w:b/>
        </w:rPr>
        <w:t>POSSIBLE 2023:</w:t>
      </w:r>
      <w:r>
        <w:t xml:space="preserve"> Effects of Climate Change and Drought Tolerance on Maize Growth — https://doi.org/10.3390/plants12203548</w:t>
      </w:r>
    </w:p>
    <w:p>
      <w:pPr/>
      <w:r>
        <w:rPr>
          <w:b/>
        </w:rPr>
        <w:t>Shared claim-specific concepts:</w:t>
      </w:r>
      <w:r>
        <w:t xml:space="preserve"> climate, increase; EU scope not established. This is a provisional connection, not an outcome finding.</w:t>
      </w:r>
    </w:p>
    <w:p>
      <w:pPr>
        <w:pStyle w:val="SourceNote"/>
      </w:pPr>
      <w:r>
        <w:rPr>
          <w:b/>
        </w:rPr>
        <w:t>Available abstract (not full text):</w:t>
      </w:r>
      <w:r>
        <w:t xml:space="preserve"> Climate change is affecting all regions of the world with different climates, and the scale of damage is increasing due to the occurrence of various natural disasters. In particular, maize production is highly affected by abnormal climate events such as heat waves and droughts. Increasing temperatures can accelerate growth and shorten the growing season, potentially reducing productivity. Additionally, enhanced temperatures during the ripening period can accelerate the process, reducing crop yields. In addition, drought stress due to water deficit can greatly affect seedling formation, early plant growth, photosynthesis, reproductive growth, and yield, so proper water management is critical to maize growth. Maize, in particular, is tall and broad-leaved, so extreme drought stress at planting can cause leaves to curl and stunt growth. It is important to understand that severe drought can have a detrimental effect on the growth and reproduction of maize. In addition, high temperatures caused by drought stress can inhibit the induction of flowering in male flowers and cause factors that interfere with pollen development. It is therefore important to increase the productivity of all food crops, including maize, while maintaining them in the face of persistent drought caused by climate change. This requires a strategy to develop genetically modified crops and drought-tolerant maize </w:t>
      </w:r>
    </w:p>
    <w:p>
      <w:pPr/>
      <w:r>
        <w:rPr>
          <w:b/>
        </w:rPr>
        <w:t>POSSIBLE 2023:</w:t>
      </w:r>
      <w:r>
        <w:t xml:space="preserve"> The effects of climate change on the ecology of fishes — https://doi.org/10.1371/journal.pclm.0000258</w:t>
      </w:r>
    </w:p>
    <w:p>
      <w:pPr/>
      <w:r>
        <w:rPr>
          <w:b/>
        </w:rPr>
        <w:t>Shared claim-specific concepts:</w:t>
      </w:r>
      <w:r>
        <w:t xml:space="preserve"> climate, not; EU scope not established. This is a provisional connection, not an outcome finding.</w:t>
      </w:r>
    </w:p>
    <w:p>
      <w:pPr>
        <w:pStyle w:val="SourceNote"/>
      </w:pPr>
      <w:r>
        <w:rPr>
          <w:b/>
        </w:rPr>
        <w:t>Available abstract (not full text):</w:t>
      </w:r>
      <w:r>
        <w:t xml:space="preserve"> Ocean warming and acidification are set to reshuffle life on Earth and alter ecological processes that underpin the biodiversity, health, productivity, and resilience of ecosystems. Fishes contribute significantly to marine, estuarine, and freshwater species diversity and the functioning of marine ecosystems, and are not immune to climate change impacts. Whilst considerable effort has been placed on studying the effects of climate change on fishes, much emphasis has been placed on their (eco)physiology and at the organismal level. Fishes are affected by climate change through impacts at various levels of biological organisation and through a large variety of traits, making it difficult to make generalisations regarding fish responses to climate change. Here, we briefly review the current state of knowledge of climate change effects on fishes across a wide range of subfields of fish ecology and evaluate these effects at various scales of biological organisation (from genes to ecosystems). We argue that a more holistic synthesis of the various interconnected subfields of fish ecology and integration of responses at different levels of biological organisation are needed for a better understanding of how fishes and their populations and communities might respond or adapt to the multi-stressor effects of climate change. We postulate that studies using natural analogues of climate ch</w:t>
      </w:r>
    </w:p>
    <w:p>
      <w:pPr/>
      <w:r>
        <w:rPr>
          <w:b/>
        </w:rPr>
        <w:t>POSSIBLE 2023:</w:t>
      </w:r>
      <w:r>
        <w:t xml:space="preserve"> Climate change, airborne allergens, and three translational mitigation approaches — https://doi.org/10.1016/j.ebiom.2023.104478</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One of the important adverse impacts of climate change on human health is increases in allergic respiratory diseases such as allergic rhinitis and asthma. This impact is via the effects of increases in atmospheric carbon dioxide concentration and air temperature on sources of airborne allergens such as pollen and fungal spores. This review describes these effects and then explores three translational mitigation approaches that may lead to improved health outcomes, with recent examples and developments highlighted. Impacts have already been observed on the seasonality, production and atmospheric concentration, allergenicity, and geographic distribution of airborne allergens, and these are projected to continue into the future. A technological revolution is underway that has the potential to advance patient management by better avoiding associated increased exposures, including automated real-time airborne allergen monitoring, airborne allergen forecasting and modelling, and smartphone apps for mitigating the health impacts of airborne allergens.</w:t>
      </w:r>
    </w:p>
    <w:p>
      <w:pPr>
        <w:pStyle w:val="Heading2"/>
      </w:pPr>
      <w:r>
        <w:t>755.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2023:</w:t>
      </w:r>
      <w:r>
        <w:t xml:space="preserve"> Additional substitutions in elite European football — https://doi.org/10.1177/17479541231164090</w:t>
      </w:r>
    </w:p>
    <w:p>
      <w:pPr/>
      <w:r>
        <w:rPr>
          <w:b/>
        </w:rPr>
        <w:t>Shared claim-specific concepts:</w:t>
      </w:r>
      <w:r>
        <w:t xml:space="preserve"> additional, show; EU scope visible. This is a provisional connection, not an outcome finding.</w:t>
      </w:r>
    </w:p>
    <w:p>
      <w:pPr>
        <w:pStyle w:val="SourceNote"/>
      </w:pPr>
      <w:r>
        <w:rPr>
          <w:b/>
        </w:rPr>
        <w:t>Available abstract (not full text):</w:t>
      </w:r>
      <w:r>
        <w:t xml:space="preserve"> In 2020, the International Football Association Board (IFAB) introduced a temporary rule amendment of two additional substitutions in regular time. In this study, we assess the impact of this rule change with regard to player relief, tactical influence by the coaches and the development of young players. Data were collected from 3652 matches from the top 5 leagues in the Union of European Football Associations (UEFA) rankings and 659 UEFA club competition matches (Champions League and Europa League) in 2 different seasons (pre-rule amendment: 2018/2019 vs. post-rule amendment: 2020/2021), comparing leagues that introduced two additional substitutions with those that did not. The results show that with two additional substitutions, the reduction in player load was increased by 46%. Despite being used infrequently, the rule change resulted in 45% more substitutions and, therefore, greater tactical influence by the coaches. Furthermore, two additional substitutions benefit young players’ development with an 81% increase in playing time. While the aim of the temporary amendment to the laws of the game was achieved with the additional substitutions by compensating for the increased load on the players, coaches’ substitution behaviour shows potential for improvement.</w:t>
      </w:r>
    </w:p>
    <w:p>
      <w:pPr/>
      <w:r>
        <w:rPr>
          <w:b/>
        </w:rPr>
        <w:t>POSSIBLE 2023:</w:t>
      </w:r>
      <w:r>
        <w:t xml:space="preserve"> Can sediments play a role in river flood risk mapping? Learning from selected European examples — https://doi.org/10.1186/s40677-023-00250-9</w:t>
      </w:r>
    </w:p>
    <w:p>
      <w:pPr/>
      <w:r>
        <w:rPr>
          <w:b/>
        </w:rPr>
        <w:t>Shared claim-specific concepts:</w:t>
      </w:r>
      <w:r>
        <w:t xml:space="preserve"> additional, show, approach, climate, perspective; EU scope visible. This is a provisional connection, not an outcome finding.</w:t>
      </w:r>
    </w:p>
    <w:p>
      <w:pPr>
        <w:pStyle w:val="SourceNote"/>
      </w:pPr>
      <w:r>
        <w:rPr>
          <w:b/>
        </w:rPr>
        <w:t>Available abstract (not full text):</w:t>
      </w:r>
      <w:r>
        <w:t xml:space="preserve"> Abstract Background Climate change and increasing anthropogenic pressure are two of the major drivers of increasing extreme events like droughts and floods. To deal with the increasing number of flooding events hitting Europe in the last few decades, around twenty years ago the European Commission started to develop ad-hoc legislation to reduce flood risk by mapping flood hazard and risk areas, such as the Directive 2007/60/EC on the Assessment and Management of Flood Risk. This Directive looks to identify regions where flood management strategies should be prioritized. Despite this holistic approach, flaws connected to the consideration of sediment transport and morphological changes in rivers exist, leading to potential underestimations of the impact of floods affecting active watercourses or areas subjected to frequent morphological changes. Results By discussing six examples related to European lowland and mountain watercourses affected by significant floods in the last 20 years, the present mini-review aims to provide additional evidence on the need for a rethinking of flood risk mapping, moving from a “clear water” perspective to a more integrated approach, where the interactions between all the fluvial components (water, sediment, biota, and humans) are adequately considered. Conclusions The examples reported here show the importance of considering sediment and wood in f</w:t>
      </w:r>
    </w:p>
    <w:p>
      <w:pPr/>
      <w:r>
        <w:rPr>
          <w:b/>
        </w:rPr>
        <w:t>POSSIBLE 2023:</w:t>
      </w:r>
      <w:r>
        <w:t xml:space="preserve"> Quantifying the effects of nature-based solutions in reducing risks from hydrometeorological hazards: Examples from Europe — https://doi.org/10.1016/j.ijdrr.2023.103771</w:t>
      </w:r>
    </w:p>
    <w:p>
      <w:pPr/>
      <w:r>
        <w:rPr>
          <w:b/>
        </w:rPr>
        <w:t>Shared claim-specific concepts:</w:t>
      </w:r>
      <w:r>
        <w:t xml:space="preserve"> show, approach, climate; EU scope visible. This is a provisional connection, not an outcome finding.</w:t>
      </w:r>
    </w:p>
    <w:p>
      <w:pPr>
        <w:pStyle w:val="SourceNote"/>
      </w:pPr>
      <w:r>
        <w:rPr>
          <w:b/>
        </w:rPr>
        <w:t>Available abstract (not full text):</w:t>
      </w:r>
      <w:r>
        <w:t xml:space="preserve"> The combination of climate change and social and ecological factors will increase risks societies face from hydrometeorological hazards (HMH). Reducing these risks is typically achieved through the deployment of engineered (or grey) infrastructure but increasingly, nature-based solutions (NBS) are being considered. Most risk assessment frameworks do not allow capturing well the role NBS can play in addressing all components of risk, i.e., the hazard characteristics and the exposure and vulnerability of social-ecological systems. Recently, the Vulnerability and Risk assessment framework developed to allow the assessment of risks in the context of NBS implementation (VR-NBS framework) was proposed. Here, we carry out the first implementation of this framework using five case study areas in Europe which are exposed to various HMH. Our results show that we can demonstrate the effect NBS have in terms of risk reduction and that this can be achieved by using a flexible library of indicators that allows to capture the specificities of each case study hazard, social and ecological circumstances. The approach appears to be more effective for larger case study areas, but further testing is required in a broader variety of contexts.</w:t>
      </w:r>
    </w:p>
    <w:p>
      <w:pPr/>
      <w:r>
        <w:rPr>
          <w:b/>
        </w:rPr>
        <w:t>POSSIBLE 2023:</w:t>
      </w:r>
      <w:r>
        <w:t xml:space="preserve"> The role of shared mobility in reducing perceived private car dependency — https://doi.org/10.1016/j.trd.2023.104023</w:t>
      </w:r>
    </w:p>
    <w:p>
      <w:pPr/>
      <w:r>
        <w:rPr>
          <w:b/>
        </w:rPr>
        <w:t>Shared claim-specific concepts:</w:t>
      </w:r>
      <w:r>
        <w:t xml:space="preserve"> show, dependency, existing; EU scope not established. This is a provisional connection, not an outcome finding.</w:t>
      </w:r>
    </w:p>
    <w:p>
      <w:pPr>
        <w:pStyle w:val="SourceNote"/>
      </w:pPr>
      <w:r>
        <w:rPr>
          <w:b/>
        </w:rPr>
        <w:t>Available abstract (not full text):</w:t>
      </w:r>
      <w:r>
        <w:t xml:space="preserve"> Existing contributions have explored the effect of specific shared-mobility services on car ownership reduction, but there is still a lack of analysis regarding the impact of shared-mobility, understood as new mobility concept. To fill this gap, a survey gathering 15,666 responses from residents in the Region of Madrid was conducted. A Multilevel Ordered Logit explored the individual and spatial dimensions of the potential of shared mobility to reduce car ownership. The results show that frequent car users and individuals owning more cars are less likely to believe they could give them up, but the adoption of moped-sharing or carsharing moderates this effect. For those who do not own a car, shared-mobility seems to be effective reducing their perceived need to own one in the future. Finally, the potential reduction of car ownership is more evident in dense urban areas, but a considerable spatial heterogeneity is observed throughout the metropolitan area.</w:t>
      </w:r>
    </w:p>
    <w:p>
      <w:pPr/>
      <w:r>
        <w:rPr>
          <w:b/>
        </w:rPr>
        <w:t>POSSIBLE 2022:</w:t>
      </w:r>
      <w:r>
        <w:t xml:space="preserve"> Models for analysing the dependencies between indicators for bioeconomy in the European Union — https://doi.org/10.1080/1331677x.2021.1997623</w:t>
      </w:r>
    </w:p>
    <w:p>
      <w:pPr/>
      <w:r>
        <w:rPr>
          <w:b/>
        </w:rPr>
        <w:t>Shared claim-specific concepts:</w:t>
      </w:r>
      <w:r>
        <w:t xml:space="preserve"> dependency, higher; EU scope visible. This is a provisional connection, not an outcome finding.</w:t>
      </w:r>
    </w:p>
    <w:p>
      <w:pPr>
        <w:pStyle w:val="SourceNote"/>
      </w:pPr>
      <w:r>
        <w:rPr>
          <w:b/>
        </w:rPr>
        <w:t>Available abstract (not full text):</w:t>
      </w:r>
      <w:r>
        <w:t xml:space="preserve"> In the past decade, bioeconomy has become a main field of interest, especially in terms of innovation, as it was often considered a potential solution to several global sustainability issues, such as environmental challenges. Through the conversion of biomass into value-added products for a full reintegration of used renewable biological resources, this sector has played a significant role in the efforts to transfer from petroleum-based economies to bio-based economies. The present article has the objective of developing panel regression models for determining the dependency between some of the main indicators of the bioeconomy development and sustainability for the European Union in the period 2008–2013. One main interesting finding of the study emphasised that higher gas emissions from agriculture are associated positively with higher turnover in the bioeconomy, implying the fact that the development of the bioeconomy is surprisingly not necessarily associated with sustainability. The relevance of the present study lies in the novelty of the subject, as bioeconomy was mainly researched in terms of theoretical knowledge, but less in terms of statistical analysis. Thus, the article offers a comprehensive research regarding the connection of the bioeconomy quantifying indicators and other selected economic influence factors of the European Union.</w:t>
      </w:r>
    </w:p>
    <w:p>
      <w:pPr/>
      <w:r>
        <w:rPr>
          <w:b/>
        </w:rPr>
        <w:t>POSSIBLE 2021:</w:t>
      </w:r>
      <w:r>
        <w:t xml:space="preserve"> How to reduce the degree of dependency on natural resources? — https://doi.org/10.1016/j.resourpol.2021.102047</w:t>
      </w:r>
    </w:p>
    <w:p>
      <w:pPr/>
      <w:r>
        <w:rPr>
          <w:b/>
        </w:rPr>
        <w:t>Shared claim-specific concepts:</w:t>
      </w:r>
      <w:r>
        <w:t xml:space="preserve"> dependency, reduced, degree; EU scope not established. This is a provisional connection, not an outcome finding.</w:t>
      </w:r>
    </w:p>
    <w:p>
      <w:pPr>
        <w:pStyle w:val="SourceNote"/>
      </w:pPr>
      <w:r>
        <w:rPr>
          <w:b/>
        </w:rPr>
        <w:t>Available abstract (not full text):</w:t>
      </w:r>
      <w:r>
        <w:t xml:space="preserve"> Many natural resources rich countries are characterized by natural resource dependency and lack of economic diversification. They experience lower economic growth due to excessive exploitation of natural resources, high resource price volatility, undermining the competitiveness of the non-natural resources sectors, and weak institutional quality. Economic diversification is viewed as a long-term solution to high economic dependency on natural resources. Although this diversification can take place in every sector of the economy, economic dependency on natural resources can be reduced through both private sector development and public sector reforms. This empirical research examines the factors that may affect a country's degree of dependency on natural resources. A dynamic flexible adjustment model is employed om an unbalanced panel data for 110 countries from 1990 to 2017, to estimate the relationship between private sector development, public sector reforms, taxation systems, and dependency on natural. The findings reveal that the degree of dependency on natural resource revenue will reduce with the development of the public sector including privatization and development of national taxation systems. Institutional quality and human development are crucial for reducing this dependency and the speed at which countries transition towards an optimal level of diversification.</w:t>
      </w:r>
    </w:p>
    <w:p>
      <w:pPr>
        <w:pStyle w:val="Heading2"/>
      </w:pPr>
      <w:r>
        <w:t>756.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2023:</w:t>
      </w:r>
      <w:r>
        <w:t xml:space="preserve"> Biological Deterioration and Natural Durability of Wood in Europe — https://doi.org/10.3390/f14020283</w:t>
      </w:r>
    </w:p>
    <w:p>
      <w:pPr/>
      <w:r>
        <w:rPr>
          <w:b/>
        </w:rPr>
        <w:t>Shared claim-specific concepts:</w:t>
      </w:r>
      <w:r>
        <w:t xml:space="preserve"> natural, climate, key, recent; EU scope visible. This is a provisional connection, not an outcome finding.</w:t>
      </w:r>
    </w:p>
    <w:p>
      <w:pPr>
        <w:pStyle w:val="SourceNote"/>
      </w:pPr>
      <w:r>
        <w:rPr>
          <w:b/>
        </w:rPr>
        <w:t>Available abstract (not full text):</w:t>
      </w:r>
      <w:r>
        <w:t xml:space="preserve">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pPr/>
      <w:r>
        <w:rPr>
          <w:b/>
        </w:rPr>
        <w:t>POSSIBLE 2023:</w:t>
      </w:r>
      <w:r>
        <w:t xml:space="preserve"> Costs and benefits of climate services for heat-health adaptation in Europe — https://doi.org/10.1093/eurpub/ckad160.371</w:t>
      </w:r>
    </w:p>
    <w:p>
      <w:pPr/>
      <w:r>
        <w:rPr>
          <w:b/>
        </w:rPr>
        <w:t>Shared claim-specific concepts:</w:t>
      </w:r>
      <w:r>
        <w:t xml:space="preserve"> knowledge, climate, information, adaptation, work;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Does climate change drive up government healthcare costs in the European Union? — https://doi.org/10.3389/fenvs.2023.1286099</w:t>
      </w:r>
    </w:p>
    <w:p>
      <w:pPr/>
      <w:r>
        <w:rPr>
          <w:b/>
        </w:rPr>
        <w:t>Shared claim-specific concepts:</w:t>
      </w:r>
      <w:r>
        <w:t xml:space="preserve"> climate, warming; EU scope visible. This is a provisional connection, not an outcome finding.</w:t>
      </w:r>
    </w:p>
    <w:p>
      <w:pPr>
        <w:pStyle w:val="SourceNote"/>
      </w:pPr>
      <w:r>
        <w:rPr>
          <w:b/>
        </w:rPr>
        <w:t>Available abstract (not full text):</w:t>
      </w:r>
      <w:r>
        <w:t xml:space="preserve"> The continuous growth in average temperature around the world, caused especially by CO2 emissions, generates climate changes significantly impacts not only economic or social domains, but also human health. The previous literature provides evidence of degradation of human health due to climate change and emphasizes pressure on governments to increase government spending on health. The aim of this study is to analyze the impact of climate change, expressed by temperature and CO2 emissions, on healthcare spending in the European Union member states using available data from 2000 to 2020. In addition to prior research, this paper incorporates supplementary control variables such as governance, macroeconomic factors (GDP and inflation) and human development index. To capture the dynamic impact of climate change on healthcare expenditure, we use the Generalized Method of Moments (GMM) technique and the panel VAR Granger causality method. Empirical findings suggest that an increase in temperature and CO2 emissions levels, along with improvements in governance, economic growth, inflation, and human development, contribute to higher healthcare expenditures. Rising temperature and CO2 emissions are directly increasing the health burden on individuals’ health and force governments to enhance health spending. The paper is notable for its comprehensive approach, filling a significant gap i</w:t>
      </w:r>
    </w:p>
    <w:p>
      <w:pPr/>
      <w:r>
        <w:rPr>
          <w:b/>
        </w:rPr>
        <w:t>POSSIBLE 2022:</w:t>
      </w:r>
      <w:r>
        <w:t xml:space="preserve"> Global economic costs and knowledge gaps of invasive gastropods — https://doi.org/10.1016/j.ecolind.2022.109614</w:t>
      </w:r>
    </w:p>
    <w:p>
      <w:pPr/>
      <w:r>
        <w:rPr>
          <w:b/>
        </w:rPr>
        <w:t>Shared claim-specific concepts:</w:t>
      </w:r>
      <w:r>
        <w:t xml:space="preserve"> knowledge, information; EU scope visible. This is a provisional connection, not an outcome finding.</w:t>
      </w:r>
    </w:p>
    <w:p>
      <w:pPr>
        <w:pStyle w:val="SourceNote"/>
      </w:pPr>
      <w:r>
        <w:rPr>
          <w:b/>
        </w:rPr>
        <w:t>Available abstract (not full text):</w:t>
      </w:r>
      <w:r>
        <w:t xml:space="preserve"> Invasive alien gastropods are a particularly pervasive taxonomic group worldwide, often causing substantial impacts on aquatic and terrestrial ecosystems. Yet, much remains unknown about this invasive group’s economic costs to human society. Here, we used the InvaCost database to evaluate the taxonomic, spatial, and temporal patterns of economic costs associated with invasive gastropods on the global scale. In total, 13 species of invasive gastropods caused a cumulative global cost of US$ 3.94 billion over the period 1966–2020, with a majority being attributed to aquatic species ($ 3.72 billion, 94.4 %, concentrated mostly in Asia) and only $ 0.22 billion (5.6 %, concentrated mostly in Europe) to terrestrial species. Among different regions, Asia (3.71 billion) reported the greatest costs, compared to far lower costs reported in Europe (214.50 million), North America (13.80 million), Oceania (2.69 million), South America (&lt;1 million) and Africa (&lt;1 million). The vast majority (94.2 %) of these costs were due to the family Ampullariidae and the genus Pomacea (apple snails) which were largely reported in Asia. Furthermore, 88.4 % of total gastropod-related costs resulted from direct resource damages and losses, being one order of magnitude higher than management related costs (9.0 %). A majority (81.5 %) of total gastropod costs was incurred by agriculture, and relatively little </w:t>
      </w:r>
    </w:p>
    <w:p>
      <w:pPr/>
      <w:r>
        <w:rPr>
          <w:b/>
        </w:rPr>
        <w:t>POSSIBLE 2022:</w:t>
      </w:r>
      <w:r>
        <w:t xml:space="preserve"> Closing the loop on plastics in Europe: The role of data, information and knowledge — https://doi.org/10.1016/j.spc.2022.08.019</w:t>
      </w:r>
    </w:p>
    <w:p>
      <w:pPr/>
      <w:r>
        <w:rPr>
          <w:b/>
        </w:rPr>
        <w:t>Shared claim-specific concepts:</w:t>
      </w:r>
      <w:r>
        <w:t xml:space="preserve"> knowledge, key, information, policies, work, recent; EU scope visible. This is a provisional connection, not an outcome finding.</w:t>
      </w:r>
    </w:p>
    <w:p>
      <w:pPr>
        <w:pStyle w:val="SourceNote"/>
      </w:pPr>
      <w:r>
        <w:rPr>
          <w:b/>
        </w:rPr>
        <w:t>Available abstract (not full text):</w:t>
      </w:r>
      <w:r>
        <w:t xml:space="preserve"> Concerns over plastic waste and support for a plastic circular economy have been growing in recent years. Specific needs to promote re-circulation of plastics in terms of data, information and knowledge are poorly understood. Based on the multi-level perspective on socio-technical transitions and semi-structured interviews with key stakeholders, this paper aims to understand how information and knowledge issues may inhibit or foster the development of secondary plastics markets in Europe. Results highlight that key barriers associated with data-information-knowledge map across, and interact with, policies and standards, market and technology, socio-cultural norms, networks and business models. The packaging sector has drawn more policy attention, and institutions to support information sharing such as labelling and certification are more mature. The automotive and EEE sectors have illustrated knowledge diffusion through supply chain collaboration, while the construction sector appears to have slower practical progress on industry-level knowledge diffusion. This paper contributes to the multi-level perspective on transition studies by focusing the empirical work on a new area of plastic circular economy. The cases playing out across the whole value chain and four different application areas provide insights that are potentially more widely applicable to the circular economy tran</w:t>
      </w:r>
    </w:p>
    <w:p>
      <w:pPr/>
      <w:r>
        <w:rPr>
          <w:b/>
        </w:rPr>
        <w:t>POSSIBLE 2022:</w:t>
      </w:r>
      <w:r>
        <w:t xml:space="preserve"> Global economic costs of mammal invasions — https://doi.org/10.1016/j.scitotenv.2022.159479</w:t>
      </w:r>
    </w:p>
    <w:p>
      <w:pPr/>
      <w:r>
        <w:rPr>
          <w:b/>
        </w:rPr>
        <w:t>Shared claim-specific concepts:</w:t>
      </w:r>
      <w:r>
        <w:t xml:space="preserve"> knowledge, natural; EU scope visible. This is a provisional connection, not an outcome finding.</w:t>
      </w:r>
    </w:p>
    <w:p>
      <w:pPr>
        <w:pStyle w:val="SourceNote"/>
      </w:pPr>
      <w:r>
        <w:rPr>
          <w:b/>
        </w:rPr>
        <w:t>Available abstract (not full text):</w:t>
      </w:r>
      <w:r>
        <w:t xml:space="preserve"> Invasive alien mammals cause huge adverse ecological impact on human society and natural ecosystems. Although studies have estimated economic costs of mammal invasions at regional scales, there is lacking the large-scale comprehensive assessment of currency costs for this taxon. Here, we estimated the economic cost of invasive alien mammals on a global scale using the most comprehensive global database compiling economic costs of invasive species (InvaCost). From 1960 to 2021, mammal invasions caused costs (summing damage costs and management costs) of US$ 462.49 billion to the global economy, while the total amount of robust costs reached US$ 52.49 billion. The majority of the total economic costs corresponded to damage costs (90.27 %), while only 7.43 % were related to management cost. Economic costs showed an increasing trend over time. The distribution of costs was uneven among taxonomic groups and regions, with the global total cost highly biasing toward to 5 species (European rabbit, Domestic cat, Black rat, Wild boar and Coypu), and North America reporting much higher costs (60.78 % of total economic costs) than other regions. The total costs were borne by agriculture, environment, authorities stakeholders and other sectors. Geographic and taxonomic biases suggested that total economic costs caused by invasive alien mammals were underestimated. Integrated research effort</w:t>
      </w:r>
    </w:p>
    <w:p>
      <w:pPr/>
      <w:r>
        <w:rPr>
          <w:b/>
        </w:rPr>
        <w:t>POSSIBLE 2022:</w:t>
      </w:r>
      <w:r>
        <w:t xml:space="preserve"> Psychology of Climate Change — https://doi.org/10.1146/annurev-psych-032720-042905</w:t>
      </w:r>
    </w:p>
    <w:p>
      <w:pPr/>
      <w:r>
        <w:rPr>
          <w:b/>
        </w:rPr>
        <w:t>Shared claim-specific concepts:</w:t>
      </w:r>
      <w:r>
        <w:t xml:space="preserve"> climate, key; EU scope not established. This is a provisional connection, not an outcome finding.</w:t>
      </w:r>
    </w:p>
    <w:p>
      <w:pPr>
        <w:pStyle w:val="SourceNote"/>
      </w:pPr>
      <w:r>
        <w:rPr>
          <w:b/>
        </w:rPr>
        <w:t>Available abstract (not full text):</w:t>
      </w:r>
      <w:r>
        <w:t xml:space="preserve"> Human behavior plays a critical role in causing global climate change as well as in responding to it. In this article, I review important insights on the psychology of climate change. I first discuss factors that affect the likelihood that individuals engage in a wide range of climate actions. Next, I review the processes through which values affect climate actions and reflect on how to motivate climate actions among people who do not strongly care about nature, the environment, and climate change. Then I explain that even people who may be motivated to engage in climate actions may not do so when they face major barriers to act. This implies that to promote wide-scale climate actions, broader system changes are needed. I discuss relevant factors that affect public support for system changes that facilitate and enable climate action. Finally, I summarize key lessons learned and identify important questions for future research.</w:t>
      </w:r>
    </w:p>
    <w:p>
      <w:pPr/>
      <w:r>
        <w:rPr>
          <w:b/>
        </w:rPr>
        <w:t>POSSIBLE 2022:</w:t>
      </w:r>
      <w:r>
        <w:t xml:space="preserve"> Forest-based climate change mitigation and adaptation in Europe — https://doi.org/10.36333/fs14</w:t>
      </w:r>
    </w:p>
    <w:p>
      <w:pPr/>
      <w:r>
        <w:rPr>
          <w:b/>
        </w:rPr>
        <w:t>Shared claim-specific concepts:</w:t>
      </w:r>
      <w:r>
        <w:t xml:space="preserve"> natural, climate, adaptation, mitigation, case;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natural, climate, adaptation, mitigation, policies;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pStyle w:val="Heading2"/>
      </w:pPr>
      <w:r>
        <w:t>757.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qualitative;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Logo as a Tool of European Union Countries’ Destination Branding — https://doi.org/10.4467/23540214zm.21.033.14576</w:t>
      </w:r>
    </w:p>
    <w:p>
      <w:pPr/>
      <w:r>
        <w:rPr>
          <w:b/>
        </w:rPr>
        <w:t>Shared claim-specific concepts:</w:t>
      </w:r>
      <w:r>
        <w:t xml:space="preserve"> tool, method; EU scope visible. This is a provisional connection, not an outcome finding.</w:t>
      </w:r>
    </w:p>
    <w:p>
      <w:pPr>
        <w:pStyle w:val="SourceNote"/>
      </w:pPr>
      <w:r>
        <w:rPr>
          <w:b/>
        </w:rPr>
        <w:t>Available abstract (not full text):</w:t>
      </w:r>
      <w:r>
        <w:t xml:space="preserve"> Developing a coherent and comprehensive brand of a country is of vital importance for a destination in the contemporary global world. There seems to be a recognizable gap in the literature regarding the application of visual signs practiced in country branding. The subject of the study: The research identifies the logos of the European Union countries used in place branding. The purpose of the study is the exploration of the logo content from the senders’ perspective, i.e., the structures and organizations responsible for the country branding. There are many reasons why logos are used in place branding practice. The authors decided to focus on the logo as a form of controlled and projected message communicated via media and ICT. Cognitive gap: The research conducted so far has focused on the reception of logos by the recipients. The presented research attempts to examine the visual message contained in logos from the senders’ perspective. Research methods and data collection techniques: The content analysis method was used to study the visual identity of the countries. The authors collected logos and scrutinised them using Beyrow and Vogt as well as Mollerup’s taxonomy. The results of the study illustrate how governmental institutions, which are responsible for country branding, portray countries using visual identity on the Internet, social media, and their own media.</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increase, present, set;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2020:</w:t>
      </w:r>
      <w:r>
        <w:t xml:space="preserve"> Professional Wargaming: A Flawed but Useful Tool — https://doi.org/10.1177/1046878120901852</w:t>
      </w:r>
    </w:p>
    <w:p>
      <w:pPr/>
      <w:r>
        <w:rPr>
          <w:b/>
        </w:rPr>
        <w:t>Shared claim-specific concepts:</w:t>
      </w:r>
      <w:r>
        <w:t xml:space="preserve"> useful, tool, planning, set, develop; EU scope not established. This is a provisional connection, not an outcome finding.</w:t>
      </w:r>
    </w:p>
    <w:p>
      <w:pPr>
        <w:pStyle w:val="SourceNote"/>
      </w:pPr>
      <w:r>
        <w:rPr>
          <w:b/>
        </w:rPr>
        <w:t>Available abstract (not full text):</w:t>
      </w:r>
      <w:r>
        <w:t xml:space="preserve"> Rationale for the Article. Professional wargames have long been an integral part of the tool set used by the military. The literature includes many examples of wargames that have been successful in terms of training, military education, procurement, operational analysis and planning for war. However, retrospective examination demonstrates that many of these professional wargames also had major errors in them and by implication current games about future confrontations are similarly flawed. Nevertheless, the academic evidence is clear that such games are still invaluable tools. Methodology. Ten years of research into the development of wargames undertaken by the History of Wargaming Project has analysed and made generally available more professional wargames than ever before. Retrospective examination of a sample of these declassified games, from the British War Office Rules (1896) to more recent games about the Ukraine, shows significant errors. Value. Demonstrating that professional games had errors in the past opens challenges the overconfidence in the predictive capacity of games. It also raises the possibility for future research to identify game design bias and to develop better games in the future. Understanding the value of better games, even with their inherent issues, raise the possibility of better preparing decision makers for the future. Notes. The words wargame and</w:t>
      </w:r>
    </w:p>
    <w:p>
      <w:pPr/>
      <w:r>
        <w:rPr>
          <w:b/>
        </w:rPr>
        <w:t>POSSIBLE 2019:</w:t>
      </w:r>
      <w:r>
        <w:t xml:space="preserve"> Market survey recently recognised as a persuasive tool to solve trademark disputes in China — https://doi.org/10.4324/9780429316395-6</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This chapter focuses on the decision concerning the trademark of the Chinese characters of the transliteration of Jordan, and especially the facts and legal issues surrounding market survey. China’s Trademark Law provides for the “prior right doctrine” as one of the grounds to refuse to grant trademark registration. In some jurisdictions, such as the United States and European Union, market surveys have been recognised as useful tools to deal with trademark disputes. Market surveys have been used to measure the major issues in trademark law: likelihood of confusion, generic terms, secondary meaning, deception, fame, and likelihood of dilution. The rights and interests stipulated under the laws shall be enjoyed by entities and protected against later trademark registration that might undermine those rights and interests. China’s Trademark Law provides that an application for trademark registration shall not infringe the prior right of another person.</w:t>
      </w:r>
    </w:p>
    <w:p>
      <w:pPr>
        <w:pStyle w:val="Heading2"/>
      </w:pPr>
      <w:r>
        <w:t>758.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r>
        <w:rPr>
          <w:b/>
        </w:rPr>
        <w:t>POSSIBLE 2023:</w:t>
      </w:r>
      <w:r>
        <w:t xml:space="preserve"> A Multivariate Meta-Analysis of the Effects of Business-as-Usual Special Education Services in U.S. Schools — https://doi.org/10.31234/osf.io/fs3zg</w:t>
      </w:r>
    </w:p>
    <w:p>
      <w:pPr/>
      <w:r>
        <w:rPr>
          <w:b/>
        </w:rPr>
        <w:t>Shared claim-specific concepts:</w:t>
      </w:r>
      <w:r>
        <w:t xml:space="preserve"> business-as-usual, bau, million; EU scope not established. This is a provisional connection, not an outcome finding.</w:t>
      </w:r>
    </w:p>
    <w:p>
      <w:pPr>
        <w:pStyle w:val="SourceNote"/>
      </w:pPr>
      <w:r>
        <w:rPr>
          <w:b/>
        </w:rPr>
        <w:t>Available abstract (not full text):</w:t>
      </w:r>
      <w:r>
        <w:t xml:space="preserve"> Special education services provided in U.S. schools should be designed to enable students with disabilities (SWD) to make “appropriately ambitious” educational progress (Endrew F., 2017). Yet the field lacks consensus on whether business-as-usual (BAU) special education services effectively support outcomes for SWD. We conducted a moderated multilevel multivariate meta-analysis of 40 studies and 1,721 effect sizes from more than 14 million participants to evaluate the effectiveness of BAU special education services. Effects ranged from null-to-positive (z = -0.07 to 0.12) for achievement and negative-to-null (z = -0.13 to -0.01) for behavior. We observed positive outcomes for educational attainment including graduation outcomes (z = 0.12 to 0.24) and postsecondary outcomes (z = 0.10 to 0.23), as well as for other outcomes (z = 0.21 to 0.38). Studies that used a more rigorous research design or comparison condition reported more positive effects across outcomes. Additional casual work is needed in this field.</w:t>
      </w:r>
    </w:p>
    <w:p>
      <w:pPr/>
      <w:r>
        <w:rPr>
          <w:b/>
        </w:rPr>
        <w:t>POSSIBLE 2023:</w:t>
      </w:r>
      <w:r>
        <w:t xml:space="preserve"> Effects of Circularity Interventions in the European Plastic Packaging Sector — https://doi.org/10.1021/acs.est.2c08202</w:t>
      </w:r>
    </w:p>
    <w:p>
      <w:pPr/>
      <w:r>
        <w:rPr>
          <w:b/>
        </w:rPr>
        <w:t>Shared claim-specific concepts:</w:t>
      </w:r>
      <w:r>
        <w:t xml:space="preserve"> business-as-usual, compared, levels;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2022:</w:t>
      </w:r>
      <w:r>
        <w:t xml:space="preserve"> The joint impact of the European Union emissions trading system on carbon emissions and economic performance — https://doi.org/10.1016/j.jeem.2022.102758</w:t>
      </w:r>
    </w:p>
    <w:p>
      <w:pPr/>
      <w:r>
        <w:rPr>
          <w:b/>
        </w:rPr>
        <w:t>Shared claim-specific concepts:</w:t>
      </w:r>
      <w:r>
        <w:t xml:space="preserve"> union, increase; EU scope visible. This is a provisional connection, not an outcome finding.</w:t>
      </w:r>
    </w:p>
    <w:p>
      <w:pPr>
        <w:pStyle w:val="SourceNote"/>
      </w:pPr>
      <w:r>
        <w:rPr>
          <w:b/>
        </w:rPr>
        <w:t>Available abstract (not full text):</w:t>
      </w:r>
      <w:r>
        <w:t xml:space="preserve"> This paper investigates the impact of the European Union Emissions Trading System (EU ETS) on carbon emissions and economic performance based on a matching methodology exploiting installation-level inclusion criteria combined with difference-in-differences. Installation-level data from national Polluting Emissions Registries in France, Netherlands, Norway and the United Kingdom point to a reduction in carbon emissions in the order of −10% between 2005 and 2012, in line with existing micro and macro evidence. Meanwhile, firm-level data on the 31 ETS-regulated countries shows that the EU ETS had no significant impact on profits and employment, and led to an increase in regulated firms' revenues and fixed assets. We explore various explanations for these findings.</w:t>
      </w:r>
    </w:p>
    <w:p>
      <w:pPr/>
      <w:r>
        <w:rPr>
          <w:b/>
        </w:rPr>
        <w:t>POSSIBLE 2022:</w:t>
      </w:r>
      <w:r>
        <w:t xml:space="preserve"> Comparison of European Union and Korean Applications of the Best Available Technology (BAT) Concept to Environmental Policy Areas in Consideration of BAT Baseline Methodology in the Carbon Market — https://doi.org/10.15531/ksccr.2022.13.1.047</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Article 6.4 of the Paris Agreement introduces a baseline-and-crediting mechanism, the so-called sustainable development mechanism (SDM), which allows parties to meet their nationally determined contributions (NDCs). Currently, various options for baseline methodologies are being considered and negotiated as a part of the implementation rules of Article 6.4 of the Paris Agreement for greenhouse gas emission reduction projects. The best available technology (BAT) baseline methodology has been increasingly emphasized as an alternative to historical emission, business-as-usual (BAU), and performance-based baseline methodologies. However, the application of the BAT baseline methodology in the international carbon market remains under-explored. Also, the rise of the BAT baseline methodology had attracted attention to the concept of BAT in environmental policies and practices. Therefore, this paper attempts to examine the meaning of the BAT concept and BAT application in related environmental policies to ultimately explore strategic ways that the BAT baseline methodology can be used under the SDM in an integrated manner amongst related policy fields. First, this paper sets three policy areas where the concepts of BAT are applied, and they are the i) integrated pollution and prevention control policy, ii) cap-and-trade policy in the carbon market, and iii) baseline-and-crediting mechan</w:t>
      </w:r>
    </w:p>
    <w:p>
      <w:pPr/>
      <w:r>
        <w:rPr>
          <w:b/>
        </w:rPr>
        <w:t>POSSIBLE 2022:</w:t>
      </w:r>
      <w:r>
        <w:t xml:space="preserve"> Ecosystem-based fisheries management increases catch and carbon sequestration through recovery of exploited stocks: The western Baltic Sea case study — https://doi.org/10.3389/fmars.2022.879998</w:t>
      </w:r>
    </w:p>
    <w:p>
      <w:pPr/>
      <w:r>
        <w:rPr>
          <w:b/>
        </w:rPr>
        <w:t>Shared claim-specific concepts:</w:t>
      </w:r>
      <w:r>
        <w:t xml:space="preserve"> bau, compared, increases; EU scope visible. This is a provisional connection, not an outcome finding.</w:t>
      </w:r>
    </w:p>
    <w:p>
      <w:pPr>
        <w:pStyle w:val="SourceNote"/>
      </w:pPr>
      <w:r>
        <w:rPr>
          <w:b/>
        </w:rPr>
        <w:t>Available abstract (not full text):</w:t>
      </w:r>
      <w:r>
        <w:t xml:space="preserve"> Legal requirement in Europe asks for Ecosystem-Based Fisheries Management (EBFM) in European seas, including consideration of trophic interactions and minimization of negative impacts of fishing on food webs and ecosystem functioning. This study presents the first mass-balanced ecosystem model focused on the western Baltic Sea (WBS). Results show that heavy fishing pressure exerted on the WBS has forced top predators such as harbour porpoise and cod to cover their dietary needs by shifting from forage fish to other prey or find food outside of the model area. The model was then developed to explore the dynamics of four future fishery scenarios: (1) business as usual (BAU), (2) maximum sustainable fishing (F = F MSY ), (3) half of F MSY , and (4) EBFM with F = 0.5 F MSY for forage fish and F = 0.8 F MSY for other fish. Simulations show that BAU would perpetuate low catches from depleted stocks with a high risk of extinction for harbour porpoise. In contrast, the EBFM scenario would allow the recovery of harbour porpoise, forage fish and cod with increases in catch of herring and cod. EBFM promotes ecosystem resilience to eutrophication and ocean warming, and through the rebuilding of commercial stocks increases by more than three times carbon sequestration compared to BAU. The model provides an interrelated assessment of trophic guilds in the WBS, as required by European law to </w:t>
      </w:r>
    </w:p>
    <w:p>
      <w:pPr/>
      <w:r>
        <w:rPr>
          <w:b/>
        </w:rPr>
        <w:t>POSSIBLE 2022:</w:t>
      </w:r>
      <w:r>
        <w:t xml:space="preserve"> European primary emissions of criteria pollutants and greenhouse gases in 2020 modulated by the COVID-19 pandemic disruptions — https://doi.org/10.5194/essd-14-2521-2022</w:t>
      </w:r>
    </w:p>
    <w:p>
      <w:pPr/>
      <w:r>
        <w:rPr>
          <w:b/>
        </w:rPr>
        <w:t>Shared claim-specific concepts:</w:t>
      </w:r>
      <w:r>
        <w:t xml:space="preserve"> business-as-usual, bau, average; EU scope visible. This is a provisional connection, not an outcome finding.</w:t>
      </w:r>
    </w:p>
    <w:p>
      <w:pPr>
        <w:pStyle w:val="SourceNote"/>
      </w:pPr>
      <w:r>
        <w:rPr>
          <w:b/>
        </w:rPr>
        <w:t>Available abstract (not full text):</w:t>
      </w:r>
      <w:r>
        <w:t xml:space="preserve"> Abstract. We present a European dataset of daily-, sector-, pollutant- and country-dependent emission adjustment factors associated to the COVID-19 mobility restrictions for the year 2020. The resulting dataset covers a total of nine emission sectors, including road transport, energy industry, manufacturing industry, residential and commercial combustion, aviation, shipping, off-road transport, use of solvents, and fugitive emissions from transportation and distribution of fossil fuels. The dataset was produced to be combined with the Copernicus CAMS-REG_v5.1 2020 business-as-usual (BAU) inventory, which provides high resolution (0.1 × 0.05 deg.) emission estimates for 2020 omitting the impact of the COVID-19 restrictions. The combination of both datasets allows quantifying spatially- and temporally-resolved reductions in primary emissions from both criteria pollutants (NOx, SO2, NMVOC, NH3, CO, PM10 and PM2.5) and greenhouse gases (CO2 fossil fuel, CO2 biofuel and CH4), as well as assessing the contribution of each emission sector and European country to the overall emission changes. Estimated overall emission changes in 2020 relative to BAU emissions were as follows: −10.5 % for NOx (−602 kt), −7.8 % (−260.2 Mt) for CO2 from fossil fuels, −4.7 % (−808.5 kt) for CO, −4.6 % (−80 kt) for SO2, −3.3 % (−19.1 Mt) for CO2 from biofuels, −3.0 % (−56.3 kt) for PM10, −2.5 % (−173.3 kt)</w:t>
      </w:r>
    </w:p>
    <w:p>
      <w:pPr/>
      <w:r>
        <w:rPr>
          <w:b/>
        </w:rPr>
        <w:t>POSSIBLE 2022:</w:t>
      </w:r>
      <w:r>
        <w:t xml:space="preserve"> A high-resolution dynamic probabilistic material flow analysis of seven plastic polymers; A case study of Norway — https://doi.org/10.1016/j.envint.2022.107693</w:t>
      </w:r>
    </w:p>
    <w:p>
      <w:pPr/>
      <w:r>
        <w:rPr>
          <w:b/>
        </w:rPr>
        <w:t>Shared claim-specific concepts:</w:t>
      </w:r>
      <w:r>
        <w:t xml:space="preserve"> business-as-usual, increase, seven; EU scope visible. This is a provisional connection, not an outcome finding.</w:t>
      </w:r>
    </w:p>
    <w:p>
      <w:pPr>
        <w:pStyle w:val="SourceNote"/>
      </w:pPr>
      <w:r>
        <w:rPr>
          <w:b/>
        </w:rPr>
        <w:t>Available abstract (not full text):</w:t>
      </w:r>
      <w:r>
        <w:t xml:space="preserve"> Plastic pollution has long been identified as one of the biggest challenges of the 21st century. To tackle this problem, governments are setting stringent recycling targets to keep plastics in a closed loop. Yet, knowledge of the stocks and flows of plastic has not been well integrated into policies. This study presents a dynamic probabilistic economy-wide material flow analysis (MFA) of seven plastic polymers (HDPE, LDPE, PP, PS, PVC, EPS, and PET) in Norway from 2000 to 2050. A total of 40 individual product categories aggregated into nine industrial sectors were examined. An estimated 620 ± 23 kt or 114 kg/capita of these seven plastic polymers was put on the Norwegian market in 2020. Packaging products contributed to the largest share of plastic put on the market (∼40%). The accumulated in-use stock in 2020 was about 3400 ± 56 kt with ∼60% remaining in buildings and construction sector. In 2020, about 460 ± 22 kt of plastic waste was generated in Norway, with half originating from packaging. Although ∼50% of all plastic waste is collected separately from the waste stream, only around 25% is sorted for recycling. Overall, ∼50% of plastic waste is incinerated, ∼15% exported, and ∼10% landfilled. Under a business-as-usual scenario, the plastic put on the market, in-use stock, and waste generation will increase by 65%, 140%, and 90%, respectively by 2050. The outcomes of this w</w:t>
      </w:r>
    </w:p>
    <w:p>
      <w:pPr>
        <w:pStyle w:val="Heading2"/>
      </w:pPr>
      <w:r>
        <w:t>759.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2024:</w:t>
      </w:r>
      <w:r>
        <w:t xml:space="preserve"> Four influential recent Canadian Medical Education Journal articles presented at the International Congress for Medical Education — https://doi.org/10.36834/cmej.79278</w:t>
      </w:r>
    </w:p>
    <w:p>
      <w:pPr/>
      <w:r>
        <w:rPr>
          <w:b/>
        </w:rPr>
        <w:t>Shared claim-specific concepts:</w:t>
      </w:r>
      <w:r>
        <w:t xml:space="preserve"> article, presented, four, education; EU scope not established. This is a provisional connection, not an outcome finding.</w:t>
      </w:r>
    </w:p>
    <w:p>
      <w:pPr>
        <w:pStyle w:val="SourceNote"/>
      </w:pPr>
      <w:r>
        <w:rPr>
          <w:b/>
        </w:rPr>
        <w:t>Available abstract (not full text):</w:t>
      </w:r>
      <w:r>
        <w:t xml:space="preserve"> Four influential recent Canadian Medical Education Journal articles presented at the International Congress for Medical Education. An article from journal Canadian Medical Education Journal / Revue canadienne de l'éducation médicale (Volume 15, Number 2, 2024, pp. 1-115), on Érudit.</w:t>
      </w:r>
    </w:p>
    <w:p>
      <w:pPr/>
      <w:r>
        <w:rPr>
          <w:b/>
        </w:rPr>
        <w:t>POSSIBLE 2024:</w:t>
      </w:r>
      <w:r>
        <w:t xml:space="preserve"> Occasionalism in the general system of the language — https://doi.org/10.46727/c.v3.21-22-03-2024.p53-58</w:t>
      </w:r>
    </w:p>
    <w:p>
      <w:pPr/>
      <w:r>
        <w:rPr>
          <w:b/>
        </w:rPr>
        <w:t>Shared claim-specific concepts:</w:t>
      </w:r>
      <w:r>
        <w:t xml:space="preserve"> article, presented, system, general, content, main; EU scope not established. This is a provisional connection, not an outcome finding.</w:t>
      </w:r>
    </w:p>
    <w:p>
      <w:pPr>
        <w:pStyle w:val="SourceNote"/>
      </w:pPr>
      <w:r>
        <w:rPr>
          <w:b/>
        </w:rPr>
        <w:t>Available abstract (not full text):</w:t>
      </w:r>
      <w:r>
        <w:t xml:space="preserve"> This article deals occasionalisms as creative elements in the general system of the language and points out the main process of their formation by derivation with suffixes. Occasionalisms are not derogatory words that jeopardize communication, but new words that demonstrate the language's ability to create new lexemes. The process of forming these new words, created by speakers, is not new and refers to most languages being determined by the linguistic system, demonstrates and develops semantic lexeme creation and grammatical capabilities of the system, coming with its development tendencies. These occasional units are aimed at restoring the connection between the semantic, cognitive and content elements that are the basis of the integrity of the text, outlining the involvement of certain subjects in some events, delimiting the periods of manifestation of some political formations or presenting the consequences of some processes that the society went through. Being presented as a reflection of lived events, the article highlights the meaning and role of occasional units in journalistic and artistic texts, their application in various contexts and at different stages of the lesson.</w:t>
      </w:r>
    </w:p>
    <w:p>
      <w:pPr/>
      <w:r>
        <w:rPr>
          <w:b/>
        </w:rPr>
        <w:t>POSSIBLE 2024:</w:t>
      </w:r>
      <w:r>
        <w:t xml:space="preserve"> Masonry systems: Past, present and future — https://doi.org/10.1051/matecconf/202440301003</w:t>
      </w:r>
    </w:p>
    <w:p>
      <w:pPr/>
      <w:r>
        <w:rPr>
          <w:b/>
        </w:rPr>
        <w:t>Shared claim-specific concepts:</w:t>
      </w:r>
      <w:r>
        <w:t xml:space="preserve"> article, presented, general; EU scope visible. This is a provisional connection, not an outcome finding.</w:t>
      </w:r>
    </w:p>
    <w:p>
      <w:pPr>
        <w:pStyle w:val="SourceNote"/>
      </w:pPr>
      <w:r>
        <w:rPr>
          <w:b/>
        </w:rPr>
        <w:t>Available abstract (not full text):</w:t>
      </w:r>
      <w:r>
        <w:t xml:space="preserve"> The article presents construction systems and material solutions used in masonry construction, both in European countries and in a broader geographical context covering other continents. Due to the very wide scope of this problem, is presented in necessity in an abbreviated form, the general directions of development and changes in the systems of masonry structures in historical terms, depending on the climatic conditions prevailing in given areas and the development of societies and the level of their economy. Referring to the current state, i.e. the end of the 20th and the beginning of the 21st century, the material and construction solutions most frequently used in various countries with variable climatic requirements and various dominant loads, including seismic ones, were presented. An attempt was also made, to the extent possible, to outline future directions of changes and development of masonry construction in the coming decades, taking into account the principles of the circular economy and sustainable development, as well as reduction of CO2 emissions and maximum use of natural (bio-based materials) and recycled raw materials.</w:t>
      </w:r>
    </w:p>
    <w:p>
      <w:pPr/>
      <w:r>
        <w:rPr>
          <w:b/>
        </w:rPr>
        <w:t>POSSIBLE 2023:</w:t>
      </w:r>
      <w:r>
        <w:t xml:space="preserve"> PAST AND PRESENT PERIOD OF PRESCHOOL EDUCATION SYSTEM — https://openalex.org/W7215196589</w:t>
      </w:r>
    </w:p>
    <w:p>
      <w:pPr/>
      <w:r>
        <w:rPr>
          <w:b/>
        </w:rPr>
        <w:t>Shared claim-specific concepts:</w:t>
      </w:r>
      <w:r>
        <w:t xml:space="preserve"> article, system, general, education, first, second; EU scope not established. This is a provisional connection, not an outcome finding.</w:t>
      </w:r>
    </w:p>
    <w:p>
      <w:pPr>
        <w:pStyle w:val="SourceNote"/>
      </w:pPr>
      <w:r>
        <w:rPr>
          <w:b/>
        </w:rPr>
        <w:t>Available abstract (not full text):</w:t>
      </w:r>
      <w:r>
        <w:t xml:space="preserve"> In this article, the third paragraph entitled "Past and Present of the Preschool Education System" provides general information about the topics discussed throughout the article. First, it illuminates the historical background of preschool education, explaining how it emerged in response to a changing social and economic landscape. Second, various approaches and theories that shaped the development of preschool education, such as Montessori, Froebel, and Reggio Emilia, are discussed.</w:t>
      </w:r>
    </w:p>
    <w:p>
      <w:pPr/>
      <w:r>
        <w:rPr>
          <w:b/>
        </w:rPr>
        <w:t>POSSIBLE 2023:</w:t>
      </w:r>
      <w:r>
        <w:t xml:space="preserve"> GENERAL PRINCIPLES OF LAW FORMED WITHIN THE INTERNATIONAL LEGAL SYSTEM — https://doi.org/10.1017/s0020589323000362</w:t>
      </w:r>
    </w:p>
    <w:p>
      <w:pPr/>
      <w:r>
        <w:rPr>
          <w:b/>
        </w:rPr>
        <w:t>Shared claim-specific concepts:</w:t>
      </w:r>
      <w:r>
        <w:t xml:space="preserve"> article, system, general, first; EU scope not established. This is a provisional connection, not an outcome finding.</w:t>
      </w:r>
    </w:p>
    <w:p>
      <w:pPr>
        <w:pStyle w:val="SourceNote"/>
      </w:pPr>
      <w:r>
        <w:rPr>
          <w:b/>
        </w:rPr>
        <w:t>Available abstract (not full text):</w:t>
      </w:r>
      <w:r>
        <w:t xml:space="preserve"> Abstract In the work of the International Law Commission (ILC) on ‘the general principles of law’ in Article 38(1)(c) of the Statute of the International Court of Justice, one question has given rise to an inordinate amount of controversy: does this category of principles include principles formed within the international legal system or does it embrace only principles derived from national legal systems? In the draft conclusions adopted on first reading in 2023, the ILC accepts the existence of general principles of law formed within the international legal system, but only in a very narrow manner. Prominent commentators have argued that such a narrow approach is correct. It has been contended, furthermore, that the category of general principles of law formed within the international legal system is an innovation of the ILC's, and one that lacks any real support in State practice. These views are based on assumptions to the effect that the traditional view concerning the meaning of Article 38(1)(c) was that it referred only to general principles of law derived from national legal systems. The present article takes issue with these assumptions. It seeks to prove, by an analysis of the position in 1920 when the Statute was drafted, of the practice of States, both before and after 1920, and the writings of leading commentators, that general principles of law formed within the in</w:t>
      </w:r>
    </w:p>
    <w:p>
      <w:pPr/>
      <w:r>
        <w:rPr>
          <w:b/>
        </w:rPr>
        <w:t>POSSIBLE 2022:</w:t>
      </w:r>
      <w:r>
        <w:t xml:space="preserve"> Dynamic Quantized Consensus of General Linear Multiagent Systems Under Denial-of-Service Attacks — https://doi.org/10.1109/tcns.2022.3140684</w:t>
      </w:r>
    </w:p>
    <w:p>
      <w:pPr/>
      <w:r>
        <w:rPr>
          <w:b/>
        </w:rPr>
        <w:t>Shared claim-specific concepts:</w:t>
      </w:r>
      <w:r>
        <w:t xml:space="preserve"> article, general, first, main; EU scope not established. This is a provisional connection, not an outcome finding.</w:t>
      </w:r>
    </w:p>
    <w:p>
      <w:pPr>
        <w:pStyle w:val="SourceNote"/>
      </w:pPr>
      <w:r>
        <w:rPr>
          <w:b/>
        </w:rPr>
        <w:t>Available abstract (not full text):</w:t>
      </w:r>
      <w:r>
        <w:t xml:space="preserve"> In this article, we study multiagent consensus problems under Denial-of-Service (DoS) attacks with data rate constraints. We first consider the leaderless consensus problem and after that we briefly present the analysis of leader–follower consensus. The dynamics of the agents take general forms modeled as homogeneous linear time-invariant systems. In our analysis, we derive lower bounds on the data rate for the multiagent systems to achieve leaderless and leader–follower consensus in the presence of DoS attacks, under which the issue of overflow of quantizer is prevented. The main contribution of the article is the characterization of the tradeoff between the tolerable DoS attack levels for leaderless and leader–follower consensus and the required data rates for the quantizers during the communication attempts among the agents. To mitigate the influence of DoS attacks, we employ dynamic quantization with zooming-in and zooming-out capabilities for avoiding quantizer saturation.</w:t>
      </w:r>
    </w:p>
    <w:p>
      <w:pPr/>
      <w:r>
        <w:rPr>
          <w:b/>
        </w:rPr>
        <w:t>POSSIBLE 2022:</w:t>
      </w:r>
      <w:r>
        <w:t xml:space="preserve"> System Stability of Learning-Based Linear Optimal Control With General Discounted Value Iteration — https://doi.org/10.1109/tnnls.2021.3137524</w:t>
      </w:r>
    </w:p>
    <w:p>
      <w:pPr/>
      <w:r>
        <w:rPr>
          <w:b/>
        </w:rPr>
        <w:t>Shared claim-specific concepts:</w:t>
      </w:r>
      <w:r>
        <w:t xml:space="preserve"> article, system, general; EU scope not established. This is a provisional connection, not an outcome finding.</w:t>
      </w:r>
    </w:p>
    <w:p>
      <w:pPr>
        <w:pStyle w:val="SourceNote"/>
      </w:pPr>
      <w:r>
        <w:rPr>
          <w:b/>
        </w:rPr>
        <w:t>Available abstract (not full text):</w:t>
      </w:r>
      <w:r>
        <w:t xml:space="preserve"> For discounted optimal regulation design, the stability of the controlled system is affected by the discount factor. If an inappropriate discount factor is employed, the optimal control policy might be unstabilizing. Therefore, in this article, the effect of the discount factor on the stabilization of control strategies is discussed. We develop the system stability criterion and the selection rules of the discount factor with respect to the linear quadratic regulator problem under the general discounted value iteration algorithm. Based on the monotonicity of the value function sequence, the method to judge the stability of the controlled system is established during the iteration process. In addition, once some stability conditions are satisfied at a certain iteration step, all control policies after this iteration step are stabilizing. Furthermore, combined with the undiscounted optimal control problem, the practical rule of how to select an appropriate discount factor is constructed. Finally, several simulation examples with physical backgrounds are conducted to demonstrate the present theoretical results.</w:t>
      </w:r>
    </w:p>
    <w:p>
      <w:pPr/>
      <w:r>
        <w:rPr>
          <w:b/>
        </w:rPr>
        <w:t>POSSIBLE 2021:</w:t>
      </w:r>
      <w:r>
        <w:t xml:space="preserve"> REVIEW ARTICLE ON THE MITIGATION OF FOUR WAVE MIXING IN OPTICAL COMMUNICATION SYSTEM — https://doi.org/10.51459/futajeet.2021.15.1.266</w:t>
      </w:r>
    </w:p>
    <w:p>
      <w:pPr/>
      <w:r>
        <w:rPr>
          <w:b/>
        </w:rPr>
        <w:t>Shared claim-specific concepts:</w:t>
      </w:r>
      <w:r>
        <w:t xml:space="preserve"> article, four, system, main; EU scope not established. This is a provisional connection, not an outcome finding.</w:t>
      </w:r>
    </w:p>
    <w:p>
      <w:pPr>
        <w:pStyle w:val="SourceNote"/>
      </w:pPr>
      <w:r>
        <w:rPr>
          <w:b/>
        </w:rPr>
        <w:t>Available abstract (not full text):</w:t>
      </w:r>
      <w:r>
        <w:t xml:space="preserve"> The main challenge faced in today's telecommunication is the ever increasing demand for bandwidth and data rates. The desire to expand the capacity of fiber optic communication to accommodate this demand accelerated the development of high capacity Dense Wavelength Division Multiplexing (DWDM) transmission equipment. However, nonlinear impairments are the fundamental limiting mechanisms to the amount of data that can be transmitted in DWDM. In DWDM, Four Wave Mixing is the most critical of nonlinear effects in fibre optics communication. This effect limits the DWDM’s channel capacity. There are numerous researches on nonlinear impairments that show the intricacy of FWM phenomena in DWDM system. This article present review of the several measures which have been carried out by researchers to overcome nonlinear effects in DWDM. Such measures include Modulation Formats, Channel Spacing, Channel Shuffling Algorithm and Electro-Optic Phase Modulation. The review provides insight into the methods, parameters and approaches used by other researchers. This will pave way for can thus lead to significant improvement in the design of DWDM system.</w:t>
      </w:r>
    </w:p>
    <w:p>
      <w:pPr/>
      <w:r>
        <w:rPr>
          <w:b/>
        </w:rPr>
        <w:t>POSSIBLE 2021:</w:t>
      </w:r>
      <w:r>
        <w:t xml:space="preserve"> Cluster Consensus Control of Linear Multiagent Systems Under Directed Topology With General Partition — https://doi.org/10.1109/tac.2021.3069398</w:t>
      </w:r>
    </w:p>
    <w:p>
      <w:pPr/>
      <w:r>
        <w:rPr>
          <w:b/>
        </w:rPr>
        <w:t>Shared claim-specific concepts:</w:t>
      </w:r>
      <w:r>
        <w:t xml:space="preserve"> article, presented, system, general, first; EU scope not established. This is a provisional connection, not an outcome finding.</w:t>
      </w:r>
    </w:p>
    <w:p>
      <w:pPr>
        <w:pStyle w:val="SourceNote"/>
      </w:pPr>
      <w:r>
        <w:rPr>
          <w:b/>
        </w:rPr>
        <w:t>Available abstract (not full text):</w:t>
      </w:r>
      <w:r>
        <w:t xml:space="preserve"> This article investigates the cluster consensus control problem for general linear multiagent systems. The focus of this article is especially to solve the following problem: in what kinds of connection scenarios can agents achieve cluster consensus regardless of the coupling strength (CCRCS). Different from existing literature, this article extends the case to general partition graphs, including both acyclic and cyclic partition cases. New analysis methods are put forward. It is proved that, under some basic assumptions, the multiagent systems can achieve CCRCS if and only if the interaction topology satisfies the nonvicious circle condition, which is proposed for the first time. An algorithm is presented which can check whether a given interaction topology satisfies the nonvicious circle condition. The result can also be extended to heterogeneous cases that agents from different clusters possess nonidentical system dynamics.</w:t>
      </w:r>
    </w:p>
    <w:p>
      <w:pPr/>
      <w:r>
        <w:rPr>
          <w:b/>
        </w:rPr>
        <w:t>POSSIBLE 2021:</w:t>
      </w:r>
      <w:r>
        <w:t xml:space="preserve"> Towards "general purpose" brain-inspired computing system — https://doi.org/10.26599/tst.2021.9010010</w:t>
      </w:r>
    </w:p>
    <w:p>
      <w:pPr/>
      <w:r>
        <w:rPr>
          <w:b/>
        </w:rPr>
        <w:t>Shared claim-specific concepts:</w:t>
      </w:r>
      <w:r>
        <w:t xml:space="preserve"> article, presented, system, general, characteristics, background; EU scope not established. This is a provisional connection, not an outcome finding.</w:t>
      </w:r>
    </w:p>
    <w:p>
      <w:pPr>
        <w:pStyle w:val="SourceNote"/>
      </w:pPr>
      <w:r>
        <w:rPr>
          <w:b/>
        </w:rPr>
        <w:t>Available abstract (not full text):</w:t>
      </w:r>
      <w:r>
        <w:t xml:space="preserve"> Brain-inspired computing refers to computational models, methods, and systems, that are mainly inspired by the processing mode or structure of brain. A recent study proposed the concept of "neuromorphic completeness" and the corresponding system hierarchy, which is helpful to determine the capability boundary of brain-inspired computing system and to judge whether hardware and software of brain-inspired computing are compatible with each other. As a position paper, this article analyzes the existing brain-inspired chips' design characteristics and the current so-called "general purpose" application development frameworks for brain-inspired computing, as well as introduces the background and the potential of this proposal. Further, some key features of this concept are presented through the comparison with the Turing completeness and approximate computation, and the analyses of the relationship with "general-purpose" brain-inspired computing systems (it means that computing systems can support all computable applications). In the end, a promising technical approach to realize such computing systems is introduced, as well as the on-going research and the work foundation. We believe that this work is conducive to the design of extensible neuromorphic complete hardware-primitives and the corresponding chips. On this basis, it is expected to gradually realize "general purpose" brain</w:t>
      </w:r>
    </w:p>
    <w:p>
      <w:pPr/>
      <w:r>
        <w:rPr>
          <w:b/>
        </w:rPr>
        <w:t>POSSIBLE 2020:</w:t>
      </w:r>
      <w:r>
        <w:t xml:space="preserve"> Four approaches to anticipatory climate governance: Different conceptions of the future and implications for the present — https://doi.org/10.1002/wcc.673</w:t>
      </w:r>
    </w:p>
    <w:p>
      <w:pPr/>
      <w:r>
        <w:rPr>
          <w:b/>
        </w:rPr>
        <w:t>Shared claim-specific concepts:</w:t>
      </w:r>
      <w:r>
        <w:t xml:space="preserve"> article, four, system, each; EU scope not established. This is a provisional connection, not an outcome finding.</w:t>
      </w:r>
    </w:p>
    <w:p>
      <w:pPr>
        <w:pStyle w:val="SourceNote"/>
      </w:pPr>
      <w:r>
        <w:rPr>
          <w:b/>
        </w:rPr>
        <w:t>Available abstract (not full text):</w:t>
      </w:r>
      <w:r>
        <w:t xml:space="preserve"> Abstract In times of accelerating earth system transformations and their potentially disruptive societal consequences, imagining and governing the future is now a core challenge for sustainability research and practice. Much social science and sustainability science scholarship increasingly engages with the future. There is, however, a lack of scrutiny of how the future is envisioned in these literatures, and with what implications for governance in the present. This article analyses these two aspects, building on the concept of “anticipatory governance.” We understand anticipatory governance to broadly mean governing in the present to adapt to or shape uncertain futures. We review perspectives within public policy, futures studies, social–ecological systems, environmental policy and governance, transition studies, science and technology studies, and responsible research and innovation literatures. All these literatures engage explicitly or implicitly with the notion of anticipatory governance, yet from distinct ontological and epistemological starting points. Through our review, we identify four approaches to anticipatory governance that differ with regard to (a) their conceptions of and engagement with the future; (b) their implications for actions to be taken in the present; and (c) the ultimate end to be realized through anticipatory governance. We then map onto these four </w:t>
      </w:r>
    </w:p>
    <w:p>
      <w:pPr/>
      <w:r>
        <w:rPr>
          <w:b/>
        </w:rPr>
        <w:t>POSSIBLE 2020:</w:t>
      </w:r>
      <w:r>
        <w:t xml:space="preserve"> The evolution of the Offshore US-Dollar System: past, present and four possible futures — https://doi.org/10.1017/s1744137420000168</w:t>
      </w:r>
    </w:p>
    <w:p>
      <w:pPr/>
      <w:r>
        <w:rPr>
          <w:b/>
        </w:rPr>
        <w:t>Shared claim-specific concepts:</w:t>
      </w:r>
      <w:r>
        <w:t xml:space="preserve"> article, four, system; EU scope not established. This is a provisional connection, not an outcome finding.</w:t>
      </w:r>
    </w:p>
    <w:p>
      <w:pPr>
        <w:pStyle w:val="SourceNote"/>
      </w:pPr>
      <w:r>
        <w:rPr>
          <w:b/>
        </w:rPr>
        <w:t>Available abstract (not full text):</w:t>
      </w:r>
      <w:r>
        <w:t xml:space="preserve"> Abstract Little has contributed more to the emergence of today's world of financial globalization than the setup of the international monetary system. In its current shape, it has a hierarchical structure with the US-Dollar (USD) at the top and various other monetary areas forming a multilayered periphery to it. A key feature of the system is the creation of USD offshore – a feature that in the 1950s and 60s developed in co-evolution with the Bretton Woods System and in the 1970s replaced it. Since the 2007–9 Financial Crisis, this ‘Offshore US-Dollar System’ has been backstopped by the Federal Reserve's network of swap lines which are extended to other key central banks. This systemic evolution may continue in the decades to come, but other systemic arrangements are possible as well and have historical precedents. This article discusses four trajectories that would lead to different setups of the international monetary system by 2040, taking into account how its hierarchical structure and the role of offshore credit money creation may evolve. In addition to a continuation of USD hegemony, we present the emergence of competing monetary blocs, the formation of an international monetary federation and the disintegration into an international monetary anarchy.</w:t>
      </w:r>
    </w:p>
    <w:p>
      <w:pPr>
        <w:pStyle w:val="Heading2"/>
      </w:pPr>
      <w:r>
        <w:t>760.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2024:</w:t>
      </w:r>
      <w:r>
        <w:t xml:space="preserve"> Presenting Work Via PowerPoint — https://doi.org/10.4324/9781003526001-13</w:t>
      </w:r>
    </w:p>
    <w:p>
      <w:pPr/>
      <w:r>
        <w:rPr>
          <w:b/>
        </w:rPr>
        <w:t>Shared claim-specific concepts:</w:t>
      </w:r>
      <w:r>
        <w:t xml:space="preserve"> work, set; EU scope not established. This is a provisional connection, not an outcome finding.</w:t>
      </w:r>
    </w:p>
    <w:p>
      <w:pPr>
        <w:pStyle w:val="SourceNote"/>
      </w:pPr>
      <w:r>
        <w:rPr>
          <w:b/>
        </w:rPr>
        <w:t>Available abstract (not full text):</w:t>
      </w:r>
      <w:r>
        <w:t xml:space="preserve"> Similar to a poster presentation, an oral presentation—with accompanying slideshow—requires a different writing style than a research paper. This chapter will focus on how to transfer thoughts from a carefully worded paper onto a presentation medium and still retain the message. The chapter author will focus on guiding the reader on how to convert ideas into bullet points and still ensure proper flow as well as being able to extract the most relevant points from the original paper. Sports medicine and kinesiology-based examples and sample problems in this chapter will mimic Chapter 12 in that they will focus on creating an effective bullet point, understanding which concepts to take from a paper, and how and when to develop new material for a presentation to better set up the concept used from the original paper.</w:t>
      </w:r>
    </w:p>
    <w:p>
      <w:pPr/>
      <w:r>
        <w:rPr>
          <w:b/>
        </w:rPr>
        <w:t>POSSIBLE 2024:</w:t>
      </w:r>
      <w:r>
        <w:t xml:space="preserve"> Axiomatization of Non-Recursive Aggregates in First-Order Answer Set Programming — https://doi.org/10.1613/jair.1.15786</w:t>
      </w:r>
    </w:p>
    <w:p>
      <w:pPr/>
      <w:r>
        <w:rPr>
          <w:b/>
        </w:rPr>
        <w:t>Shared claim-specific concepts:</w:t>
      </w:r>
      <w:r>
        <w:t xml:space="preserve"> present, work, set, answer; EU scope not established. This is a provisional connection, not an outcome finding.</w:t>
      </w:r>
    </w:p>
    <w:p>
      <w:pPr>
        <w:pStyle w:val="SourceNote"/>
      </w:pPr>
      <w:r>
        <w:rPr>
          <w:b/>
        </w:rPr>
        <w:t>Available abstract (not full text):</w:t>
      </w:r>
      <w:r>
        <w:t xml:space="preserve"> This paper contributes to the development of theoretical foundations of answer set programming. Groundbreaking work on the SM operator by Ferraris, Lee, and Lifschitz proposed a definition/semantics for logic (answer set) programs based on a syntactic transformation similar to parallel circumscription. That definition radically differed from its predecessors by using classical (second-order) logic and avoiding reference to either grounding or fixpoints. Yet, the work lacked the formalization of crucial and commonly used answer set programming language constructs called aggregates. In this paper, we present a characterization of logic programs with aggregates based on a many-sorted generalization of the SM operator. This characterization introduces new function symbols for aggregate operations and aggregate elements, whose meaning can be fixed by adding appropriate axioms to the result of the SM transformation. We prove that our characterization coincides with the ASP-Core-2 semantics for logic programs and, if we allow non-positive recursion through aggregates, it coincides with the semantics of the answer set solver CLINGO.</w:t>
      </w:r>
    </w:p>
    <w:p>
      <w:pPr/>
      <w:r>
        <w:rPr>
          <w:b/>
        </w:rPr>
        <w:t>POSSIBLE 2024:</w:t>
      </w:r>
      <w:r>
        <w:t xml:space="preserve"> Higher-Order Model Checking of Effect-Handling Programs with Answer-Type Modification — https://doi.org/10.1145/3689805</w:t>
      </w:r>
    </w:p>
    <w:p>
      <w:pPr/>
      <w:r>
        <w:rPr>
          <w:b/>
        </w:rPr>
        <w:t>Shared claim-specific concepts:</w:t>
      </w:r>
      <w:r>
        <w:t xml:space="preserve"> work, implemented, approach; EU scope not established. This is a provisional connection, not an outcome finding.</w:t>
      </w:r>
    </w:p>
    <w:p>
      <w:pPr>
        <w:pStyle w:val="SourceNote"/>
      </w:pPr>
      <w:r>
        <w:rPr>
          <w:b/>
        </w:rPr>
        <w:t>Available abstract (not full text):</w:t>
      </w:r>
      <w:r>
        <w:t xml:space="preserve"> Since the seminal work by Ong, the model checking of higher-order programs—called higher-order model checking , or HOMC for short—has gained attention. It is also crucial for making HOMC applicable to real-world software to address programs involving computational effects. Recently, Dal Lago and Ghyselen considered an extension of HOMC to algebraic effect handlers , which enable programming the semantics of effects. They showed a negative result for HOMC with algebraic effect handlers—it is undecidable. In this work, we explore a restriction on programs with algebraic effect handlers which ensures the decidability of HOMC while allowing implementations of various effects. We identify the crux of the undecidability as the use of an unbounded number of algebraic effect handlers being active at the same time. To prevent it, we introduce answer-type modification (ATM), which can bound the number of algebraic effect handlers that can be active at the same time. We prove that ATM can ensure the decidability of HOMC and show that it accommodates a wide range of effects. To evaluate our approach, we implemented an automated verifier EffCaml based on the presented techniques and confirmed that the program examples discussed in this paper can be automatically verified.</w:t>
      </w:r>
    </w:p>
    <w:p>
      <w:pPr/>
      <w:r>
        <w:rPr>
          <w:b/>
        </w:rPr>
        <w:t>POSSIBLE 2023:</w:t>
      </w:r>
      <w:r>
        <w:t xml:space="preserve"> Utilizing Innovative Project Management Technologies to Set Virtual Work Boundaries — https://doi.org/10.21428/f1f23564.6aaf45b9</w:t>
      </w:r>
    </w:p>
    <w:p>
      <w:pPr/>
      <w:r>
        <w:rPr>
          <w:b/>
        </w:rPr>
        <w:t>Shared claim-specific concepts:</w:t>
      </w:r>
      <w:r>
        <w:t xml:space="preserve"> work, set, implemented, order, technologies; EU scope not established. This is a provisional connection, not an outcome finding.</w:t>
      </w:r>
    </w:p>
    <w:p>
      <w:pPr>
        <w:pStyle w:val="SourceNote"/>
      </w:pPr>
      <w:r>
        <w:rPr>
          <w:b/>
        </w:rPr>
        <w:t>Available abstract (not full text):</w:t>
      </w:r>
      <w:r>
        <w:t xml:space="preserve"> Utilizing Innovative Project Management Technologies to Set Virtual Work Boundaries 2The unpredictability of the COVID-19 pandemic presented research teams with the opportunity to optimize collaborative approaches to project management by integrating the productivity software necessary to navigate the sudden shift to remote work.While the shift from in-person to virtual work environments was rapid and disorienting, research teams were able to alleviate this transition by taking advantage of new technologies in project management.The Italian-Canadian Foodways project is an example of this: our project managers implemented a suite of innovative software to manage task delegation in a remote work environment.However, the increased surveillance also created the risk of blurring boundaries between the office and home, potentially threatening a healthy work-life balance.As Thareja (2016) explored, the virtual environment lent itself to various new opportunities for more comprehensive employee surveillance.Our project managers stringently adhered to three pillars to minimize work surveillance in the observation of work methods: planning, implementation, and monitoring.While the pandemic provided an opportunity to re-evaluate work methods, the case study of the Foodways project reveals that innovative technologies alone cannot provide effective project management; rather, technologies </w:t>
      </w:r>
    </w:p>
    <w:p>
      <w:pPr/>
      <w:r>
        <w:rPr>
          <w:b/>
        </w:rPr>
        <w:t>POSSIBLE 2022:</w:t>
      </w:r>
      <w:r>
        <w:t xml:space="preserve"> CMOS compatible manufacturing of a hybrid SET-FET circuit — https://doi.org/10.1088/1361-6641/ac9f61</w:t>
      </w:r>
    </w:p>
    <w:p>
      <w:pPr/>
      <w:r>
        <w:rPr>
          <w:b/>
        </w:rPr>
        <w:t>Shared claim-specific concepts:</w:t>
      </w:r>
      <w:r>
        <w:t xml:space="preserve"> work, set, technology; EU scope not established. This is a provisional connection, not an outcome finding.</w:t>
      </w:r>
    </w:p>
    <w:p>
      <w:pPr>
        <w:pStyle w:val="SourceNote"/>
      </w:pPr>
      <w:r>
        <w:rPr>
          <w:b/>
        </w:rPr>
        <w:t>Available abstract (not full text):</w:t>
      </w:r>
      <w:r>
        <w:t xml:space="preserve"> Abstract This study analyzes feasibility of complementary metal–oxide–semiconductor (CMOS)-compatible manufacturing of a hybrid single electron transistor–field effect transistor (SET-FET) circuit. The fundamental element towards an operating SET at room temperature is a vertical nanopillar (NP) with embedded Si nanodot generated by ion-beam irradiation. The integration process from NPs to contacted SETs is validated by structural characterization. Then, the monolithic fabrication of planar FETs integrated with vertical SETs is presented, and its compatibility with standard CMOS technology is demonstrated. The work includes process optimization, pillar integrity validation, electrical characterization and simulations taking into account parasitic effects. The FET fabrication process is adapted to meet the requirements of the pre-fabricated NPs. Overall, this work establishes the groundwork for the realization of a hybrid SET-FET circuit operating at room temperature.</w:t>
      </w:r>
    </w:p>
    <w:p>
      <w:pPr/>
      <w:r>
        <w:rPr>
          <w:b/>
        </w:rPr>
        <w:t>POSSIBLE 2022:</w:t>
      </w:r>
      <w:r>
        <w:t xml:space="preserve"> Question Answering For Toxicological Information Extraction — https://doi.org/10.4230/oasics.slate.2022.3</w:t>
      </w:r>
    </w:p>
    <w:p>
      <w:pPr/>
      <w:r>
        <w:rPr>
          <w:b/>
        </w:rPr>
        <w:t>Shared claim-specific concepts:</w:t>
      </w:r>
      <w:r>
        <w:t xml:space="preserve"> present, work, order, question, approach; EU scope not established. This is a provisional connection, not an outcome finding.</w:t>
      </w:r>
    </w:p>
    <w:p>
      <w:pPr>
        <w:pStyle w:val="SourceNote"/>
      </w:pPr>
      <w:r>
        <w:rPr>
          <w:b/>
        </w:rPr>
        <w:t>Available abstract (not full text):</w:t>
      </w:r>
      <w:r>
        <w:t xml:space="preserve"> Working with large amounts of text data has become hectic and time-consuming. In order to reduce human effort, costs, and make the process more efficient, companies and organizations resort to intelligent algorithms to automate and assist the manual work. This problem is also present in the field of toxicological analysis of chemical substances, where information needs to be searched from multiple documents. That said, we propose an approach that relies on Question Answering for acquiring information from unstructured data, in our case, English PDF documents containing information about physicochemical and toxicological properties of chemical substances. Experimental results confirm that our approach achieves promising results which can be applicable in the business scenario, especially if further revised by humans.</w:t>
      </w:r>
    </w:p>
    <w:p>
      <w:pPr/>
      <w:r>
        <w:rPr>
          <w:b/>
        </w:rPr>
        <w:t>POSSIBLE 2021:</w:t>
      </w:r>
      <w:r>
        <w:t xml:space="preserve"> Creativity in data work: case of developing training sets for machine learning — https://openalex.org/W3200956411</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Data reuse is seen as an important practice for realizing value from data.But, as scholars have repeatedly shown, the "cooked" character of data can present great challenges for data reuse.Yet, empirical research into how organizations can reuse data despite its "cooked" character is still underresearched.To address this gap, we followed five teams as they developed ML solutions for tackling complex, agricultural challenges.Our research finds that the development teams engage in creative data work which goes beyond mere preparation of data for training a machine learning model.In doing so, the team engaged in three data work practices: problematization, creative data work, and scrutinizing datasets.Our study shows that, in what seemingly appears as a merely technical and "janitorial" work, developers iteratively learn and interlace their knowledge of available data and a phenomenon in an effort to creatively produce a representation of that phenomenon in a form of a workable training set.</w:t>
      </w:r>
    </w:p>
    <w:p>
      <w:pPr/>
      <w:r>
        <w:rPr>
          <w:b/>
        </w:rPr>
        <w:t>POSSIBLE 2021:</w:t>
      </w:r>
      <w:r>
        <w:t xml:space="preserve"> The Relation of Work to Zeus' World Order in Hesiod's Works and Days — https://openalex.org/W7135665476</w:t>
      </w:r>
    </w:p>
    <w:p>
      <w:pPr/>
      <w:r>
        <w:rPr>
          <w:b/>
        </w:rPr>
        <w:t>Shared claim-specific concepts:</w:t>
      </w:r>
      <w:r>
        <w:t xml:space="preserve"> work, set, order, answer, question, next; EU scope not established. This is a provisional connection, not an outcome finding.</w:t>
      </w:r>
    </w:p>
    <w:p>
      <w:pPr>
        <w:pStyle w:val="SourceNote"/>
      </w:pPr>
      <w:r>
        <w:rPr>
          <w:b/>
        </w:rPr>
        <w:t>Available abstract (not full text):</w:t>
      </w:r>
      <w:r>
        <w:t xml:space="preserve"> (in English) The presented thesis is dealing with the ethics of work in the world as described by ancient Greek poet Hesiod in his famous didactic epos Works and Days. In the first part of the thesis (chapters 1 and 2), it is assumed that Hesiod's ethics are anchored in a particular situation, in which he, as a Boeotian farmer, found himself due to his dispute with his brother Perses. In the next part, firstly three major myths in the Works and Days are analyzed and the importance of work is set in a wider context of Hesiod's religious and ideological beliefs (chapter 3); subsequently our analysis is supplemented by a broader reflection of work, exertion, recreation, good and evil (chapter 4). In conclusion we finally try to answer the question of the place of work in the world order as determined by Zeus' will.</w:t>
      </w:r>
    </w:p>
    <w:p>
      <w:pPr>
        <w:pStyle w:val="Heading2"/>
      </w:pPr>
      <w:r>
        <w:t>761.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2023:</w:t>
      </w:r>
      <w:r>
        <w:t xml:space="preserve"> Establishing Novel Drug Leads For Bubonic Plague Using In-Silico Approach — https://doi.org/10.2991/978-94-6463-294-1_11</w:t>
      </w:r>
    </w:p>
    <w:p>
      <w:pPr/>
      <w:r>
        <w:rPr>
          <w:b/>
        </w:rPr>
        <w:t>Shared claim-specific concepts:</w:t>
      </w:r>
      <w:r>
        <w:t xml:space="preserve"> approach, used, plants; EU scope not established. This is a provisional connection, not an outcome finding.</w:t>
      </w:r>
    </w:p>
    <w:p>
      <w:pPr>
        <w:pStyle w:val="SourceNote"/>
      </w:pPr>
      <w:r>
        <w:rPr>
          <w:b/>
        </w:rPr>
        <w:t>Available abstract (not full text):</w:t>
      </w:r>
      <w:r>
        <w:t xml:space="preserve"> Bubonic plague is an infection spread mostly to humans by infected fleas that feed on rodents which is also known as 'Black death'.It killed millions of Europeans during the middles ages.Bubonic Plague is an infectious disease caused by a specific type of bacterium called Yersinia pestis.Which is also know as Y.pestis can affect humans spread mainly by fleas.Prevention doesn't include a vaccine, but does involve reducing your exposure to mice, rats, squirrels and other animals that may be infected.The deaths exceeded 25 million people during the middle ages.The plague is rare now.Only a few thousand people around the world get it each year most of the cases are in Africa, India.The FASTA sequence of the genes-receptors of the above disease were retrieved from Genbank database.Next, we modelled the 3D structure of the FASTA protein sequence using modeller.The best model was selected using Ramachandran plot.Phytocompounds from medicinal plants is considered Emblica Officinalis, Terminalia Chebula, Terminalia Bellirica, Asphaltum Punjabianum, Azadirachta Indica as considered as novel drug leads is retrieved from PUBCHEM database.The phytocompounds are checked for drug-like properties using molinspiration software.The compounds having no violations was considered for further docking studies.Thannilignan, Ellagic acid, Quercetin, Termilignan docks best with both the receptors.Hence </w:t>
      </w:r>
    </w:p>
    <w:p>
      <w:pPr/>
      <w:r>
        <w:rPr>
          <w:b/>
        </w:rPr>
        <w:t>POSSIBLE 2023:</w:t>
      </w:r>
      <w:r>
        <w:t xml:space="preserve"> Measuring engineering culture: a preliminary approach using perceptions of meritocracy and competition — https://doi.org/10.1109/fie58773.2023.10342907</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This work in progress paper aims to present a first effort in measuring elements of engineering culture that can interact with student well-being. Engineering culture has been under significant scrutiny during the last couple of decades, especially as it has been extensively documented to be exclusionary for marginalized groups. Significant and valuable efforts exist characterizing engineering culture qualitatively, however, less of such efforts have been oriented toward generating a quantitative approach to gauge it. Therefore, studies that aim to measure engineering culture often use established measures for diversity and inclusion as the closest proxies. Derived from our own need to have a quantitative way of measuring engineering culture within a larger longitudinal and multi-institutional project, we embarked on an attempt to do so through two components that have been documented as being part of the engineering ways of thinking and doing, the perceptions of meritocratic beliefs and competitive attitudes. In this paper, we present five items that we have used to measure engineering culture as they relate to competition and meritocracy beliefs. Our research goal was to use Exploratory Factor Analysis (EFA) and Confirmatory Factor Analysis (CFA) to investigate the factorial structure of the proposed items. We report on the results from the EFA and CFA for these items using a</w:t>
      </w:r>
    </w:p>
    <w:p>
      <w:pPr/>
      <w:r>
        <w:rPr>
          <w:b/>
        </w:rPr>
        <w:t>POSSIBLE 2022:</w:t>
      </w:r>
      <w:r>
        <w:t xml:space="preserve"> Identifying Key Elements for Establishing Sustainable Conventions and Exhibitions: Use of the Delphi and AHP Approaches — https://doi.org/10.3390/su14031678</w:t>
      </w:r>
    </w:p>
    <w:p>
      <w:pPr/>
      <w:r>
        <w:rPr>
          <w:b/>
        </w:rPr>
        <w:t>Shared claim-specific concepts:</w:t>
      </w:r>
      <w:r>
        <w:t xml:space="preserve"> approach, establish, continuous; EU scope not established. This is a provisional connection, not an outcome finding.</w:t>
      </w:r>
    </w:p>
    <w:p>
      <w:pPr>
        <w:pStyle w:val="SourceNote"/>
      </w:pPr>
      <w:r>
        <w:rPr>
          <w:b/>
        </w:rPr>
        <w:t>Available abstract (not full text):</w:t>
      </w:r>
      <w:r>
        <w:t xml:space="preserve"> The purpose of this study was to explore, by employing the Delphi method, key indicators and factors for establishing sustainable conventions and exhibitions (C&amp;E) events in a destination in lieu of holding one-off events. In addition, the identified factors for establishing sustainable C&amp;E events were assessed using the analytic hierarchy process (AHP) with a multi-group approach. First, internal and external factors that impact continuous hosting of C&amp;E events in a destination were identified in previous research and reviewed. Second, three stages of Delphi surveys were conducted with three groups of experts in the C&amp;E industry (academic scholars, industry experts, and government agencies in Korea). Third, data were analyzed from 35 and 29 participants in the first and second Delphi rounds, respectively, as well as from 17 panelists in the subsequent AHP analysis. A total of 33 indicators were developed and categorized into five factors for continuity of regional C&amp;E efforts: event contents and capabilities, organizers and support/sponsorship, impacts, facilities in venues and destinations, and the local event environment. Furthermore, all three participant groups reached agreement in rating event contents and capabilities as the most important factor, with the local event environment as the second most important factor in achieving sustainable regional C&amp;E. However, the opin</w:t>
      </w:r>
    </w:p>
    <w:p>
      <w:pPr/>
      <w:r>
        <w:rPr>
          <w:b/>
        </w:rPr>
        <w:t>POSSIBLE 2022:</w:t>
      </w:r>
      <w:r>
        <w:t xml:space="preserve"> Methodological approaches to measuring quality of life — https://doi.org/10.1590/0101-31572022-3256</w:t>
      </w:r>
    </w:p>
    <w:p>
      <w:pPr/>
      <w:r>
        <w:rPr>
          <w:b/>
        </w:rPr>
        <w:t>Shared claim-specific concepts:</w:t>
      </w:r>
      <w:r>
        <w:t xml:space="preserve"> approach, used, measures, aimed; EU scope not established. This is a provisional connection, not an outcome finding.</w:t>
      </w:r>
    </w:p>
    <w:p>
      <w:pPr>
        <w:pStyle w:val="SourceNote"/>
      </w:pPr>
      <w:r>
        <w:rPr>
          <w:b/>
        </w:rPr>
        <w:t>Available abstract (not full text):</w:t>
      </w:r>
      <w:r>
        <w:t xml:space="preserve"> ABSTRACT The ultimate goal of the present work lay in creating a vector methodology for measuring QoL. Application of an integrated approach to the results of the classification analysis and SWOT analysis enabled elaborating a vector methodology of a recommendatory type aimed at improving QoL measurement approaches. It was established that this methodology should include four major updates taking into account the challenges of tomorrow. The study results may be of interest to public authorities responsible for taking measures directed at raising the country’s international ranking as well as be used for reducing contradictions on the part of QoL measuring procedures.</w:t>
      </w:r>
    </w:p>
    <w:p>
      <w:pPr/>
      <w:r>
        <w:rPr>
          <w:b/>
        </w:rPr>
        <w:t>POSSIBLE 2022:</w:t>
      </w:r>
      <w:r>
        <w:t xml:space="preserve"> Methodological approaches to measuring quality of life — https://doi.org/10.6084/m9.figshare.19965475</w:t>
      </w:r>
    </w:p>
    <w:p>
      <w:pPr/>
      <w:r>
        <w:rPr>
          <w:b/>
        </w:rPr>
        <w:t>Shared claim-specific concepts:</w:t>
      </w:r>
      <w:r>
        <w:t xml:space="preserve"> approach, used, measures, aimed; EU scope not established. This is a provisional connection, not an outcome finding.</w:t>
      </w:r>
    </w:p>
    <w:p>
      <w:pPr>
        <w:pStyle w:val="SourceNote"/>
      </w:pPr>
      <w:r>
        <w:rPr>
          <w:b/>
        </w:rPr>
        <w:t>Available abstract (not full text):</w:t>
      </w:r>
      <w:r>
        <w:t xml:space="preserve"> ABSTRACT The ultimate goal of the present work lay in creating a vector methodology for measuring QoL. Application of an integrated approach to the results of the classification analysis and SWOT analysis enabled elaborating a vector methodology of a recommendatory type aimed at improving QoL measurement approaches. It was established that this methodology should include four major updates taking into account the challenges of tomorrow. The study results may be of interest to public authorities responsible for taking measures directed at raising the country’s international ranking as well as be used for reducing contradictions on the part of QoL measuring procedures.</w:t>
      </w:r>
    </w:p>
    <w:p>
      <w:pPr/>
      <w:r>
        <w:rPr>
          <w:b/>
        </w:rPr>
        <w:t>POSSIBLE 2022:</w:t>
      </w:r>
      <w:r>
        <w:t xml:space="preserve"> Measuring human capital in South Africa across socioeconomic subgroups using a latent-variable approach — https://doi.org/10.1007/s11205-022-02973-y</w:t>
      </w:r>
    </w:p>
    <w:p>
      <w:pPr/>
      <w:r>
        <w:rPr>
          <w:b/>
        </w:rPr>
        <w:t>Shared claim-specific concepts:</w:t>
      </w:r>
      <w:r>
        <w:t xml:space="preserve"> approach, used, socioeconomic; EU scope not established. This is a provisional connection, not an outcome finding.</w:t>
      </w:r>
    </w:p>
    <w:p>
      <w:pPr>
        <w:pStyle w:val="SourceNote"/>
      </w:pPr>
      <w:r>
        <w:rPr>
          <w:b/>
        </w:rPr>
        <w:t>Available abstract (not full text):</w:t>
      </w:r>
      <w:r>
        <w:t xml:space="preserve"> Abstract Human capital is a complex concept to measure given it is an unobserved latent construct. Education is a fundamental dimension of human capital and thus an education-based approach is the one most widely used. However, the international literature recommends a latent-variable approach to measuring human capital. This study thus aims to measure human capital in South Africa, a country experiencing extreme earnings and education inequalities, using a latent-variable approach and the National Income Dynamic Study (NIDS) dataset. The findings are that parental education is associated with the largest amount of variance in (latent) human capital, while the health indicator captures the least variance. Furthermore, the (latent) human capital variable provides a valuable measure to profile the distribution of human capital by socioeconomic subgroups.</w:t>
      </w:r>
    </w:p>
    <w:p>
      <w:pPr/>
      <w:r>
        <w:rPr>
          <w:b/>
        </w:rPr>
        <w:t>POSSIBLE 2021:</w:t>
      </w:r>
      <w:r>
        <w:t xml:space="preserve"> A relative approach to the validation of surrogate measures of safety — https://doi.org/10.1016/j.aap.2021.106350</w:t>
      </w:r>
    </w:p>
    <w:p>
      <w:pPr/>
      <w:r>
        <w:rPr>
          <w:b/>
        </w:rPr>
        <w:t>Shared claim-specific concepts:</w:t>
      </w:r>
      <w:r>
        <w:t xml:space="preserve"> approach, used, measures; EU scope visible. This is a provisional connection, not an outcome finding.</w:t>
      </w:r>
    </w:p>
    <w:p>
      <w:pPr>
        <w:pStyle w:val="SourceNote"/>
      </w:pPr>
      <w:r>
        <w:rPr>
          <w:b/>
        </w:rPr>
        <w:t>Available abstract (not full text):</w:t>
      </w:r>
      <w:r>
        <w:t xml:space="preserve"> Surrogate measures of safety (SMoS) are meant to be an alternative/complement to crash data that enables a proactive approach to traffic safety. Validity is a fundamental property of SMoS that describes how well they reflect the quality of interest - traffic safety. However, typical validation studies are extremely resource demanding. Therefore, the aim of this study was to explore a relative approach to validity that uses fewer resources and does not rely on crash records from the observed locations. The core idea of a relative approach to the validation of SMoS is that while SMoS might not accurately estimate the expected number of crashes, they still work well for comparisons between different sites or between conditions at the same site. Based on this concept, we propose a method in which a ground truth based on literature can be used as a baseline that can then be compared to the safety analysis of an SMoS study. Using the proposed method, a case study of six intersections in northern Europe was conducted, focusing on bicycle infrastructure. The results indicate that the minimum time-to-collision indicator is in line with the ground truth, whereas the post-encroachment time indicator is not.</w:t>
      </w:r>
    </w:p>
    <w:p>
      <w:pPr/>
      <w:r>
        <w:rPr>
          <w:b/>
        </w:rPr>
        <w:t>POSSIBLE 2019:</w:t>
      </w:r>
      <w:r>
        <w:t xml:space="preserve"> One Approach to using Fuzzy Logic for the Establishing of Natural Gas Tariffs — https://openalex.org/W3012361343</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This paper introduces an attempt to establish natural gas tariffs based on experts’ fuzzy estimations</w:t>
        <w:br/>
        <w:br/>
        <w:t>on the example of Georgia. We consider the existent situation in tariffication processes. We discuss the</w:t>
        <w:br/>
        <w:br/>
        <w:t>necessity to use new approaches for implementation of these processes. We introduce a new approach for</w:t>
        <w:br/>
        <w:br/>
        <w:t>determination of natural gas tariffs based on fuzzy logic and its algorithm. At the end we show the example of</w:t>
        <w:br/>
        <w:br/>
        <w:t>practical application of the proposed method</w:t>
      </w:r>
    </w:p>
    <w:p>
      <w:pPr/>
      <w:r>
        <w:rPr>
          <w:b/>
        </w:rPr>
        <w:t>POSSIBLE 2019:</w:t>
      </w:r>
      <w:r>
        <w:t xml:space="preserve"> An approach for establishing correspondence between OpenStreetMap and reference datasets for land use and land cover mapping — https://doi.org/10.1111/tgis.12581</w:t>
      </w:r>
    </w:p>
    <w:p>
      <w:pPr/>
      <w:r>
        <w:rPr>
          <w:b/>
        </w:rPr>
        <w:t>Shared claim-specific concepts:</w:t>
      </w:r>
      <w:r>
        <w:t xml:space="preserve"> approach, used, establish, measures; EU scope not established. This is a provisional connection, not an outcome finding.</w:t>
      </w:r>
    </w:p>
    <w:p>
      <w:pPr>
        <w:pStyle w:val="SourceNote"/>
      </w:pPr>
      <w:r>
        <w:rPr>
          <w:b/>
        </w:rPr>
        <w:t>Available abstract (not full text):</w:t>
      </w:r>
      <w:r>
        <w:t xml:space="preserve"> Abstract OpenStreetMap (OSM) provides free source data for land use and land cover (LULC) mapping of many regions globally. Earlier work has used just manual and subjective approaches to establish correspondence between paired OSM and reference datasets, an essential step for LULC mapping. This study proposes an approach to establish correspondence via three steps: (1) convert line feature(s) into polygon feature(s); (2) merge multiple polygon feature(s) into a single layer; and (3) establish correspondence and reclassify OSM and/or reference datasets. Study areas in Sheffield, London, Rome, and Paris were used for testing, and two measures (overall accuracy, OA and kappa index) were used for evaluation. Experiments were designed to verify this approach, with each pair of OSM and reference datasets initially compared after reclassification. Correspondence from one study area was then applied to another for further validation. Results show that OA was between 70 and 90% and the kappa index varied between 0.6 and 0.8. Evaluation also indicates that the correspondence obtained from one study area is applicable to another, and we illustrate the effectiveness of this approach.</w:t>
      </w:r>
    </w:p>
    <w:p>
      <w:pPr/>
      <w:r>
        <w:rPr>
          <w:b/>
        </w:rPr>
        <w:t>POSSIBLE 2019:</w:t>
      </w:r>
      <w:r>
        <w:t xml:space="preserve"> A stochastic approach for measuring the uncertainty of claims reserves — https://doi.org/10.1590/1808-057x201907860</w:t>
      </w:r>
    </w:p>
    <w:p>
      <w:pPr/>
      <w:r>
        <w:rPr>
          <w:b/>
        </w:rPr>
        <w:t>Shared claim-specific concepts:</w:t>
      </w:r>
      <w:r>
        <w:t xml:space="preserve"> approach, measures, technical; EU scope not established. This is a provisional connection, not an outcome finding.</w:t>
      </w:r>
    </w:p>
    <w:p>
      <w:pPr>
        <w:pStyle w:val="SourceNote"/>
      </w:pPr>
      <w:r>
        <w:rPr>
          <w:b/>
        </w:rPr>
        <w:t>Available abstract (not full text):</w:t>
      </w:r>
      <w:r>
        <w:t xml:space="preserve"> ABSTRACT This paper aims to obtain metrics for quantifying the variability of technical provisions for claims by making use of deterministic and stochastic models. In short, everything that the traditional methods do not provide (measures of variability and capital insufficiency) are of fundamental importance for efficient actuarial management. The proposed methodology reveals the probability of insufficiency of the allocated capital to cover the commitments assumed by the insurer. In order to maintain resources to cover the indemnities payable to the insured, insurance companies include technical provisions in their balance sheets. Technical provisions are estimates and are therefore a source of fluctuations in the profit and loss statement of insurers, so understanding and protecting against these adverse variations is fundamental for efficient actuarial management. The stochastic approach enables internal models to be studied for solvency capital, which is a subject that lacks studies in the Brazilian market, and which is determined by a standard model pre-defined by the regulatory body. Stochastic modeling was proposed for Incurred But Not Reported Reserve using bootstrapping and, to validate this approach, the results were compared with the traditional approaches using real Motor Hull and Motor Third Part Liability data from a Brazilian insurance company. There are advanta</w:t>
      </w:r>
    </w:p>
    <w:p>
      <w:pPr>
        <w:pStyle w:val="Heading2"/>
      </w:pPr>
      <w:r>
        <w:t>762.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pathways;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The role of atmospheric circulation in explaining the summer extreme temperature trends over Europe — https://doi.org/10.5194/ems2024-1069</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pPr/>
      <w:r>
        <w:rPr>
          <w:b/>
        </w:rPr>
        <w:t>POSSIBLE 2024:</w:t>
      </w:r>
      <w:r>
        <w:t xml:space="preserve"> Assessing the feasibility of CO2 removal strategies in achieving climate-neutral power systems: Insights from biomass, CO2 capture, and direct air capture in Europe — https://doi.org/10.1016/j.adapen.2024.100166</w:t>
      </w:r>
    </w:p>
    <w:p>
      <w:pPr/>
      <w:r>
        <w:rPr>
          <w:b/>
        </w:rPr>
        <w:t>Shared claim-specific concepts:</w:t>
      </w:r>
      <w:r>
        <w:t xml:space="preserve"> role, achieve, co2; EU scope visible. This is a provisional connection, not an outcome finding.</w:t>
      </w:r>
    </w:p>
    <w:p>
      <w:pPr>
        <w:pStyle w:val="SourceNote"/>
      </w:pPr>
      <w:r>
        <w:rPr>
          <w:b/>
        </w:rPr>
        <w:t>Available abstract (not full text):</w:t>
      </w:r>
      <w:r>
        <w:t xml:space="preserve"> To achieve the European Union's goal of climate neutrality by 2050, negative emissions may be required to compensate for emissions exceeding allocated carbon budgets. Therefore, carbon removal technologies such as bioenergy with carbon capture (BECCS) and direct air capture (DAC) may need to play a pivotal role in the power system. To design carbon removal strategies, more insights are needed into the impact of sustainable biomass availability and the feasibility of carbon capture and storage (CCS), including the expensive and energy-intensive DAC on achieving net-zero and net-negative targets. Therefore, in this study the European power system in 2050 is modelled at an hourly resolution in the cost-minimization PLEXOS modelling platform. Three climate-neutral scenarios with targets of 0, -1, and -3.9 Mt CO2/year (which agree with varying levels of climate justice) are assessed for different biomass levels, and CCS availability. Findings under baseline assumptions reveal that in a climate-neutral power system with biomass and CCS options, it is cost-effective to complement variable renewable energy with a mix of combined cycle natural gas turbines (CCNGT) for flexibility and BECCS as base load to compensate for the CO2 emissions from natural gas and additional carbon removal in the net-negative scenarios. The role of these technologies becomes more prominent, with -3.9 GtCO2/ye</w:t>
      </w:r>
    </w:p>
    <w:p>
      <w:pPr/>
      <w:r>
        <w:rPr>
          <w:b/>
        </w:rPr>
        <w:t>POSSIBLE 2023:</w:t>
      </w:r>
      <w:r>
        <w:t xml:space="preserve"> The potential role of a hydrogen network in Europe — https://doi.org/10.1016/j.joule.2023.06.016</w:t>
      </w:r>
    </w:p>
    <w:p>
      <w:pPr/>
      <w:r>
        <w:rPr>
          <w:b/>
        </w:rPr>
        <w:t>Shared claim-specific concepts:</w:t>
      </w:r>
      <w:r>
        <w:t xml:space="preserve"> role, across, achieve; EU scope visible. This is a provisional connection, not an outcome finding.</w:t>
      </w:r>
    </w:p>
    <w:p>
      <w:pPr>
        <w:pStyle w:val="SourceNote"/>
      </w:pPr>
      <w:r>
        <w:rPr>
          <w:b/>
        </w:rPr>
        <w:t>Available abstract (not full text):</w:t>
      </w:r>
      <w:r>
        <w:t xml:space="preserve"> Europe's electricity transmission expansion suffers many delays, despite its significance for integrating renewable electricity. A hydrogen network reusing the existing gas network could not only help to supply the demand for low-emission fuels but could also balance variations in wind and solar energies across the continent and thus avoid power grid expansion. Our investigation varies the allowed expansion of electricity and hydrogen grids in net-zero CO 2 scenarios for a sector-coupled European energy system, capturing transmission bottlenecks, renewable supply and demand variability, and pipeline retrofitting and geological storage potentials. We find that a hydrogen network connecting regions with low-cost and abundant renewable potentials to demand centers, electrofuel production, and cavern storage sites reduces system costs by up to 26 bn€/a (3.4%). Although expanding both networks together can achieve the largest cost reductions, by 9.9%, the expansion of neither is essential for a net-zero system as long as higher costs can be accepted and flexibility options allow managing transmission bottlenecks.</w:t>
      </w:r>
    </w:p>
    <w:p>
      <w:pPr/>
      <w:r>
        <w:rPr>
          <w:b/>
        </w:rPr>
        <w:t>POSSIBLE 2023:</w:t>
      </w:r>
      <w:r>
        <w:t xml:space="preserve"> Exploring pathways to 100% renewable energy in European industry — https://doi.org/10.1016/j.energy.2023.126687</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2022:</w:t>
      </w:r>
      <w:r>
        <w:t xml:space="preserve"> Organizational change and psychosomatic symptoms: Exploring pathways through working conditions and assessing the moderating role of social support among European workers — https://doi.org/10.1177/0143831x211069411</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Building on the Job Demands–Resources (JD–R) model, this article sets out to analyze the mechanisms through which organizational change can affect workers’ health. The author carries out a moderated mediation analysis drawing on data from the European Working Conditions Survey conducted in 2015 with more than 44,000 European workers in 35 countries. Emotional labor, work intensity and physical strain are included as mediators of the relationship between organizational change and health, assessed by the self-declaration of psychosomatic symptoms. The study tests for the moderating role of social support, assessed as supervisor support and colleague support. It is shown that emotional labor mediates the relationship between organizational change and health alongside other work demands, with slight variations in the mechanisms depending on whether the reorganization involves staff cuts. There is evidence that social support from the hierarchy moderates the health effects of job demands.</w:t>
      </w:r>
    </w:p>
    <w:p>
      <w:pPr>
        <w:pStyle w:val="Heading2"/>
      </w:pPr>
      <w:r>
        <w:t>763.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2025:</w:t>
      </w:r>
      <w:r>
        <w:t xml:space="preserve"> Global terrestrial moisture recycling in Shared Socioeconomic Pathways — https://doi.org/10.5194/esd-16-215-2025</w:t>
      </w:r>
    </w:p>
    <w:p>
      <w:pPr/>
      <w:r>
        <w:rPr>
          <w:b/>
        </w:rPr>
        <w:t>Shared claim-specific concepts:</w:t>
      </w:r>
      <w:r>
        <w:t xml:space="preserve"> shared, socioeconomic, pathways, ssps, regional; EU scope not established. This is a provisional connection, not an outcome finding.</w:t>
      </w:r>
    </w:p>
    <w:p>
      <w:pPr>
        <w:pStyle w:val="SourceNote"/>
      </w:pPr>
      <w:r>
        <w:rPr>
          <w:b/>
        </w:rPr>
        <w:t>Available abstract (not full text):</w:t>
      </w:r>
      <w:r>
        <w:t xml:space="preserve"> Abstract. Many areas across the globe rely on upwind land areas for their precipitation supply through terrestrial precipitation recycling. Global warming and land-use changes may affect the future patterns of terrestrial precipitation recycling, but where and to which extent remains unclear. To study how the global patterns of precipitation recycling may change until the end of the 21st century we present a new forward-tracking version of the three-dimensional atmospheric moisture tracking model UTrack that is forced by output of the Norwegian Earth System model (NorESM2). We simulate global precipitation recycling in four Shared Socioeconomic Pathways (SSPs), which are internally consistent combinations of climate- and land-use scenarios used in the sixth phase of the Coupled Model Intercomparison Project. The scenarios range from mild to severe: SSP1-2.6, SSP2-4.5, SSP3-7.0, and SSP5-8.5. We compare results for the middle of the century (2050–2059) and end of the century (2090–2099) with a 2015–2024 baseline. We similarly also calculate basin precipitation recycling for the 26 major river basins of the world. We find that the global terrestrial moisture recycling ratio decreases with the severity of the SSPs and estimate a decrease in this ratio of 2.1 % with every degree of global warming. However, we find differences among regions and river basins in trends in precipitatio</w:t>
      </w:r>
    </w:p>
    <w:p>
      <w:pPr/>
      <w:r>
        <w:rPr>
          <w:b/>
        </w:rPr>
        <w:t>POSSIBLE 2024:</w:t>
      </w:r>
      <w:r>
        <w:t xml:space="preserve"> A critical utopian shared socioeconomic pathway — https://doi.org/10.1016/j.futures.2024.103437</w:t>
      </w:r>
    </w:p>
    <w:p>
      <w:pPr/>
      <w:r>
        <w:rPr>
          <w:b/>
        </w:rPr>
        <w:t>Shared claim-specific concepts:</w:t>
      </w:r>
      <w:r>
        <w:t xml:space="preserve"> shared, socioeconomic, pathways, ssps, they; EU scope not established. This is a provisional connection, not an outcome finding.</w:t>
      </w:r>
    </w:p>
    <w:p>
      <w:pPr>
        <w:pStyle w:val="SourceNote"/>
      </w:pPr>
      <w:r>
        <w:rPr>
          <w:b/>
        </w:rPr>
        <w:t>Available abstract (not full text):</w:t>
      </w:r>
      <w:r>
        <w:t xml:space="preserve"> The aim of this study is to investigate the utility of speculative, fictional utopian narratives to be used as a comparative and critical tool to expose taken for granted ideas, discourses and norms in the five shared socioeconomic pathways (SSP1–5) that are used by the IPCC to build future scenarios. To achieve this goal, we first invited citizens to write stories about fictional utopian futures, which they perceived as good for “both people and the planet”. We then compared these utopian stories with the SSPs by (1) a semi-quantitative thematic analysis, and (2) a critical literary analysis. Based on the thematic analysis, we found strong similarities between the utopian futures and SSP1 (“Taking the Green Road”) at a superficial level. Based on the literary analysis, we found that this apparent similarity obscured fundamental differences between the implicit mindsets that was found in SSP1 and the utopian futures; with the former underpinned by collective anthropocentrism and the latter by collective ecocentrism. We conclude that speculative utopias, that are not bound by the requirement of perceived plausibility, can provide a powerful tool to scrutinize and extend science-based future scenarios, such as the SSPs, to consider other aspects, such as different mindsets and norm-breaking solutions.</w:t>
      </w:r>
    </w:p>
    <w:p>
      <w:pPr/>
      <w:r>
        <w:rPr>
          <w:b/>
        </w:rPr>
        <w:t>POSSIBLE 2024:</w:t>
      </w:r>
      <w:r>
        <w:t xml:space="preserve"> Chasing artificial intelligence in shared socioeconomic pathways — https://doi.org/10.1016/j.oneear.2023.12.015</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Updating global urbanization projections under the Shared Socioeconomic Pathways — https://doi.org/10.1038/s41597-022-01209-5</w:t>
      </w:r>
    </w:p>
    <w:p>
      <w:pPr/>
      <w:r>
        <w:rPr>
          <w:b/>
        </w:rPr>
        <w:t>Shared claim-specific concepts:</w:t>
      </w:r>
      <w:r>
        <w:t xml:space="preserve"> shared, socioeconomic, pathways, climate; EU scope not established. This is a provisional connection, not an outcome finding.</w:t>
      </w:r>
    </w:p>
    <w:p>
      <w:pPr>
        <w:pStyle w:val="SourceNote"/>
      </w:pPr>
      <w:r>
        <w:rPr>
          <w:b/>
        </w:rPr>
        <w:t>Available abstract (not full text):</w:t>
      </w:r>
      <w:r>
        <w:t xml:space="preserve"> Urbanization level is an important indicator of socioeconomic development, and projecting its dynamics is fundamental for studies related to global socioeconomic and climate change. This paper aims to update the projections of global urbanization from 2015 to 2100 under the Shared Socioeconomic Pathways by using the logistic fitting model and iteratively identifying reference countries. Based on historical urbanization level database from the World Urbanization Prospects, projected urbanization levels and uncertainties are provided for 204 countries and areas every five years. The 2010-2100 year-by-year projected urbanization levels and uncertainties based on the annual historical data from the World Bank (WB) for 188 of countries and areas are also provided. The projections based on the two datasets were compared and the latter were validated using the historical values of the WB for the years 2010-2018. The updated dataset of urbanization level is relevant for understanding future socioeconomic development, its implications for climate change and policy planning.</w:t>
      </w:r>
    </w:p>
    <w:p>
      <w:pPr/>
      <w:r>
        <w:rPr>
          <w:b/>
        </w:rPr>
        <w:t>POSSIBLE 2022:</w:t>
      </w:r>
      <w:r>
        <w:t xml:space="preserve"> Global gridded GDP data set consistent with the shared socioeconomic pathways — https://doi.org/10.1038/s41597-022-01300-x</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vulnerability, exposure and resilience of socioeconomic activities to future climate extremes call for high-resolution gridded GDP in climate change adaptation and mitigation research. While global socioeconomic projections are provided mainly at the national level, and downscaling approaches using nighttime light (NTL) images or gridded population data can increase the uncertainty due to limitations. Therefore, we adopt an NTL-population-based approach, which exhibits higher accuracy in socioeconomic disaggregation. Gross regional product of over 800 provinces, which covering over 60% of the global land surface and accounted for more than 80% of GDP in 2005, were used as input. We present a first set of comparable spatially explicit global gridded GDP projections with fine spatial resolutions of 30 arc-seconds and 0.25 arc-degrees for the historical period of 2005 and for 2030-2100 at 10-year intervals under the five SSPs, accounting for the two-child policy in China. This gridded GDP projection dataset can broaden the applicability of GDP data, the availability of which is necessary for socioeconomic and climate change research.</w:t>
      </w:r>
    </w:p>
    <w:p>
      <w:pPr/>
      <w:r>
        <w:rPr>
          <w:b/>
        </w:rPr>
        <w:t>POSSIBLE 2021:</w:t>
      </w:r>
      <w:r>
        <w:t xml:space="preserve"> Future cooling gap in shared socioeconomic pathways — https://doi.org/10.1088/1748-9326/ac2195</w:t>
      </w:r>
    </w:p>
    <w:p>
      <w:pPr/>
      <w:r>
        <w:rPr>
          <w:b/>
        </w:rPr>
        <w:t>Shared claim-specific concepts:</w:t>
      </w:r>
      <w:r>
        <w:t xml:space="preserve"> shared, socioeconomic, pathways, ssps, regional, climate; EU scope not established. This is a provisional connection, not an outcome finding.</w:t>
      </w:r>
    </w:p>
    <w:p>
      <w:pPr>
        <w:pStyle w:val="SourceNote"/>
      </w:pPr>
      <w:r>
        <w:rPr>
          <w:b/>
        </w:rPr>
        <w:t>Available abstract (not full text):</w:t>
      </w:r>
      <w:r>
        <w:t xml:space="preserve"> Abstract The extent to which societies will globally be able to adapt to climate change is not well understood. Here we analyze socioeconomic dimensions of adaptive capacity of populations to deal with heat stress and find income, urbanization and income inequality to be important factors in explaining adaptation to heat stress with air conditioning (AC). Using the scenario framework of the Shared Socioeconomic Pathways (SSPs), we estimate the future cooling gap, which represents the difference between the population exposed to heat stress and the population able to protect against heat stress with AC. Depending on the scenario of socioeconomic development, total population affected by the cooling gap may vary between 2 billion and 5 billion people in 2050, with the scenario-dependent range widening further towards the end of the century. Our analysis shows vast regional inequalities in adaptive capacity for one of the most universal manifestations of climate change, underscoring the need to account for the different potential levels of adaptive capacity in assessments of climate change impacts.</w:t>
      </w:r>
    </w:p>
    <w:p>
      <w:pPr/>
      <w:r>
        <w:rPr>
          <w:b/>
        </w:rPr>
        <w:t>POSSIBLE 2021:</w:t>
      </w:r>
      <w:r>
        <w:t xml:space="preserve"> China's energy-related carbon emissions projections for the shared socioeconomic pathways — https://doi.org/10.1016/j.resconrec.2021.105456</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Gridded GDP Projections Compatible With the Five SSPs (Shared Socioeconomic Pathways) — https://doi.org/10.3389/fbuil.2021.760306</w:t>
      </w:r>
    </w:p>
    <w:p>
      <w:pPr/>
      <w:r>
        <w:rPr>
          <w:b/>
        </w:rPr>
        <w:t>Shared claim-specific concepts:</w:t>
      </w:r>
      <w:r>
        <w:t xml:space="preserve"> shared, socioeconomic, pathways, ssps, climate; EU scope not established. This is a provisional connection, not an outcome finding.</w:t>
      </w:r>
    </w:p>
    <w:p>
      <w:pPr>
        <w:pStyle w:val="SourceNote"/>
      </w:pPr>
      <w:r>
        <w:rPr>
          <w:b/>
        </w:rPr>
        <w:t>Available abstract (not full text):</w:t>
      </w:r>
      <w:r>
        <w:t xml:space="preserve"> Historical and future spatially explicit population and gross domestic product (GDP) data are essential for the analysis of future climate risks. Unlike population projections that are generally available, GDP projections—particularly for scenarios compatible with shared socioeconomic pathways (SSPs)—are limited. Our objective is to perform a high-resolution and long-term GDP estimation under SSPs utilizing a wide variety of geographic auxiliary information. We estimated the GDP in a 1/12-degree grid scale. The estimation is done through downscaling of historical GDP data for 1850–2010 and SSP future scenario data for 2010–2100. In the downscaling, we first modeled the spatial and economic interactions among cities and projected different future urban growth patterns according to the SSPs. Subsequently, the projected patterns and other auxiliary geographic data were used to estimate the gridded GDP distributions. Finally, the GDP projections were visualized via three-dimensional mapping to enhance the clarity for multiple stakeholders. Our results suggest that the spatial pattern of urban and peri-urban GDP depends considerably on the SSPs; the GDP of the existing major cities grew rapidly under SSP1, moderately grew under SSP 2 and SSP4, slowly grew under SSP3, and dispersed growth under SSP5.</w:t>
      </w:r>
    </w:p>
    <w:p>
      <w:pPr>
        <w:pStyle w:val="Heading2"/>
      </w:pPr>
      <w:r>
        <w:t>764.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2024:</w:t>
      </w:r>
      <w:r>
        <w:t xml:space="preserve"> Discussed Poster Abstracts – PM2 — https://doi.org/10.1111/fcp.13016</w:t>
      </w:r>
    </w:p>
    <w:p>
      <w:pPr/>
      <w:r>
        <w:rPr>
          <w:b/>
        </w:rPr>
        <w:t>Shared claim-specific concepts:</w:t>
      </w:r>
      <w:r>
        <w:t xml:space="preserve"> pm2, two, used; EU scope not established. This is a provisional connection, not an outcome finding.</w:t>
      </w:r>
    </w:p>
    <w:p>
      <w:pPr>
        <w:pStyle w:val="SourceNote"/>
      </w:pPr>
      <w:r>
        <w:rPr>
          <w:b/>
        </w:rPr>
        <w:t>Available abstract (not full text):</w:t>
      </w:r>
      <w:r>
        <w:t xml:space="preserve"> Introduction: Acute generalized exanthematous pustulosis (AGEP) is a rare form of severe cutaneous adverse drug reaction.Because of change regarding drug prescription over time, new drugs emerge as causative agents.Our objective was to assess new drugs associated with AGEP such as heterogeneity regarding delays between drug intake and AGEP onset.Material and methods: We used VigiBase, the WHO pharmacovigilance database.Two periods of interest were extracted: period 1 (2007-2012), as control period; and period 2 (2017-2022) to assess newly associated drugs.Overall reports of AGEP recorded in period 1 and period 2 were analyzed.To assess drug associated with AGEP, the information component and the lower limit of its 95% credibility interval (IC025) was used.IC025 ≥ 0 is the statistical threshold used in Vigibase.Additionally, in order to group drugs according to the delay between drug intake and AGEP onset, we performed a clustering analysis.Results: A total of 635 and 3832 reports were recorded in period 1 and 2 respectively.A total of 64 drugs were newly associated during period 2. Period 2 particularly highlighted the new association of antimicrobials, such as meropenem (IC025 3.52), valaciclovir (IC025 3.83) and acyclovir (IC025 2.00), nystatin (IC025 3.76) and itraconazole (IC025 2.67), proton pump inhibitors such as pantoprazole (IC025 1.17), diuretics such as acetazolamide</w:t>
      </w:r>
    </w:p>
    <w:p>
      <w:pPr/>
      <w:r>
        <w:rPr>
          <w:b/>
        </w:rPr>
        <w:t>POSSIBLE 2024:</w:t>
      </w:r>
      <w:r>
        <w:t xml:space="preserve"> Time Series Analysis PM2•5 Concentration for Capital City Dhaka from 2016 to 2023 — https://doi.org/10.11648/sf.20240501.15</w:t>
      </w:r>
    </w:p>
    <w:p>
      <w:pPr/>
      <w:r>
        <w:rPr>
          <w:b/>
        </w:rPr>
        <w:t>Shared claim-specific concepts:</w:t>
      </w:r>
      <w:r>
        <w:t xml:space="preserve"> pm2, significant, biomass, burning, range; EU scope not established. This is a provisional connection, not an outcome finding.</w:t>
      </w:r>
    </w:p>
    <w:p>
      <w:pPr>
        <w:pStyle w:val="SourceNote"/>
      </w:pPr>
      <w:r>
        <w:rPr>
          <w:b/>
        </w:rPr>
        <w:t>Available abstract (not full text):</w:t>
      </w:r>
      <w:r>
        <w:t xml:space="preserve"> Dhaka, as the epicenter of economic, political, and cultural activity, has been actively pursuing urbanization, modernization, and development in line with global trends. The rise in unplanned urbanization, industrialization, and other human activities have led to an escalation in air pollution levels. The quality of air in Dhaka is progressively declining over time. It has become a significant challenge due to its detrimental effects on both human health and the environment. The objectives of the study to analyze the air quality in Dhaka city over eight years, from 2016 to 2023 and to assess the relation between concentration of PM2•5 and meteorological characteristics in Dhaka city. AQI and PM2•5 data has been collected from the website of U.S. Embassy Dhaka and meteorological data from the Bangladesh Meteorological Department (BMD). Data processing and analysis have been conducted by using SPSS and Microsoft Excel. Annual variations indicated that 2023 experienced the highest air pollution levels with an average PM2•5 concentration of 103.67 µg/m³ which is 2.96 times higher than the national ambient air quality standards level. Furthermore, shifting variation analysis demonstrated that air quality deteriorated in the night to morning, reaching an unhealthy level, largely attributed to heavy traffic. Along with that seasonal variations illustrate that winter had the highest P</w:t>
      </w:r>
    </w:p>
    <w:p>
      <w:pPr/>
      <w:r>
        <w:rPr>
          <w:b/>
        </w:rPr>
        <w:t>POSSIBLE 2024:</w:t>
      </w:r>
      <w:r>
        <w:t xml:space="preserve"> Estimates of global mortality burden associated with short-term exposure to fine particulate matter (PM2·5) — https://doi.org/10.1016/s2542-5196(24)00003-2</w:t>
      </w:r>
    </w:p>
    <w:p>
      <w:pPr/>
      <w:r>
        <w:rPr>
          <w:b/>
        </w:rPr>
        <w:t>Shared claim-specific concepts:</w:t>
      </w:r>
      <w:r>
        <w:t xml:space="preserve"> concentrations, pm2, not; EU scope not established. This is a provisional connection, not an outcome finding.</w:t>
      </w:r>
    </w:p>
    <w:p>
      <w:pPr>
        <w:pStyle w:val="SourceNote"/>
      </w:pPr>
      <w:r>
        <w:rPr>
          <w:b/>
        </w:rPr>
        <w:t>Available abstract (not full text):</w:t>
      </w:r>
      <w:r>
        <w:t xml:space="preserve"> Background The acute health effects of short-term (hours to days) exposure to fine particulate matter (PM 2·5 ) have been well documented; however, the global mortality burden attributable to this exposure has not been estimated. We aimed to estimate the global, regional, and urban mortality burden associated with short-term exposure to PM 2·5 and the spatiotemporal variations in this burden from 2000 to 2019. Methods We combined estimated global daily PM 2·5 concentrations, annual population counts, country-level mortality rates, and epidemiologically derived exposure–response functions to estimate the mortality attributable to short-term PM 2·5 exposure from 2000 to 2019, in the continental regions and in 13 189 urban centres worldwide at a spatial resolution of 0·1° × 0·1°. We tested the robustness of our mortality estimates with different theoretical minimum risk exposure levels, lag effects, and exposure–response functions. Findings Approximately 1 million (95% CI 690 000–1·3 million) premature deaths per year from 2000 to 2019 were attributable to short-term PM 2·5 exposure, representing 2·08% (1·41–2·75) of total global deaths or 17 (11–22) premature deaths per 100 000 population. Annually, 0·23 million (0·15 million–0·30 million) deaths attributable to short-term PM 2·5 exposure were in urban areas, constituting 22·74% of the total global deaths attributable to this cau</w:t>
      </w:r>
    </w:p>
    <w:p>
      <w:pPr/>
      <w:r>
        <w:rPr>
          <w:b/>
        </w:rPr>
        <w:t>POSSIBLE 2024:</w:t>
      </w:r>
      <w:r>
        <w:t xml:space="preserve"> Estimating the effect of annual PM2·5 exposure on mortality in India: a difference-in-differences approach — https://doi.org/10.1016/s2542-5196(24)00248-1</w:t>
      </w:r>
    </w:p>
    <w:p>
      <w:pPr/>
      <w:r>
        <w:rPr>
          <w:b/>
        </w:rPr>
        <w:t>Shared claim-specific concepts:</w:t>
      </w:r>
      <w:r>
        <w:t xml:space="preserve"> concentrations, pm2, not, increase, use, system; EU scope not established. This is a provisional connection, not an outcome finding.</w:t>
      </w:r>
    </w:p>
    <w:p>
      <w:pPr>
        <w:pStyle w:val="SourceNote"/>
      </w:pPr>
      <w:r>
        <w:rPr>
          <w:b/>
        </w:rPr>
        <w:t>Available abstract (not full text):</w:t>
      </w:r>
      <w:r>
        <w:t xml:space="preserve"> Background In 2019, the Global Burden of Diseases, Injuries, and Risk Factors Study attributed 0·98 million deaths to ambient air pollution in India based on potentially inappropriate exposure–response functions from countries with low air pollution levels. Instead, using data from India, we investigated long-term exposure to PM 2·5 and all-cause mortality with a causal inference method. Methods We collected national counts of annual mortality from 2009 to 2019 from the Civil Registration System at the district level to calculate annual district-level mortality rate as our main outcome and obtained annual PM 2·5 concentrations from a high-resolution spatiotemporal model. We applied an extended version of the difference-in-differences design by use of generalised additive models with quasi-Poisson distribution, including indicator variables and separate time trends for spatial administrative divisions. PM 2·5 concentrations obtained at 1 km × 1 km spatial resolution across the country were used to calculate annual district-level mean PM 2·5 concentrations. Similarly, we collected confounders at the district level, such as mean and SD of quarterly temperatures, gross domestic product per capita, population aged 60 years or older, clean cooking fuel usage, literacy in women, and median age. The spatial unit of analysis was administrative division. Findings The annual median popula</w:t>
      </w:r>
    </w:p>
    <w:p>
      <w:pPr/>
      <w:r>
        <w:rPr>
          <w:b/>
        </w:rPr>
        <w:t>POSSIBLE 2024:</w:t>
      </w:r>
      <w:r>
        <w:t xml:space="preserve"> Seasonal Trend Analysis of Major Air Pollutant (PM2:5 and PM10) Concentration in Visakhapatnam During 2020 – 2022: A Case Study — https://doi.org/10.17485/ijst/v17i3.2549</w:t>
      </w:r>
    </w:p>
    <w:p>
      <w:pPr/>
      <w:r>
        <w:rPr>
          <w:b/>
        </w:rPr>
        <w:t>Shared claim-specific concepts:</w:t>
      </w:r>
      <w:r>
        <w:t xml:space="preserve"> concentrations, pm2, decrease, range; EU scope not established. This is a provisional connection, not an outcome finding.</w:t>
      </w:r>
    </w:p>
    <w:p>
      <w:pPr>
        <w:pStyle w:val="SourceNote"/>
      </w:pPr>
      <w:r>
        <w:rPr>
          <w:b/>
        </w:rPr>
        <w:t>Available abstract (not full text):</w:t>
      </w:r>
      <w:r>
        <w:t xml:space="preserve"> Objective: The main objective of the present study is to analyze the seasonal variations of major particulate air pollutants (PM2.5 and PM10) from January 2020 to December 2022 in the industrially developed Visakhapatnam City and its comparison with previous existing studies from January 2018 - December 2020. Methods: The real-time daily mass concentrations of air pollutants in Visakhapatnam recorded by the Central Pollution Control Board (CPCB) are collected for the present study. The monthly average observations of pollutants such as PM2.5, PM10, and PM2.5/PM10 in each season are considered for the present study, and pollutants trends are studied from January 2020 - December 2022. The fine particles below 100μm (RSPM) and coarse particles &gt; 100μm (TSPM) are treated as primary pollutants and pollutant concentration is determined based on prevailing meteorological and topographic factors. In the present study, the pollutant intensity is analyzed using the Pearson correlation coefficient for various seasons. Similarly, statistical analysis is also implemented on particulate air pollutants (PM2.5 and PM10) from January 2020 to December 2022. Findings: From Table 1 PM2.5 levels fall within the range of 16 - 96 μg/m3 and the minimum PM2.5 level is in April 2020 and maximum in December 2020. According to AQI standards, moderate pollution indicates the fall of the PM10 levels within </w:t>
      </w:r>
    </w:p>
    <w:p>
      <w:pPr/>
      <w:r>
        <w:rPr>
          <w:b/>
        </w:rPr>
        <w:t>POSSIBLE 2024:</w:t>
      </w:r>
      <w:r>
        <w:t xml:space="preserve"> Trends in Air Pollution in Europe, 2000–2019 — https://doi.org/10.4209/aaqr.230237</w:t>
      </w:r>
    </w:p>
    <w:p>
      <w:pPr/>
      <w:r>
        <w:rPr>
          <w:b/>
        </w:rPr>
        <w:t>Shared claim-specific concepts:</w:t>
      </w:r>
      <w:r>
        <w:t xml:space="preserve"> concentrations, pm2, show, significant;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pm2, show, larger, not, significant, used;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pStyle w:val="Heading2"/>
      </w:pPr>
      <w:r>
        <w:t>765.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2024:</w:t>
      </w:r>
      <w:r>
        <w:t xml:space="preserve"> Atrial fibrillation burden: a new outcome predictor and therapeutic target — https://doi.org/10.1093/eurheartj/ehae373</w:t>
      </w:r>
    </w:p>
    <w:p>
      <w:pPr/>
      <w:r>
        <w:rPr>
          <w:b/>
        </w:rPr>
        <w:t>Shared claim-specific concepts:</w:t>
      </w:r>
      <w:r>
        <w:t xml:space="preserve"> outcomes, relation; EU scope not established. This is a provisional connection, not an outcome finding.</w:t>
      </w:r>
    </w:p>
    <w:p>
      <w:pPr>
        <w:pStyle w:val="SourceNote"/>
      </w:pPr>
      <w:r>
        <w:rPr>
          <w:b/>
        </w:rPr>
        <w:t>Available abstract (not full text):</w:t>
      </w:r>
      <w:r>
        <w:t xml:space="preserve"> Atrial fibrillation (AF), the most common sustained cardiac arrhythmia, is not a dichotomous disease trait. Technological innovations enable long-term rhythm monitoring in many patients and can estimate AF burden. These technologies are already used to detect and monitor AF. This review describes the relation between AF burden and outcomes and potential effects of AF burden reduction. A lower AF burden is associated with a lower risk of stroke and heart failure in patients with AF: stroke risk without anticoagulation is lower in patients with device-detected AF and a low AF burden (stroke rate 1%/year) than in patients with persistent and permanent AF (stroke rate 3%/year). Paroxysmal AF shows intermediate stroke rates (2%/year). Atrial fibrillation burden-reducing interventions can reduce cardiovascular outcomes in patients with AF: early rhythm control reduces cardiovascular events including stroke and heart failure in patients with recently diagnosed AF and cardiovascular conditions. In patients with heart failure and AF, early rhythm control and AF ablation, interventions that reduce AF burden, reduce mortality and heart failure events. Recent technological innovations allow to estimate AF burden in clinical care, creating opportunities and challenges. While evidence remains limited, the existing data already suggest that AF burden reduction could be a therapeutic goal. In </w:t>
      </w:r>
    </w:p>
    <w:p>
      <w:pPr/>
      <w:r>
        <w:rPr>
          <w:b/>
        </w:rPr>
        <w:t>POSSIBLE 2023:</w:t>
      </w:r>
      <w:r>
        <w:t xml:space="preserve"> European Consensus Guidelines on the Management of Respiratory Distress Syndrome: 2022 Update — https://doi.org/10.1159/000528914</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Respiratory distress syndrome (RDS) care pathways evolve slowly as new evidence emerges. We report the sixth version of "European Guidelines for the Management of RDS" by a panel of experienced European neonatologists and an expert perinatal obstetrician based on available literature up to end of 2022. Optimising outcome for babies with RDS includes prediction of risk of preterm delivery, appropriate maternal transfer to a perinatal centre, and appropriate and timely use of antenatal steroids. Evidence-based lung-protective management includes initiation of non-invasive respiratory support from birth, judicious use of oxygen, early surfactant administration, caffeine therapy, and avoidance of intubation and mechanical ventilation where possible. Methods of ongoing non-invasive respiratory support have been further refined and may help reduce chronic lung disease. As technology for delivering mechanical ventilation improves, the risk of causing lung injury should decrease, although minimising time spent on mechanical ventilation by targeted use of postnatal corticosteroids remains essential. The general care of infants with RDS is also reviewed, including emphasis on appropriate cardiovascular support and judicious use of antibiotics as being important determinants of best outcome. We would like to dedicate this guideline to the memory of Professor Henry Halliday who died on Nov</w:t>
      </w:r>
    </w:p>
    <w:p>
      <w:pPr/>
      <w:r>
        <w:rPr>
          <w:b/>
        </w:rPr>
        <w:t>POSSIBLE 2023:</w:t>
      </w:r>
      <w:r>
        <w:t xml:space="preserve"> Spatial planning systems in Europe — https://doi.org/10.2298/gsgd2302177t</w:t>
      </w:r>
    </w:p>
    <w:p>
      <w:pPr/>
      <w:r>
        <w:rPr>
          <w:b/>
        </w:rPr>
        <w:t>Shared claim-specific concepts:</w:t>
      </w:r>
      <w:r>
        <w:t xml:space="preserve"> national, system; EU scope visible. This is a provisional connection, not an outcome finding.</w:t>
      </w:r>
    </w:p>
    <w:p>
      <w:pPr>
        <w:pStyle w:val="SourceNote"/>
      </w:pPr>
      <w:r>
        <w:rPr>
          <w:b/>
        </w:rPr>
        <w:t>Available abstract (not full text):</w:t>
      </w:r>
      <w:r>
        <w:t xml:space="preserve"> The paper aims to present the most significant classifications of spatial planning systems and territorial management in Europe. After the first attempts, from the end of the last century, at the beginning of the new millennium, extensive analyses of the spatial planning system were carried out through several ESPON projects. Their results were based on the dominance of one of four approaches: urbanism, land use, regional-economic or comprehensive integrated planning. Some countries have a combination of two or three approaches. The second research also refers to the development trends observed in the national systems of territorial management and spatial planning. Recent research include the classification of states according to the way of management, the level of integration of sectoral policies, the degree of adaptability in planning, as well as the degree of engagement of citizens in the planning process. Knowing the basic characteristics of the spatial planning system, as well as the classifications based on them, creates a clearer perspective of spatial planning as a socially important activity and makes it easier for every country to review and improve its planning practice.</w:t>
      </w:r>
    </w:p>
    <w:p>
      <w:pPr/>
      <w:r>
        <w:rPr>
          <w:b/>
        </w:rPr>
        <w:t>POSSIBLE 2022:</w:t>
      </w:r>
      <w:r>
        <w:t xml:space="preserve"> Understanding Public Support for European Protected Areas: A Review of the Literature and Proposing a New Approach for Policy Makers — https://doi.org/10.3390/land11050733</w:t>
      </w:r>
    </w:p>
    <w:p>
      <w:pPr/>
      <w:r>
        <w:rPr>
          <w:b/>
        </w:rPr>
        <w:t>Shared claim-specific concepts:</w:t>
      </w:r>
      <w:r>
        <w:t xml:space="preserve"> outcomes, support, system; EU scope visible. This is a provisional connection, not an outcome finding.</w:t>
      </w:r>
    </w:p>
    <w:p>
      <w:pPr>
        <w:pStyle w:val="SourceNote"/>
      </w:pPr>
      <w:r>
        <w:rPr>
          <w:b/>
        </w:rPr>
        <w:t>Available abstract (not full text):</w:t>
      </w:r>
      <w:r>
        <w:t xml:space="preserve"> Protected Areas are the most widely applied policy tool for biodiversity conservation. In Europe, protected areas are expected to significantly increase as the new EU Biodiversity strategy sets an ambitious target of 30% of land and 30% of water to be protected by 2030. Despite the popularity of this environmental policy, understanding variations in the level of public support for protected areas remains underexplored. This is an important area of research, considering that, in order for protected areas to be effective, they need to be supported by most users, including local communities and visitors. In this paper, we reviewed theoretical and empirical evidence explaining the level of support for protected areas and proposed a new approach when designing and designating protected areas in Europe. This approach models the process of the introduction of a new protected area as a policy intervention within a socio-ecological system. Specifically, it models how protected area social outcomes or impacts are conditioned and contextualised by numerous intervening factors relating to the social context and governance and management system to influence local actors’ attitude and active support for the protected area. This new approach aims to assist policy makers, conservation practitioners and scientists to plan actions that assist in increasing the level of public support for protect</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Cancer-related cognitive impairment in non-CNS cancer patients: Targeted review and future action plans in Europe — https://doi.org/10.1016/j.critrevonc.2022.103859</w:t>
      </w:r>
    </w:p>
    <w:p>
      <w:pPr/>
      <w:r>
        <w:rPr>
          <w:b/>
        </w:rPr>
        <w:t>Shared claim-specific concepts:</w:t>
      </w:r>
      <w:r>
        <w:t xml:space="preserve"> plans, system; EU scope visible. This is a provisional connection, not an outcome finding.</w:t>
      </w:r>
    </w:p>
    <w:p>
      <w:pPr>
        <w:pStyle w:val="SourceNote"/>
      </w:pPr>
      <w:r>
        <w:rPr>
          <w:b/>
        </w:rPr>
        <w:t>Available abstract (not full text):</w:t>
      </w:r>
      <w:r>
        <w:t xml:space="preserve"> Cancer-related cognitive impairment (CRCI) has increasingly been identified over the last two decades in non-CNS system cancer patients. Across Europe, researchers have contributed to this effort by developing preclinical models, exploring underlying mechanisms and assessing cognitive and quality of life changes. The ultimate goal is to develop interventions to treat patients experiencing CRCI. To do so, new challenges need to be addressed requiring the implementation of multidisciplinary research groups. In this consensus paper, we summarize the state of the art in the field of CRCI combined with the future challenges and action plans in Europe. These challenges include data sharing/pooling, standardization of assessments as well as assessing additional biomarkers and neuroimaging investigations, notably through translational studies. We conclude this position paper with specific actions for Europe based on shared scientific expert opinion and stakeholders involved in the Innovative Partnership for Action Against Cancer, with a particular focus on cognitive intervention programs.</w:t>
      </w:r>
    </w:p>
    <w:p>
      <w:pPr/>
      <w:r>
        <w:rPr>
          <w:b/>
        </w:rPr>
        <w:t>POSSIBLE 2021:</w:t>
      </w:r>
      <w:r>
        <w:t xml:space="preserve"> SCOPE 2021: a new scorecard for osteoporosis in Europe — https://doi.org/10.1007/s11657-020-00871-9</w:t>
      </w:r>
    </w:p>
    <w:p>
      <w:pPr/>
      <w:r>
        <w:rPr>
          <w:b/>
        </w:rPr>
        <w:t>Shared claim-specific concepts:</w:t>
      </w:r>
      <w:r>
        <w:t xml:space="preserve"> system, relation; EU scope visible. This is a provisional connection, not an outcome finding.</w:t>
      </w:r>
    </w:p>
    <w:p>
      <w:pPr>
        <w:pStyle w:val="SourceNote"/>
      </w:pPr>
      <w:r>
        <w:rPr>
          <w:b/>
        </w:rPr>
        <w:t>Available abstract (not full text):</w:t>
      </w:r>
      <w:r>
        <w:t xml:space="preserve"> This scorecard summarises key indicators of the burden of osteoporosis and its management in the 27 member states of the European Union, as well as the UK and Switzerland. The resulting scorecard elements, assembled on a single sheet, provide a unique overview of osteoporosis in Europe. INTRODUCTION: The scorecard for osteoporosis in Europe (SCOPE) is a project of the International Osteoporosis Foundation (IOF) that seeks to raise awareness of osteoporosis care in Europe. The aim of this project was to develop a scorecard and background documents to draw attention to gaps and inequalities in the provision of primary and secondary prevention of fractures due to osteoporosis. METHODS: The SCOPE panel reviewed the information available on osteoporosis and the resulting fractures for each of the 27 countries of the European Union plus the UK and Switzerland (termed EU27+2). The information obtained covered four domains: background information (e.g. the burden of osteoporosis and fractures), policy framework, service provision and service uptake, e.g. the proportion of men and women at high risk that do not receive treatment (the treatment gap). RESULTS: There was a marked difference in fracture risk among the EU27+2 countries. Of concern was the marked heterogeneity in the policy framework, service provision and service uptake for osteoporotic fracture that bore little relation to </w:t>
      </w:r>
    </w:p>
    <w:p>
      <w:pPr/>
      <w:r>
        <w:rPr>
          <w:b/>
        </w:rPr>
        <w:t>POSSIBLE 2021:</w:t>
      </w:r>
      <w:r>
        <w:t xml:space="preserve"> Building Mental Health and Psychosocial Support Capacity During a Pandemic: The Process of Adapting Problem Management Plus for Remote Training and Implementation During COVID-19 in New York City, Europe and East Africa — https://doi.org/10.4103/intv.intv_30_20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On March 11, 2020, COVID-19 was declared a pandemic by the World Health Organization. In response to the sudden rise in COVID-19-related mental health and psychosocial impacts, we embarked on a digital training (e-learning) and remote delivery adaptation for Problem Management Plus Training for Helpers (Remote PM+ Training) based in New York City, four European countries and six African countries. This paper provides an overview of the two Remote PM+ Trainings, including key adaptations and lessons learned across the contexts. Trainings were approximately 75 hours in duration, with a mix of group and individual work, in diverse contexts. Overall, remotely delivered PM+ training and intervention appear appropriate. There were a number of critical lessons learned that contributed to the efficacy of the trainings, such as technological support, digital literacy, preparation and flexibility among the trainers and the trainees. There is also a need for cultural and contextual adaptation towards the delivery of remote training and implementation of PM+. However, the outcomes from these two trainings indicate that PM+ may be adapted for remote (online) training and, if supported with additional studies, could build workforce capacity in contexts in which there is limited in-person access to mental health and psychosocial support services and staff.</w:t>
      </w:r>
    </w:p>
    <w:p>
      <w:pPr/>
      <w:r>
        <w:rPr>
          <w:b/>
        </w:rPr>
        <w:t>POSSIBLE 2020:</w:t>
      </w:r>
      <w:r>
        <w:t xml:space="preserve"> New guidance on the regulation of allergen products: key aspects and outcomes — https://doi.org/10.1097/aci.0000000000000687</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PURPOSE OF REVIEW: Key aspects and outcomes from the recently published guidance on the regulation of allergen products are summarized. RECENT FINDINGS: A new regulatory guideline has been published to enhance harmonized national approaches on the regulation of allergen products and thereby strengthen the availability of high-quality products across the European Union (EU). As the guideline was developed, critical aspects for allergen products regulation were identified and are discussed in the document, including recommendations on the regulatory procedures to be applied for diagnostics, allergen immunotherapy products and named-patient products. SUMMARY: The new guidance is expected to provide clarifications on and support harmonization of the regulation of allergen products in the EU.</w:t>
      </w:r>
    </w:p>
    <w:p>
      <w:pPr/>
      <w:r>
        <w:rPr>
          <w:b/>
        </w:rPr>
        <w:t>POSSIBLE 2019:</w:t>
      </w:r>
      <w:r>
        <w:t xml:space="preserve"> Renewable energy in the European Union: support policy and outcomes — https://doi.org/10.33531/farplss.2019.1.23</w:t>
      </w:r>
    </w:p>
    <w:p>
      <w:pPr/>
      <w:r>
        <w:rPr>
          <w:b/>
        </w:rPr>
        <w:t>Shared claim-specific concepts:</w:t>
      </w:r>
      <w:r>
        <w:t xml:space="preserve"> outcomes, support, energy; EU scope visible. This is a provisional connection, not an outcome finding.</w:t>
      </w:r>
    </w:p>
    <w:p>
      <w:pPr>
        <w:pStyle w:val="SourceNote"/>
      </w:pPr>
      <w:r>
        <w:rPr>
          <w:b/>
        </w:rPr>
        <w:t>Available abstract (not full text):</w:t>
      </w:r>
      <w:r>
        <w:t xml:space="preserve"> The article deals with the study of support schemes for renewable energy promotion in the European Union member states. The main strategic documents that declare short-term and long-term goals to increase the share of green energy in final energy consumption of the European Union are considered. The primary motivational mechanisms aimed at encouraging the production of energy from renewable energy sources, namely feed-in tariff models, feed-in premium model, and tradable green certificate scheme are analyzed. In addition, a number of secondary motivational tools such as tender systems, net metering, tax and customs privileges which are used in combination with the primary mechanisms for more effective promotion of renewable energy are described. The results of the influence of policy in renewable energy field on increasing the share of green energy in the total energy mixes of European Union member states are presented.</w:t>
      </w:r>
    </w:p>
    <w:p>
      <w:pPr/>
      <w:r>
        <w:rPr>
          <w:b/>
        </w:rPr>
        <w:t>POSSIBLE 2019:</w:t>
      </w:r>
      <w:r>
        <w:t xml:space="preserve"> The ‘New’ national development planning and global development goals: Processes and partnerships — https://doi.org/10.1016/j.worlddev.2019.03.013</w:t>
      </w:r>
    </w:p>
    <w:p>
      <w:pPr/>
      <w:r>
        <w:rPr>
          <w:b/>
        </w:rPr>
        <w:t>Shared claim-specific concepts:</w:t>
      </w:r>
      <w:r>
        <w:t xml:space="preserve"> national, plans; EU scope not established. This is a provisional connection, not an outcome finding.</w:t>
      </w:r>
    </w:p>
    <w:p>
      <w:pPr>
        <w:pStyle w:val="SourceNote"/>
      </w:pPr>
      <w:r>
        <w:rPr>
          <w:b/>
        </w:rPr>
        <w:t>Available abstract (not full text):</w:t>
      </w:r>
      <w:r>
        <w:t xml:space="preserve"> The number of countries with a national development plan has more than doubled, from about 62 in 2006 to 134 in 2018. More than 80 per cent of the global population now lives in a country with a national development plan of one form or another. This is a stunning recovery of a practice that had been discredited in the 1980s and 1990s as a relic of directed economies and state-led development. Several factors have fostered this re-emergence but from about 2015 the momentum for producing plans has accelerated, driven in part by a need to plan for the Sustainable Development Goals (SDGs). Based on an analysis of 107 national development plans, and drawing insights from 10 case study countries, this paper analyses ‘new’ national development planning and identifies the types and content of the plans, and their implications for the sustainable development agenda. The paper generates a typology of the new national plans, analyses their characteristics and explores the ways in which the new national development planning and the SDGs may interact. The study finds greater ownership and political control of the processes leading to plan production. It also finds that the plans vary in terms of the evidence used, the degree of internal consistency between different parts of the same plan, the process of developing the plan (inclusive or elite-driven), and the extent to which they are clear</w:t>
      </w:r>
    </w:p>
    <w:p>
      <w:pPr>
        <w:pStyle w:val="Heading2"/>
      </w:pPr>
      <w:r>
        <w:t>766.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2024:</w:t>
      </w:r>
      <w:r>
        <w:t xml:space="preserve"> Duckweed: Growth factor and applications in nonfood, food, and health — https://doi.org/10.1002/fsh3.12078</w:t>
      </w:r>
    </w:p>
    <w:p>
      <w:pPr/>
      <w:r>
        <w:rPr>
          <w:b/>
        </w:rPr>
        <w:t>Shared claim-specific concepts:</w:t>
      </w:r>
      <w:r>
        <w:t xml:space="preserve"> nonfood, biofuel, abstract; EU scope not established. This is a provisional connection, not an outcome finding.</w:t>
      </w:r>
    </w:p>
    <w:p>
      <w:pPr>
        <w:pStyle w:val="SourceNote"/>
      </w:pPr>
      <w:r>
        <w:rPr>
          <w:b/>
        </w:rPr>
        <w:t>Available abstract (not full text):</w:t>
      </w:r>
      <w:r>
        <w:t xml:space="preserve"> Abstract Duckweeds are aquatic plants and mainly constitute of five genera, Lemna, Spirodela, Wolffia , Wolffiella, and Landoltia. These are the smallest plants yet having a rapid growth rate. Hence, duckweeds are sustainable food sources for humans and animals, as well as sustainable feedstocks for biochemical production. Previously, duckweeds were discovered for their vital role in water purification by metabolizing chemicals and waste. However, many recent studies have discovered that duckweeds have a high amount of nutrients, which makes them a great substitute in human diets and animal feed. Their nutrient composition and growth rate are greatly affected by environmental factors. Hence, this review summarizes the characteristics of duckweeds, growth rate factors, and their applications in nonfood, food, and health. Duckweeds could improve health due to their large amounts of macro‐ and micronutrients. Future studies on the safety measures and duckweed culture are strongly recommended to safeguard the quality of the plants. Besides that, duckweeds have great potential to be used as heavy metals or contaminants absorbent, as well as a sustainable feedstock for biofuel production.</w:t>
      </w:r>
    </w:p>
    <w:p>
      <w:pPr/>
      <w:r>
        <w:rPr>
          <w:b/>
        </w:rPr>
        <w:t>POSSIBLE 2024:</w:t>
      </w:r>
      <w:r>
        <w:t xml:space="preserve"> Effects of different renewable electricity diffusion paths and restricted european cooperation on Europe's hydrogen supply — https://doi.org/10.1016/j.esr.2024.101589</w:t>
      </w:r>
    </w:p>
    <w:p>
      <w:pPr/>
      <w:r>
        <w:rPr>
          <w:b/>
        </w:rPr>
        <w:t>Shared claim-specific concepts:</w:t>
      </w:r>
      <w:r>
        <w:t xml:space="preserve"> show, increase, technologies, renewable, union, based; EU scope visible. This is a provisional connection, not an outcome finding.</w:t>
      </w:r>
    </w:p>
    <w:p>
      <w:pPr>
        <w:pStyle w:val="SourceNote"/>
      </w:pPr>
      <w:r>
        <w:rPr>
          <w:b/>
        </w:rPr>
        <w:t>Available abstract (not full text):</w:t>
      </w:r>
      <w:r>
        <w:t xml:space="preserve"> Today, most hydrogen production is based on natural gas and occurs locally at the demand sites. However, according to many studies, hydrogen generation will shift to greenhouse gas (GHG)-neutral sources and supply, substantially increasing demands to meet ambitious climate protection targets in the European Union. Therefore, the model-based analysis in this paper addresses where hydrogen will come from in a GHG-neutral target system. A scenario study examines different expansion paths of renewable energy generation technologies and variations in European cooperation regarding energy trading. The model results show that a domestic European hydrogen supply strategy is cost-efficient. This result is robust even with higher self-sufficiency shares of individual countries. However, delayed or restricted expansions of renewable electricity generation technologies lead to increased hydrogen demands for power generation and increased pipeline-bound hydrogen imports in winter from the Middle East and North Africa in the model results. Furthermore, scenarios with higher photovoltaic shares exhibit increased demand for hydrogen storage for seasonal energy supply and demand balancing and increased hydrogen demands for power generation. A cost-efficient hydrogen supply strategy should, therefore, particularly focus on the expansion of onshore wind energy and hydrogen supply technologies in </w:t>
      </w:r>
    </w:p>
    <w:p>
      <w:pPr/>
      <w:r>
        <w:rPr>
          <w:b/>
        </w:rPr>
        <w:t>POSSIBLE 2023:</w:t>
      </w:r>
      <w:r>
        <w:t xml:space="preserve"> Impact of Digital Transformation on the Spatial Organization of Nonfood Retail in a Russian City — https://doi.org/10.1134/s2079970523700910</w:t>
      </w:r>
    </w:p>
    <w:p>
      <w:pPr/>
      <w:r>
        <w:rPr>
          <w:b/>
        </w:rPr>
        <w:t>Shared claim-specific concepts:</w:t>
      </w:r>
      <w:r>
        <w:t xml:space="preserve"> nonfood, abstract; EU scope not established. This is a provisional connection, not an outcome finding.</w:t>
      </w:r>
    </w:p>
    <w:p>
      <w:pPr>
        <w:pStyle w:val="SourceNote"/>
      </w:pPr>
      <w:r>
        <w:rPr>
          <w:b/>
        </w:rPr>
        <w:t>Available abstract (not full text):</w:t>
      </w:r>
      <w:r>
        <w:t xml:space="preserve"> Abstract — The objective of this study is to reveal what has changed under the influence of digital transformation in the “physical” spatial structure of the retail/purchase process in connection with the emergence of a choice between online and offline “spaces,” or environments, as well as how e-commerce has changed the “physical” spatial principles of organizing nonfood retail in a Russian city with a case study of St. Petersburg. The principles of placement of new e-commerce facilities were analyzed by comparing various shopping models and spatiotemporal systems formed by them, including specific objects (warehouses-stores, warehouses-distributors, order pickup points and parcel terminals), features of interaction between retail actors and transport and logistics flows in the city. Two opposing trends in the placement of new types of retail facilities are described: towards the transfer of the trading function to non-trading premises and the transfer of the non-trading retail function to retail premises. They create spatial competition with traditional retail as well as a new hierarchical competition with office and warehouse business types. The trend towards retail infrastructure for durable goods to be within walking distance means the rollout of a new type of competition for locations: with FMCG sellers. The fact that in delivery the logistics of the “last mile” passes fr</w:t>
      </w:r>
    </w:p>
    <w:p>
      <w:pPr/>
      <w:r>
        <w:rPr>
          <w:b/>
        </w:rPr>
        <w:t>POSSIBLE 2022:</w:t>
      </w:r>
      <w:r>
        <w:t xml:space="preserve"> A review of product safety regulations in the European Union — https://doi.org/10.1365/s43439-022-00057-8</w:t>
      </w:r>
    </w:p>
    <w:p>
      <w:pPr/>
      <w:r>
        <w:rPr>
          <w:b/>
        </w:rPr>
        <w:t>Shared claim-specific concepts:</w:t>
      </w:r>
      <w:r>
        <w:t xml:space="preserve"> nonfood, technologies, union, based; EU scope visible. This is a provisional connection, not an outcome finding.</w:t>
      </w:r>
    </w:p>
    <w:p>
      <w:pPr>
        <w:pStyle w:val="SourceNote"/>
      </w:pPr>
      <w:r>
        <w:rPr>
          <w:b/>
        </w:rPr>
        <w:t>Available abstract (not full text):</w:t>
      </w:r>
      <w:r>
        <w:t xml:space="preserve"> Product safety has been a concern in Europe ever since the early 1960s. Despite the long and relatively stable historical lineage of product safety regulations, new technologies, changes in the world economy, and other major transformations have in recent years again brought product safety to the forefront of policy debates. As reforms are also underway, there is a motivation to review the complex safety policy framework in the European Union (EU). Thus, building on deliberative policy analysis and an interpretative literature review, this paper reviews the safety policy for nonfood consumer products in the EU. The review covers the historical background and the main laws, administration and enforcement, standardization and harmonization, laws enacted for specific products, notifications delivered by national safety authorities, recalls of dangerous products, and the liability of these. Based on the review and analysis of these themes and the associated literature, some current policy challenges are further discussed.</w:t>
      </w:r>
    </w:p>
    <w:p>
      <w:pPr/>
      <w:r>
        <w:rPr>
          <w:b/>
        </w:rPr>
        <w:t>POSSIBLE 2022:</w:t>
      </w:r>
      <w:r>
        <w:t xml:space="preserve"> Diversification, concentration and renewability of the energy supply in the European Union — https://doi.org/10.1016/j.energy.2022.124097</w:t>
      </w:r>
    </w:p>
    <w:p>
      <w:pPr/>
      <w:r>
        <w:rPr>
          <w:b/>
        </w:rPr>
        <w:t>Shared claim-specific concepts:</w:t>
      </w:r>
      <w:r>
        <w:t xml:space="preserve"> show, present, renewable, fuel, union; EU scope visible. This is a provisional connection, not an outcome finding.</w:t>
      </w:r>
    </w:p>
    <w:p>
      <w:pPr>
        <w:pStyle w:val="SourceNote"/>
      </w:pPr>
      <w:r>
        <w:rPr>
          <w:b/>
        </w:rPr>
        <w:t>Available abstract (not full text):</w:t>
      </w:r>
      <w:r>
        <w:t xml:space="preserve"> Energy security assessment quantifies the energy supply to a population and the likelihood, or risk, of an energy disruption or shortage and represents an important aspect of national security, economic stability and prosperity. The quantification of the state of energy supply is context-dependent and involves multiple perspectives: infrastructural, technological, environmental, market, social and geopolitical. Among all the different and relevant aspects involved, diversity and dependence of the energy fuel mix are two of the main energy security dimensions. The present paper investigates the diversification of the energy supply in Europe, by analysing import dependence, market concentration and renewable energy resource deployment in the European Union over the last decade. The analysis utilises a set of indicators aimed at measuring the fuel mix diversity, market concentration, geopolitical stability, renewable energy share and stochasticity - both at single country and at aggregated European levels. Results show a stable evolution of the diversity of the fuel mix and a relatively low market concentration of the period examined. However, the import dependency reduces the energy security by approximately 30% due to the high proportion of imports from a limited number of countries. Moreover, an increasing trend in renewable electricity production share is evident over the last</w:t>
      </w:r>
    </w:p>
    <w:p>
      <w:pPr/>
      <w:r>
        <w:rPr>
          <w:b/>
        </w:rPr>
        <w:t>POSSIBLE 2022:</w:t>
      </w:r>
      <w:r>
        <w:t xml:space="preserve"> A Review on Supply Costs and Prices of Residual Biomass in Techno-Economic Models for Europe — https://doi.org/10.3390/su14127473</w:t>
      </w:r>
    </w:p>
    <w:p>
      <w:pPr/>
      <w:r>
        <w:rPr>
          <w:b/>
        </w:rPr>
        <w:t>Shared claim-specific concepts:</w:t>
      </w:r>
      <w:r>
        <w:t xml:space="preserve"> show, provided, based; EU scope visible. This is a provisional connection, not an outcome finding.</w:t>
      </w:r>
    </w:p>
    <w:p>
      <w:pPr>
        <w:pStyle w:val="SourceNote"/>
      </w:pPr>
      <w:r>
        <w:rPr>
          <w:b/>
        </w:rPr>
        <w:t>Available abstract (not full text):</w:t>
      </w:r>
      <w:r>
        <w:t xml:space="preserve"> This review paper aims to investigate the supply costs and prices for biogenic residues, wastes and by-products for Europe that are used as key economic parameters for techno-economic analyses in the relevant literature. The scope of the paper is to show: (i) which information on costs and prices is used in techno-economic models; (ii) which sources these monetary values are based on; and (iii) whether these values are able to be compared and classified. The methodology employed in this review paper is a systematic evaluation of the supply costs and prices for residual biomass used as the basis for techno-economic analyses in the literature. Three evaluation criteria (COST TYPE, TIME PERIOD and COST SCOPE) are used to operationalise the scope of the delivery, the time frame and the spatial resolution of the monetary values. The pricing and cost variables UNIT and BIOMASS are also studied. The results show that the supply costs and pricing differ in terms of the units used, the scope of the delivery and the spatial scale, making it difficult to compare individual studies or transfer the findings to other use cases. The costs and pricing examined range from 0.00 EUR/Mg (dm) for “bio-waste from private households” to a regional value of 1097.02 EUR/Mg (dm) for “woody biomass from vineyards”. They are rarely based on cost calculations or price analyses over a period of several year</w:t>
      </w:r>
    </w:p>
    <w:p>
      <w:pPr/>
      <w:r>
        <w:rPr>
          <w:b/>
        </w:rPr>
        <w:t>POSSIBLE 2021:</w:t>
      </w:r>
      <w:r>
        <w:t xml:space="preserve"> An integrated life cycle and water footprint assessment of nonfood crops based bioenergy production — https://doi.org/10.1038/s41598-021-83061-y</w:t>
      </w:r>
    </w:p>
    <w:p>
      <w:pPr/>
      <w:r>
        <w:rPr>
          <w:b/>
        </w:rPr>
        <w:t>Shared claim-specific concepts:</w:t>
      </w:r>
      <w:r>
        <w:t xml:space="preserve"> nonfood, technologies, based; EU scope not established. This is a provisional connection, not an outcome finding.</w:t>
      </w:r>
    </w:p>
    <w:p>
      <w:pPr>
        <w:pStyle w:val="SourceNote"/>
      </w:pPr>
      <w:r>
        <w:rPr>
          <w:b/>
        </w:rPr>
        <w:t>Available abstract (not full text):</w:t>
      </w:r>
      <w:r>
        <w:t xml:space="preserve"> Biomass gasification, especially distribution to power generation, is considered as a promising way to tackle global energy and environmental challenges. However, previous researches on integrated analysis of the greenhouse gases (GHG) abatement potentials associated with biomass electrification are sparse and few have taken the freshwater utilization into account within a coherent framework, though both energy and water scarcity are lying in the central concerns in China's environmental policy. This study employs a Life cycle assessment (LCA) model to analyse the actual performance combined with water footprint (WF) assessment methods. The inextricable trade-offs between three representative energy-producing technologies are explored based on three categories of non-food crops (maize, sorghum and hybrid pennisetum) cultivated in marginal arable land. WF results demonstrate that the Hybrid pennisetum system has the largest impact on the water resources whereas the other two technology options exhibit the characteristics of environmental sustainability. The large variances in contribution ratio between the four sub-processes in terms of total impacts are reflected by the LCA results. The Anaerobic Digestion process is found to be the main contributor whereas the Digestate management process is shown to be able to effectively mitigate the negative environmental impacts with an ab</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increase, present;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r>
        <w:rPr>
          <w:b/>
        </w:rPr>
        <w:t>POSSIBLE 2021:</w:t>
      </w:r>
      <w:r>
        <w:t xml:space="preserve"> Mixing degree, stand density, and water supply can increase the overyielding of mixed versus monospecific stands in Central Europe — https://doi.org/10.1016/j.foreco.2021.119741</w:t>
      </w:r>
    </w:p>
    <w:p>
      <w:pPr/>
      <w:r>
        <w:rPr>
          <w:b/>
        </w:rPr>
        <w:t>Shared claim-specific concepts:</w:t>
      </w:r>
      <w:r>
        <w:t xml:space="preserve"> show, increase, based; EU scope visible. This is a provisional connection, not an outcome finding.</w:t>
      </w:r>
    </w:p>
    <w:p>
      <w:pPr>
        <w:pStyle w:val="SourceNote"/>
      </w:pPr>
      <w:r>
        <w:rPr>
          <w:b/>
        </w:rPr>
        <w:t>Available abstract (not full text):</w:t>
      </w:r>
      <w:r>
        <w:t xml:space="preserve"> Tree species mixtures can overyield monospecific stands and provide many other advantageous regulating and provisioning ecosystem services. So far, the effect of mixing on growth were mostly described at the individual tree level or cumulatively at the stand level. How overyielding emerges from the mixing pattern, how it is modulated by the current environmental conditions, and how overyielding develops with progressing stand age is largely unexplored. However, such knowledge might promote the silvicultural design of mixed stands. Here, we use 50 long-term experimental plots in Germany with repeated spatially explicit stand inventories. They cover monospecific and mixed species stands of Norway spruce (Picea abies [L.] Karst.) and European beech (Fagus sylvatica L.), sessile oak (Quercus petraea [Matt.] Liebl.) and European beech, and Scots pine (Pinus sylvestris L.) and European beech. The stands represent medium to very good site conditions, fully to moderately thinned 15–238 years-old stands with mixing patterns ranging from single-tree and group-mixture to monospecific stands. The main hypothesis is that mixing pattern, environmental conditions, and stand age modulate the stand growth and overyielding of mixed versus monospecific stands. Based on metrics of mixing the mixing pattern and indices of environmental conditions we show that mixed stands of European beech were on </w:t>
      </w:r>
    </w:p>
    <w:p>
      <w:pPr>
        <w:pStyle w:val="Heading2"/>
      </w:pPr>
      <w:r>
        <w:t>767.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Design anthropology as a design methodology — https://doi.org/10.4324/9781003343134-15</w:t>
      </w:r>
    </w:p>
    <w:p>
      <w:pPr/>
      <w:r>
        <w:rPr>
          <w:b/>
        </w:rPr>
        <w:t>Shared claim-specific concepts:</w:t>
      </w:r>
      <w:r>
        <w:t xml:space="preserve"> design, methodology, fields;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Determining design thinking elements in chemistry education: A Fuzzy Delphi method — https://doi.org/10.26850/1678-4618.eq.v50.2025.e1566</w:t>
      </w:r>
    </w:p>
    <w:p>
      <w:pPr/>
      <w:r>
        <w:rPr>
          <w:b/>
        </w:rPr>
        <w:t>Shared claim-specific concepts:</w:t>
      </w:r>
      <w:r>
        <w:t xml:space="preserve"> design, delphi, method, experts, findings; EU scope not established. This is a provisional connection, not an outcome finding.</w:t>
      </w:r>
    </w:p>
    <w:p>
      <w:pPr>
        <w:pStyle w:val="SourceNote"/>
      </w:pPr>
      <w:r>
        <w:rPr>
          <w:b/>
        </w:rPr>
        <w:t>Available abstract (not full text):</w:t>
      </w:r>
      <w:r>
        <w:t xml:space="preserve"> Creating a high-quality learning environment where students can solve real-world problems and be receptive is essential for fostering students’ innovation competencies. Using appropriate pedagogical strategies and classroom activities is a crucial aspect of Malaysian education. This article uses the Fuzzy Delphi Method (FDM) to design chemistry classroom teaching strategies based on the design thinking paradigm. This research involves 12 experts in purposive sampling to form a diverse panel encompassing expertise in Chemistry Education, Curriculum, Module Development, Research, and Innovation. Using the Fuzzy Delphi method (FDM), the data were analyzed. Four elements for exploratory constructs, two elements for construct interpretation, four elements for ideation, two elements for execution, and three elements for construct evolution met the FDM requirements, according to the findings. Its threshold value is less than 0.2, the expert consensus is less than 75%, and the average score of the fuzzy number is over 0.5. Encouraging design thinking in chemistry classes and thereby enhancing students’ innovation skills, this research unquestionably induces a paradigm shift in teaching practice.</w:t>
      </w:r>
    </w:p>
    <w:p>
      <w:pPr/>
      <w:r>
        <w:rPr>
          <w:b/>
        </w:rPr>
        <w:t>POSSIBLE 2024:</w:t>
      </w:r>
      <w:r>
        <w:t xml:space="preserve"> Methodologies for the design of positive energy districts: A scoping literature review and a proposal for a new approach (PlanPED) — https://doi.org/10.1016/j.buildenv.2024.111667</w:t>
      </w:r>
    </w:p>
    <w:p>
      <w:pPr/>
      <w:r>
        <w:rPr>
          <w:b/>
        </w:rPr>
        <w:t>Shared claim-specific concepts:</w:t>
      </w:r>
      <w:r>
        <w:t xml:space="preserve"> design, approach, then; EU scope visible. This is a provisional connection, not an outcome finding.</w:t>
      </w:r>
    </w:p>
    <w:p>
      <w:pPr>
        <w:pStyle w:val="SourceNote"/>
      </w:pPr>
      <w:r>
        <w:rPr>
          <w:b/>
        </w:rPr>
        <w:t>Available abstract (not full text):</w:t>
      </w:r>
      <w:r>
        <w:t xml:space="preserve"> Cities can substantially contribute to European Green Deal targets by accelerating their transition towards smarter, more efficient, and renewable-based energy models. In that context, European cities need to increase their self-sufficiency and the resilience of their energy system especially through the promotion of district and neighbourhood scale energy projects such as positive energy districts (PEDs). Despite the increasing interest for PEDs experienced in the last years, their deployment is currently hindered by the absence of an energy planning culture and the lack of adequately skilled personnel in cities. Indeed, there is a strong need for practical tools and guidelines that support practitioners in the design and implementation of PEDs. In that context, the present paper introduces PlanPED, a framework for the conception of methodologies for PED planning, design, and implementation, to support municipalities in their energy transition. PlanPED aims at providing a multiple perspective approach based on the most important elements from existing methodologies. In that sense, the paper begins with an overview of the state of the art, leading to the identification of trends, gaps, and good practices of current research. Then, based on this analysis, the novel framework PlanPED is introduced. It consists of three interconnected workflows that, if followed, enables to know w</w:t>
      </w:r>
    </w:p>
    <w:p>
      <w:pPr/>
      <w:r>
        <w:rPr>
          <w:b/>
        </w:rPr>
        <w:t>POSSIBLE 2024:</w:t>
      </w:r>
      <w:r>
        <w:t xml:space="preserve"> A Methodology for Intercultural Design — https://doi.org/10.30682/diid8224j</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Issues concerning integration and the relations between different ethnic groups within a changing contemporary society are becoming increasingly prominent in the social and scientific debate. Design skills can be employed as a tool to systematise this multiplicity, promoting innovation that respects diversity, comparison, and interaction between people and cultures. The purpose of this paper is to provide a synthesis of a research experience, the development of a new Islamic Cultural Centre in the city of Turin (Italy), in which the intercultural design approach constitutes the founding theoretical and methodological basis for the development of the project. Starting from the analysis of experiences developed in the field of national and international research, the authors developed a methodological approach to the theme of designing to promote intercultural dialogue, furthermore establishing collaboration agreements with local authorities for the development of the Cultural Centre.</w:t>
      </w:r>
    </w:p>
    <w:p>
      <w:pPr/>
      <w:r>
        <w:rPr>
          <w:b/>
        </w:rPr>
        <w:t>POSSIBLE 2023:</w:t>
      </w:r>
      <w:r>
        <w:t xml:space="preserve"> Design displacement for lifelines at fault crossings: the code-based approach for Europe — https://doi.org/10.1007/s10518-023-01813-9</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Abstract The earthquake-resistant design of lifelines, such as pipelines, tunnels and bridges, is based on the reliable representation and estimation of the seismic loading. In the case of lifeline–fault crossings, the design fault displacement is typically derived from estimates based on fault dimensions via empirical fault scaling relations for a given “design” scenario event. This approach comes with an unknown level of safety because the fault productivity and the actual distribution of earthquake events are essentially disregarded. To overcome this challenge, a simplified approach is proposed by statistically analyzing the outcome of probabilistic fault displacement hazard analyses (PFDHAs). A selection of faults from the 2020 European Fault-Source Model is used to build the logic tree and to set the range of parameters considered in the PFDHAs. The methodology allows the (mostly conservative) approximation of the fault displacement corresponding to any given return period based on readily available data, namely fault productivity, fault mechanism, fault length, and lifeline crossing location on the fault. The proposed methodology has been proposed and adopted as an informative Annex in prEN 1998-4:2022.</w:t>
      </w:r>
    </w:p>
    <w:p>
      <w:pPr/>
      <w:r>
        <w:rPr>
          <w:b/>
        </w:rPr>
        <w:t>POSSIBLE 2023:</w:t>
      </w:r>
      <w:r>
        <w:t xml:space="preserve"> A Novel Integrated Design Methodology for Nature-Based Solutions and Soil and Water Bioengineering Interventions: The Tardio&amp;Mickovski Methodology — https://doi.org/10.3390/su15043044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A methodology for designing nature-based solutions (NBS) and soil and water bioengineering (SWB) works is proposed which includes the main particularities of this type of intervention. The dynamic nature of NBS/SWB works, their most important changes and possible critical scenarios are reflected in the proposed methodology. A clear and practical time framework for design checks is also defined. Existing structural design routines and plant root reinforcement models are integrated into the proposed time staged scheme. Likewise, the connections with the monitoring stage and the possibilities of continuous improvement are incorporated as an essential characteristic of the approach of this type of intervention. The proposed methodology is validated by means of a practical case study example embracing the whole service life of an SWB/NBS intervention. The obtained results are in good agreement with both the accumulated experience within the European SWB sector and the existing data collected in SWB monitoring works. The proposed methodology can be readily implemented in a wide range of nature restoration projects and works.</w:t>
      </w:r>
    </w:p>
    <w:p>
      <w:pPr/>
      <w:r>
        <w:rPr>
          <w:b/>
        </w:rPr>
        <w:t>POSSIBLE 2023:</w:t>
      </w:r>
      <w:r>
        <w:t xml:space="preserve"> Methodological approach for an Atlas of architectural design in built heritage: contributions of the School of Porto — https://doi.org/10.1108/jchmsd-08-2023-0131</w:t>
      </w:r>
    </w:p>
    <w:p>
      <w:pPr/>
      <w:r>
        <w:rPr>
          <w:b/>
        </w:rPr>
        <w:t>Shared claim-specific concepts:</w:t>
      </w:r>
      <w:r>
        <w:t xml:space="preserve"> design, methodology, approach, findings; EU scope visible. This is a provisional connection, not an outcome finding.</w:t>
      </w:r>
    </w:p>
    <w:p>
      <w:pPr>
        <w:pStyle w:val="SourceNote"/>
      </w:pPr>
      <w:r>
        <w:rPr>
          <w:b/>
        </w:rPr>
        <w:t>Available abstract (not full text):</w:t>
      </w:r>
      <w:r>
        <w:t xml:space="preserve"> Purpose This research seeks to provide methodological bases for the identification, documentation and critical reflection of good practices of architectural design in built heritage. These are applied explicitly to the School of Porto architects, which express a high sense of pedagogy and community practice in this field. The methodological approach defines the selection criteria for a georeferenced inventory and the procedures for in-depth analysis of adaptive reuse strategies. Design/methodology/approach The works included in the inventory were selected according to geographical, chronological, typological, qualitative and quantitative criteria. The cases chosen for in-depth analysis have been studied along four thematic axes to dissect all the intervention processes (previous state, design/construction and final state). This approach is supported by a cross-analysis of different sources (oral, written, graphic) and using drawing as a fundamental research tool. Findings The research has collected and disseminated up to 150 works by 44 architects, providing a comprehensive portrait of heritage intervention by the School of Porto over the past decades. The selection of 22 buildings for in-depth documentation reveals a particular sensibility toward the cultural values through a case-by-case approach based in deep knowledge of the preexisting context and the introduction of conte</w:t>
      </w:r>
    </w:p>
    <w:p>
      <w:pPr/>
      <w:r>
        <w:rPr>
          <w:b/>
        </w:rPr>
        <w:t>POSSIBLE 2023:</w:t>
      </w:r>
      <w:r>
        <w:t xml:space="preserve"> Delphi Method — https://doi.org/10.54120/jost.0000014</w:t>
      </w:r>
    </w:p>
    <w:p>
      <w:pPr/>
      <w:r>
        <w:rPr>
          <w:b/>
        </w:rPr>
        <w:t>Shared claim-specific concepts:</w:t>
      </w:r>
      <w:r>
        <w:t xml:space="preserve"> approach, delphi, method, anonymous, experts; EU scope not established. This is a provisional connection, not an outcome finding.</w:t>
      </w:r>
    </w:p>
    <w:p>
      <w:pPr>
        <w:pStyle w:val="SourceNote"/>
      </w:pPr>
      <w:r>
        <w:rPr>
          <w:b/>
        </w:rPr>
        <w:t>Available abstract (not full text):</w:t>
      </w:r>
      <w:r>
        <w:t xml:space="preserve"> In this chapter the Delphi method, a dialectical and consensus seeking approach, is applied to management research in ambiguous and uncertain situations. The Delphi method is essentially a process in which responses from many rounds of questions are sent to a group of leaders or experts. This happens for several iterations, and the responses are anonymous and also aggregated prior to sharing in each round. Notably, the leaders/ experts alter their response to the same questions after each round - largely due to the responses they have seen from the larger group. In sum, this process is believed to eventually create consensus as to the correct response for each question.</w:t>
      </w:r>
    </w:p>
    <w:p>
      <w:pPr/>
      <w:r>
        <w:rPr>
          <w:b/>
        </w:rPr>
        <w:t>POSSIBLE 2023:</w:t>
      </w:r>
      <w:r>
        <w:t xml:space="preserve"> RAND Methodological Guidance for Conducting and Critically Appraising Delphi Panels — https://doi.org/10.7249/tla3082-1</w:t>
      </w:r>
    </w:p>
    <w:p>
      <w:pPr/>
      <w:r>
        <w:rPr>
          <w:b/>
        </w:rPr>
        <w:t>Shared claim-specific concepts:</w:t>
      </w:r>
      <w:r>
        <w:t xml:space="preserve"> delphi, method, anonymous; EU scope not established. This is a provisional connection, not an outcome finding.</w:t>
      </w:r>
    </w:p>
    <w:p>
      <w:pPr>
        <w:pStyle w:val="SourceNote"/>
      </w:pPr>
      <w:r>
        <w:rPr>
          <w:b/>
        </w:rPr>
        <w:t>Available abstract (not full text):</w:t>
      </w:r>
      <w:r>
        <w:t xml:space="preserve"> The Delphi method is an iterative, anonymous, structured, expert elicitation and stakeholder engagement technique often used to generate a group consensus. This manual provides methodological guidance and practical advice for what to consider when designing, implementing, and reporting Delphi panel results. It also includes the Delphi Critical Appraisal Tool, a checklist that researchers can use to assess a Delphi study's quality.</w:t>
      </w:r>
    </w:p>
    <w:p>
      <w:pPr/>
      <w:r>
        <w:rPr>
          <w:b/>
        </w:rPr>
        <w:t>POSSIBLE 2022:</w:t>
      </w:r>
      <w:r>
        <w:t xml:space="preserve"> Co-Design of Augmented Reality Games for Learning with Teachers: A methodological approach — https://doi.org/10.21203/rs.3.rs-1988443/v1</w:t>
      </w:r>
    </w:p>
    <w:p>
      <w:pPr/>
      <w:r>
        <w:rPr>
          <w:b/>
        </w:rPr>
        <w:t>Shared claim-specific concepts:</w:t>
      </w:r>
      <w:r>
        <w:t xml:space="preserve"> design, approach, method, relevant; EU scope not established. This is a provisional connection, not an outcome finding.</w:t>
      </w:r>
    </w:p>
    <w:p>
      <w:pPr>
        <w:pStyle w:val="SourceNote"/>
      </w:pPr>
      <w:r>
        <w:rPr>
          <w:b/>
        </w:rPr>
        <w:t>Available abstract (not full text):</w:t>
      </w:r>
      <w:r>
        <w:t xml:space="preserve"> Abstract Augmented Reality Game-Based Learning (ARGBL) is becoming increasingly relevant in Technology-Enhanced Learning. Games with AR characteristics, or even AR applications structured with rules and game elements, are proving to be effective and successful learning experiences. There is a need to include teachers in the design, development and implementation process as to make it more effective. In this paper, two case studies where 6 teachers participated are shown in order to validate a methodological approach for the co-design of ARGBL. This is a co-design method that proposes a thorough, iterative process guided by design principles and mediated by dialogue between the stakeholders. Here, the process of co-design with teachers is analyzed and assessed using mixed-methods observations on the use of the produced ARGBL games with students on naturalistic environments. The validation process links the usefulness of the ensuing products with the use of the method and shows the benefits of using co-design methods to create ARGBL experiences.</w:t>
      </w:r>
    </w:p>
    <w:p>
      <w:pPr>
        <w:pStyle w:val="Heading2"/>
      </w:pPr>
      <w:r>
        <w:t>768.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r>
        <w:rPr>
          <w:b/>
        </w:rPr>
        <w:t>POSSIBLE 2023:</w:t>
      </w:r>
      <w:r>
        <w:t xml:space="preserve"> Exploring European regional trade — https://doi.org/10.82444/warw.33858340</w:t>
      </w:r>
    </w:p>
    <w:p>
      <w:pPr/>
      <w:r>
        <w:rPr>
          <w:b/>
        </w:rPr>
        <w:t>Shared claim-specific concepts:</w:t>
      </w:r>
      <w:r>
        <w:t xml:space="preserve"> also, important, national; EU scope visible. This is a provisional connection, not an outcome finding.</w:t>
      </w:r>
    </w:p>
    <w:p>
      <w:pPr>
        <w:pStyle w:val="SourceNote"/>
      </w:pPr>
      <w:r>
        <w:rPr>
          <w:b/>
        </w:rPr>
        <w:t>Available abstract (not full text):</w:t>
      </w:r>
      <w:r>
        <w:t xml:space="preserve"> We use the new dataset of trade flows across 269 European regions in 24 countries constructed in Santamaría et al. (2020) to systematically explore for the first time trade patterns within and across country borders. We focus on the differences between home trade, country trade and foreign trade. We document the following facts: (i) European regional trade has a strong home and country bias, (ii) geographic distance and national borders are important determinants of regional trade, but cannot explain the strong regional home bias and (iii) the home bias is heterogeneous across regions and seems to be driven by political regional borders. This paper also appears as CAGE Discussion paper 650</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also, system, high;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also, deployment, energy;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policies, both, national;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r>
        <w:rPr>
          <w:b/>
        </w:rPr>
        <w:t>POSSIBLE 2022:</w:t>
      </w:r>
      <w:r>
        <w:t xml:space="preserve"> European Green Deal necropolitics: Exploring ‘green’ energy transition, degrowth &amp; infrastructural colonization — https://doi.org/10.1016/j.polgeo.2022.102640</w:t>
      </w:r>
    </w:p>
    <w:p>
      <w:pPr/>
      <w:r>
        <w:rPr>
          <w:b/>
        </w:rPr>
        <w:t>Shared claim-specific concepts:</w:t>
      </w:r>
      <w:r>
        <w:t xml:space="preserve"> also, important, deployment, renewable, energy; EU scope visible. This is a provisional connection, not an outcome finding.</w:t>
      </w:r>
    </w:p>
    <w:p>
      <w:pPr>
        <w:pStyle w:val="SourceNote"/>
      </w:pPr>
      <w:r>
        <w:rPr>
          <w:b/>
        </w:rPr>
        <w:t>Available abstract (not full text):</w:t>
      </w:r>
      <w:r>
        <w:t xml:space="preserve">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pPr/>
      <w:r>
        <w:rPr>
          <w:b/>
        </w:rPr>
        <w:t>POSSIBLE 2021:</w:t>
      </w:r>
      <w:r>
        <w:t xml:space="preserve"> Social Investment, Redistribution or Basic Income? Exploring the Association Between Automation Risk and Welfare State Attitudes in Europe — https://doi.org/10.1017/s0047279421000519</w:t>
      </w:r>
    </w:p>
    <w:p>
      <w:pPr/>
      <w:r>
        <w:rPr>
          <w:b/>
        </w:rPr>
        <w:t>Shared claim-specific concepts:</w:t>
      </w:r>
      <w:r>
        <w:t xml:space="preserve"> also, policies; EU scope visible. This is a provisional connection, not an outcome finding.</w:t>
      </w:r>
    </w:p>
    <w:p>
      <w:pPr>
        <w:pStyle w:val="SourceNote"/>
      </w:pPr>
      <w:r>
        <w:rPr>
          <w:b/>
        </w:rPr>
        <w:t>Available abstract (not full text):</w:t>
      </w:r>
      <w:r>
        <w:t xml:space="preserve"> Abstract Rapid technological change – the digitalization and automation of work – is challenging contemporary welfare states. Most of the existing research, however, focuses on its effect on labor market outcomes, such as employment or wage levels. In contrast, this paper studies the implications of technological change for welfare state attitudes and preferences. Compared to previous work on this topic, this paper adopts a much broader perspective regarding different kinds of social policy. Using data from the European Social Survey, we find that individual automation risk is positively associated with support for redistribution, but negatively with support for social investment policies (partly depending on the specific measure of automation risk that is used), while there is no statistically significant association with support for basic income. We also find a moderating effect of the overall size of the welfare state on the micro-level association between risk and preferences.</w:t>
      </w:r>
    </w:p>
    <w:p>
      <w:pPr/>
      <w:r>
        <w:rPr>
          <w:b/>
        </w:rPr>
        <w:t>POSSIBLE 2020:</w:t>
      </w:r>
      <w:r>
        <w:t xml:space="preserve"> Exploring Young Europeans’ Homeownership Opportunities — https://doi.org/10.13060/23362839.2020.7.1.506</w:t>
      </w:r>
    </w:p>
    <w:p>
      <w:pPr/>
      <w:r>
        <w:rPr>
          <w:b/>
        </w:rPr>
        <w:t>Shared claim-specific concepts:</w:t>
      </w:r>
      <w:r>
        <w:t xml:space="preserve"> also, explores, important, policies; EU scope visible. This is a provisional connection, not an outcome finding.</w:t>
      </w:r>
    </w:p>
    <w:p>
      <w:pPr>
        <w:pStyle w:val="SourceNote"/>
      </w:pPr>
      <w:r>
        <w:rPr>
          <w:b/>
        </w:rPr>
        <w:t>Available abstract (not full text):</w:t>
      </w:r>
      <w:r>
        <w:t xml:space="preserve"> Even before the 2008/9-crisis but certainly afterwards, trends in labour, housing and mortgage markets combined with welfare reform, making it more difficult for each new cohort of young Europeans (25-34) to complete the transition to ‘residential independence’, particularly to become a homeowner. This paper explores ‘trends in homeownership opportunities’, using data from EU-SILC (2005-2018). It takes a broader perspective by exploring trends in its social selectivity, as well as changes in the ‘attributes’ of homeownership over time. Young adults’ homeownership opportunities have declined almost everywhere in Europe, but to varying extents. Furthermore, a more socially selective group of young homeowners seems to be entering properties of lower quality in locations with fewer services. Deteriorating homeownership opportunities are strongly associated with mortgage lending restrictions, indicating that trends in housing and broader financial markets/policies are important explanatory factors. I also find indications that the transition to homeownership is being pushed beyond the commonly-used age-threshold of 34 years.</w:t>
      </w:r>
    </w:p>
    <w:p>
      <w:pPr>
        <w:pStyle w:val="Heading2"/>
      </w:pPr>
      <w:r>
        <w:t>769.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2024:</w:t>
      </w:r>
      <w:r>
        <w:t xml:space="preserve"> Learning Transitions in Studying Development: Design, Methodologies/Approaches, Tools in the Digital and Hybrid Platforms — https://doi.org/10.58887/ijodel.v10i1.254</w:t>
      </w:r>
    </w:p>
    <w:p>
      <w:pPr/>
      <w:r>
        <w:rPr>
          <w:b/>
        </w:rPr>
        <w:t>Shared claim-specific concepts:</w:t>
      </w:r>
      <w:r>
        <w:t xml:space="preserve"> design, hybrid, methodologies, but; EU scope not established. This is a provisional connection, not an outcome finding.</w:t>
      </w:r>
    </w:p>
    <w:p>
      <w:pPr>
        <w:pStyle w:val="SourceNote"/>
      </w:pPr>
      <w:r>
        <w:rPr>
          <w:b/>
        </w:rPr>
        <w:t>Available abstract (not full text):</w:t>
      </w:r>
      <w:r>
        <w:t xml:space="preserve"> Post-pandemic realities paved the way for certain innovative learning approaches to address the risks associated with traditional educational settings, inefficiencies in mobility, limited access to facilities and resources, and vulnerability to disease of student and teaching population, among others. Learning interactions in digital space remain to be further explored, requiring adjustments in the design of courses, pedagogical approaches, methodologies, and tools employed. The adjustments were seen as imperative at all levels of education and across mainstream fields of studies but even more pronounced, in multidisciplinary and interdisciplinary research study areas, such as Development Studies. Development research underwent learning transitions to retain its relevance as an important academic field. The combined online and in-site learning settings still have effective and efficient modalities of studying development, as argued in prevailing literature. This paper aims to find rationality in course design and structure, given the learners’ background and academic program tracks, as well as the teaching tools and instruments necessary in a combined learning modality. The challenge is how learners can be more engaged in discussions and provide participatory feedback. Another objective of this work is to provide documented experience of the issues and challenges in hybrid plat</w:t>
      </w:r>
    </w:p>
    <w:p>
      <w:pPr/>
      <w:r>
        <w:rPr>
          <w:b/>
        </w:rPr>
        <w:t>POSSIBLE 2024:</w:t>
      </w:r>
      <w:r>
        <w:t xml:space="preserve"> Using a co-design methodological approach to optimize perioperative nursing care for older adult patients from ethnically diverse backgrounds: a study protocol — https://doi.org/10.1080/17482631.2024.2349438</w:t>
      </w:r>
    </w:p>
    <w:p>
      <w:pPr/>
      <w:r>
        <w:rPr>
          <w:b/>
        </w:rPr>
        <w:t>Shared claim-specific concepts:</w:t>
      </w:r>
      <w:r>
        <w:t xml:space="preserve"> methodology, approach, findings; EU scope not established. This is a provisional connection, not an outcome finding.</w:t>
      </w:r>
    </w:p>
    <w:p>
      <w:pPr>
        <w:pStyle w:val="SourceNote"/>
      </w:pPr>
      <w:r>
        <w:rPr>
          <w:b/>
        </w:rPr>
        <w:t>Available abstract (not full text):</w:t>
      </w:r>
      <w:r>
        <w:t xml:space="preserve"> This article outlines the use of a co-design methodological approach aimed at optimizing perioperative care experiences for ethnically diverse older adults and their family carers. The research involved three phases. In Phase 1, the foundation was established with the formation of a Core Advisory Group comprising key informants, including health consumers. This initial phase focused on forming relationships and conducting a literature review to inform subsequent stages of the research. Phase 2 progressed to data collection, where a qualitative survey on perioperative experiences was conducted. Semi-structured interviews were held with patients, their family carers, and perioperative staff. Phase 3 advanced the co-design process through a workshop involving patients, family carers, perioperative staff, and key stakeholders. Workshop participants collaborated on potential practice changes, proposing strategies for future clinical implementation. While data analysis and reporting for Phases 2 and 3 are forthcoming, the continued involvement of the Core Advisory Group ensures ongoing consensus-building on health consumer needs. This methodology article adopts a prospective stance, with findings to be presented in subsequent scholarly works. Use of this methodology will help to determine how the use of a co-design approach may impact the development of culturally responsive perioper</w:t>
      </w:r>
    </w:p>
    <w:p>
      <w:pPr/>
      <w:r>
        <w:rPr>
          <w:b/>
        </w:rPr>
        <w:t>POSSIBLE 2024:</w:t>
      </w:r>
      <w:r>
        <w:t xml:space="preserve"> A design methodology based approach for robotic gripper design — https://openalex.org/W4391710302</w:t>
      </w:r>
    </w:p>
    <w:p>
      <w:pPr/>
      <w:r>
        <w:rPr>
          <w:b/>
        </w:rPr>
        <w:t>Shared claim-specific concepts:</w:t>
      </w:r>
      <w:r>
        <w:t xml:space="preserve"> design, methodology, approach, based; EU scope not established. This is a provisional connection, not an outcome finding.</w:t>
      </w:r>
    </w:p>
    <w:p>
      <w:pPr>
        <w:pStyle w:val="SourceNote"/>
      </w:pPr>
      <w:r>
        <w:rPr>
          <w:b/>
        </w:rPr>
        <w:t>Available abstract (not full text):</w:t>
      </w:r>
      <w:r>
        <w:t xml:space="preserve"> Abstract Not Provided</w:t>
      </w:r>
    </w:p>
    <w:p>
      <w:pPr/>
      <w:r>
        <w:rPr>
          <w:b/>
        </w:rPr>
        <w:t>POSSIBLE 2024:</w:t>
      </w:r>
      <w:r>
        <w:t xml:space="preserve"> Exploring a Material-Focused Design Methodology: An Innovative Approach to Pressure Vessel Design — https://doi.org/10.3390/machines12010081</w:t>
      </w:r>
    </w:p>
    <w:p>
      <w:pPr/>
      <w:r>
        <w:rPr>
          <w:b/>
        </w:rPr>
        <w:t>Shared claim-specific concepts:</w:t>
      </w:r>
      <w:r>
        <w:t xml:space="preserve"> design, methodology, approach, based, industrial, methodologies; EU scope not established. This is a provisional connection, not an outcome finding.</w:t>
      </w:r>
    </w:p>
    <w:p>
      <w:pPr>
        <w:pStyle w:val="SourceNote"/>
      </w:pPr>
      <w:r>
        <w:rPr>
          <w:b/>
        </w:rPr>
        <w:t>Available abstract (not full text):</w:t>
      </w:r>
      <w:r>
        <w:t xml:space="preserve"> The design of components and elements comprising industrial machinery, as well as those that are part of an industrial system, has been carried out in recent years using various design methodologies. Currently, the products demanded by customers, as well as the needs of different companies, governments, and individuals, require considerations beyond traditional design, including multidisciplinary aspects such as sustainability, environmental friendliness, and circular economy. The design methodologies considered for this study are the quality function deployment (QFD) methodology, the theory of inventive problem-solving methodology, Ashby’s Materials Selection methodology, and the systematic approach methodology, which are currently the main design methodologies. These methodologies present some disadvantages, such as multidisciplinary requirements not being considered directly, the selection of materials based on standards is not well established, and obtaining technical requirements is ambiguous for the technical purposes of the design or manufacturing, and the designer’s experience in these examples is important to the design process and the development of the product. For these reasons, the traditional design methodologies are presented, next, a new design methodology is proposed and described, then a case study is performed in order to compare the proposed methodology with</w:t>
      </w:r>
    </w:p>
    <w:p>
      <w:pPr/>
      <w:r>
        <w:rPr>
          <w:b/>
        </w:rPr>
        <w:t>POSSIBLE 2024:</w:t>
      </w:r>
      <w:r>
        <w:t xml:space="preserve"> Methodology for Colour Selection with Semantic Content in Product Design — https://doi.org/10.1007/978-3-031-51623-8_64</w:t>
      </w:r>
    </w:p>
    <w:p>
      <w:pPr/>
      <w:r>
        <w:rPr>
          <w:b/>
        </w:rPr>
        <w:t>Shared claim-specific concepts:</w:t>
      </w:r>
      <w:r>
        <w:t xml:space="preserve"> design, methodology, content;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A Methodology for Intercultural Design — https://doi.org/10.30682/diid8224j</w:t>
      </w:r>
    </w:p>
    <w:p>
      <w:pPr/>
      <w:r>
        <w:rPr>
          <w:b/>
        </w:rPr>
        <w:t>Shared claim-specific concepts:</w:t>
      </w:r>
      <w:r>
        <w:t xml:space="preserve"> design, methodology, approach, national; EU scope visible. This is a provisional connection, not an outcome finding.</w:t>
      </w:r>
    </w:p>
    <w:p>
      <w:pPr>
        <w:pStyle w:val="SourceNote"/>
      </w:pPr>
      <w:r>
        <w:rPr>
          <w:b/>
        </w:rPr>
        <w:t>Available abstract (not full text):</w:t>
      </w:r>
      <w:r>
        <w:t xml:space="preserve"> Issues concerning integration and the relations between different ethnic groups within a changing contemporary society are becoming increasingly prominent in the social and scientific debate. Design skills can be employed as a tool to systematise this multiplicity, promoting innovation that respects diversity, comparison, and interaction between people and cultures. The purpose of this paper is to provide a synthesis of a research experience, the development of a new Islamic Cultural Centre in the city of Turin (Italy), in which the intercultural design approach constitutes the founding theoretical and methodological basis for the development of the project. Starting from the analysis of experiences developed in the field of national and international research, the authors developed a methodological approach to the theme of designing to promote intercultural dialogue, furthermore establishing collaboration agreements with local authorities for the development of the Cultural Centre.</w:t>
      </w:r>
    </w:p>
    <w:p>
      <w:pPr/>
      <w:r>
        <w:rPr>
          <w:b/>
        </w:rPr>
        <w:t>POSSIBLE 2024:</w:t>
      </w:r>
      <w:r>
        <w:t xml:space="preserve"> A territorial design toolbox for metropolitan public space — https://doi.org/10.4324/9781003408611-27</w:t>
      </w:r>
    </w:p>
    <w:p>
      <w:pPr/>
      <w:r>
        <w:rPr>
          <w:b/>
        </w:rPr>
        <w:t>Shared claim-specific concepts:</w:t>
      </w:r>
      <w:r>
        <w:t xml:space="preserve"> design, approach, content; EU scope not established. This is a provisional connection, not an outcome finding.</w:t>
      </w:r>
    </w:p>
    <w:p>
      <w:pPr>
        <w:pStyle w:val="SourceNote"/>
      </w:pPr>
      <w:r>
        <w:rPr>
          <w:b/>
        </w:rPr>
        <w:t>Available abstract (not full text):</w:t>
      </w:r>
      <w:r>
        <w:t xml:space="preserve"> This chapter synthesises the prospective and propositive content of MetroPublicNet&amp;s;s research. It is directly linked with the project&amp;s;s central hypothesis that a Metropolitan Public Space Network strategy could be seen as a politically and technically robust tool to address sustainable urban development challenges. For that, a methodological approach to imagine, discuss, and strategically envision such network is outlined as a territorial design toolbox. The chapter is concluded with a selection of forward-looking, design-oriented forays developed at part of MetroPublicNet&amp;s;s academic partnering in urban and landscape design studios, workshops, and curricular units.</w:t>
      </w:r>
    </w:p>
    <w:p>
      <w:pPr/>
      <w:r>
        <w:rPr>
          <w:b/>
        </w:rPr>
        <w:t>POSSIBLE 2024:</w:t>
      </w:r>
      <w:r>
        <w:t xml:space="preserve"> Developing public health surveillance dashboards: a scoping review on the design principles — https://doi.org/10.1186/s12889-024-17841-2</w:t>
      </w:r>
    </w:p>
    <w:p>
      <w:pPr/>
      <w:r>
        <w:rPr>
          <w:b/>
        </w:rPr>
        <w:t>Shared claim-specific concepts:</w:t>
      </w:r>
      <w:r>
        <w:t xml:space="preserve"> design, methodology, based, content, national, findings; EU scope not established. This is a provisional connection, not an outcome finding.</w:t>
      </w:r>
    </w:p>
    <w:p>
      <w:pPr>
        <w:pStyle w:val="SourceNote"/>
      </w:pPr>
      <w:r>
        <w:rPr>
          <w:b/>
        </w:rPr>
        <w:t>Available abstract (not full text):</w:t>
      </w:r>
      <w:r>
        <w:t xml:space="preserve"> BACKGROUND: Public Health Dashboards (PHDs) facilitate the monitoring and prediction of disease outbreaks by continuously monitoring the health status of the community. This study aimed to identify design principles and determinants for developing public health surveillance dashboards. METHODOLOGY: This scoping review is based on Arksey and O'Malley's framework as included in JBI guidance. Four databases were used to review and present the proposed principles of designing PHDs: IEEE, PubMed, Web of Science, and Scopus. We considered articles published between January 1, 2010 and November 30, 2022. The final search of articles was done on November 30, 2022. Only articles in the English language were included. Qualitative synthesis and trend analysis were conducted. RESULTS: Findings from sixty-seven articles out of 543 retrieved articles, which were eligible for analysis, indicate that most of the dashboards designed from 2020 onwards were at the national level for managing and monitoring COVID-19. Design principles for the public health dashboard were presented in five groups, i.e., considering aim and target users, appropriate content, interface, data analysis and presentation types, and infrastructure. CONCLUSION: Effective and efficient use of dashboards in public health surveillance requires implementing design principles to improve the functionality of these systems in mon</w:t>
      </w:r>
    </w:p>
    <w:p>
      <w:pPr>
        <w:pStyle w:val="Heading2"/>
      </w:pPr>
      <w:r>
        <w:t>770.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2024:</w:t>
      </w:r>
      <w:r>
        <w:t xml:space="preserve"> Editorial: European Optical Society Annual Meeting (EOSAM) 2023 — https://doi.org/10.1051/jeos/2024037</w:t>
      </w:r>
    </w:p>
    <w:p>
      <w:pPr/>
      <w:r>
        <w:rPr>
          <w:b/>
        </w:rPr>
        <w:t>Shared claim-specific concepts:</w:t>
      </w:r>
      <w:r>
        <w:t xml:space="preserve"> organized, meetings, experts, three, challenges, between; EU scope visible. This is a provisional connection, not an outcome finding.</w:t>
      </w:r>
    </w:p>
    <w:p>
      <w:pPr>
        <w:pStyle w:val="SourceNote"/>
      </w:pPr>
      <w:r>
        <w:rPr>
          <w:b/>
        </w:rPr>
        <w:t>Available abstract (not full text):</w:t>
      </w:r>
      <w:r>
        <w:t xml:space="preserve"> The European Optical Society Annual Meeting, EOSAM, covers all aspects of optics and photonics within several topical meetings and sessions.The 11th EOSAM was organized by EOS and SFO onsite in Dijon, France, at the Dijon Exhibition and Convention Center, 11-15 September 2023.It was attended by over 500 researchers, key leaders, students, and industry experts from over 34 different countries all over the world.The event provided a comprehensive overview of cutting-edge research in optics and photonics, from fundamental to applied, and of industrial developments through more than 420 presentations in 10 thematic sessions highlighting the most innovative and emerging research, including: silicon photonics and integrated optics, adaptive and freeform optics, biophotonics, nanophotonics, optical materials, nonlinear and quantum optics, optical frequency combs, ultrafast optics, optoelectronic nanotechnologies and microsystems, and optics applications.Four focused sessions completed the panorama: specialty optical fibers, structured light, chiroptical phenomena, machine-learning for optics and photonic computing for Artificial Intelligence (AI).This annual international congress highlighted the richness and vigor of all the optics sectors in France, Europe and the rest of the world.An industrial session dedicated to technological innovations was complemented by an exhibition area fo</w:t>
      </w:r>
    </w:p>
    <w:p>
      <w:pPr/>
      <w:r>
        <w:rPr>
          <w:b/>
        </w:rPr>
        <w:t>POSSIBLE 2024:</w:t>
      </w:r>
      <w:r>
        <w:t xml:space="preserve"> Biodiversity monitoring in Europe: User and policy needs — https://doi.org/10.1111/conl.13038</w:t>
      </w:r>
    </w:p>
    <w:p>
      <w:pPr/>
      <w:r>
        <w:rPr>
          <w:b/>
        </w:rPr>
        <w:t>Shared claim-specific concepts:</w:t>
      </w:r>
      <w:r>
        <w:t xml:space="preserve"> experts, engagement, challenges, four, identified; EU scope visible. This is a provisional connection, not an outcome finding.</w:t>
      </w:r>
    </w:p>
    <w:p>
      <w:pPr>
        <w:pStyle w:val="SourceNote"/>
      </w:pPr>
      <w:r>
        <w:rPr>
          <w:b/>
        </w:rPr>
        <w:t>Available abstract (not full text):</w:t>
      </w:r>
      <w:r>
        <w:t xml:space="preserve"> Abstract To achieve the goals of the 2030 Global Biodiversity Framework, the European Biodiversity Strategy, and the EU Green Deal, biodiversity monitoring is critical. Monitoring efforts in Europe, however, suffer from gaps and biases in taxonomy, spatial coverage, and temporal resolution, resulting in fragmented and disconnected data. To assess user and policy needs in biodiversity monitoring, we employed a four‐step user‐centered stakeholder engagement process with over 300 stakeholders including a public stakeholder workshop, online survey, interviews, and a meeting with experts from 18 EU member states, the European Commission, and the European Environment Agency. The stakeholders identified policy needs, current challenges, and potential solutions. Based on the policy and stakeholder assessment, we recommend establishing a European Biodiversity Observation Coordinating Centre to optimize existing observation efforts, harmonize data, and enhance our ability to predict and respond to key challenges related to biodiversity loss in Europe.</w:t>
      </w:r>
    </w:p>
    <w:p>
      <w:pPr/>
      <w:r>
        <w:rPr>
          <w:b/>
        </w:rPr>
        <w:t>POSSIBLE 2023:</w:t>
      </w:r>
      <w:r>
        <w:t xml:space="preserve"> Update on the clinical use of trabecular bone score (TBS) in the management of osteoporosis: results of an expert group meeting organized by the European Society for Clinical and Economic Aspects of Osteoporosis, Osteoarthritis and Musculoskeletal Diseases (ESCEO), and the International Osteoporosis Foundation (IOF) under the auspices of WHO Collaborating Center for Epidemiology of Musculoskeletal Health and Aging — https://doi.org/10.1007/s00198-023-06817-4</w:t>
      </w:r>
    </w:p>
    <w:p>
      <w:pPr/>
      <w:r>
        <w:rPr>
          <w:b/>
        </w:rPr>
        <w:t>Shared claim-specific concepts:</w:t>
      </w:r>
      <w:r>
        <w:t xml:space="preserve"> organized, strategies, four; EU scope visible. This is a provisional connection, not an outcome finding.</w:t>
      </w:r>
    </w:p>
    <w:p>
      <w:pPr>
        <w:pStyle w:val="SourceNote"/>
      </w:pPr>
      <w:r>
        <w:rPr>
          <w:b/>
        </w:rPr>
        <w:t>Available abstract (not full text):</w:t>
      </w:r>
      <w:r>
        <w:t xml:space="preserve"> PURPOSE: Trabecular bone score (TBS) is a grey-level textural measurement acquired from dual-energy X-ray absorptiometry lumbar spine images and is a validated index of bone microarchitecture. In 2015, a Working Group of the European Society on Clinical and Economic Aspects of Osteoporosis, Osteoarthritis and Musculoskeletal Diseases (ESCEO) published a review of the TBS literature, concluding that TBS predicts hip and major osteoporotic fracture, at least partly independent of bone mineral density (BMD) and clinical risk factors. It was also concluded that TBS is potentially amenable to change as a result of pharmacological therapy. Further evidence on the utility of TBS has since accumulated in both primary and secondary osteoporosis, and the introduction of FRAX and BMD T-score adjustment for TBS has accelerated adoption. This position paper therefore presents a review of the updated scientific literature and provides expert consensus statements and corresponding operational guidelines for the use of TBS. METHODS: An Expert Working Group was convened by the ESCEO and a systematic review of the evidence undertaken, with defined search strategies for four key topics with respect to the potential use of TBS: (1) fracture prediction in men and women; (2) initiating and monitoring treatment in postmenopausal osteoporosis; (3) fracture prediction in secondary osteoporosis; and (4)</w:t>
      </w:r>
    </w:p>
    <w:p>
      <w:pPr/>
      <w:r>
        <w:rPr>
          <w:b/>
        </w:rPr>
        <w:t>POSSIBLE 2023:</w:t>
      </w:r>
      <w:r>
        <w:t xml:space="preserve"> Stakeholder engagement and decarbonization pathways: Meeting the challenges of the COVID-19 pandemic — https://doi.org/10.3389/frsus.2022.1063719</w:t>
      </w:r>
    </w:p>
    <w:p>
      <w:pPr/>
      <w:r>
        <w:rPr>
          <w:b/>
        </w:rPr>
        <w:t>Shared claim-specific concepts:</w:t>
      </w:r>
      <w:r>
        <w:t xml:space="preserve"> organized, meetings, engagement, strategies, other, challenges; EU scope not established. This is a provisional connection, not an outcome finding.</w:t>
      </w:r>
    </w:p>
    <w:p>
      <w:pPr>
        <w:pStyle w:val="SourceNote"/>
      </w:pPr>
      <w:r>
        <w:rPr>
          <w:b/>
        </w:rPr>
        <w:t>Available abstract (not full text):</w:t>
      </w:r>
      <w:r>
        <w:t xml:space="preserve"> Climate change is an extremely complex challenge characterized by its systemic nature and deep uncertainties. Thus, finding solutions requires a continuing and constructive dialogue between the research community and a wide range of stakeholders from governments, non-governmental organizations, civil society, international organizations, industry, businesses and financial institutions. The ENGAGE project ( https://www.engage-climate.org/ ) is advancing knowledge co-production through an iterative process of stakeholder engagement with two main streams: (i) stakeholder co-design and assessment of global decarbonization pathways and (ii) stakeholder dialogues on national policies and pathways. Both the global and national stakeholder processes are designed to inform multiple project activities, including: conceptualization of feasibility and assessing the feasibility of decarbonization policies and strategies; decarbonization pathway development using integrated assessment models and considering both feasibility and equity; and assessment of the relative importance of climate change impacts vis-à-vis potential co-benefits. With the start of the COVID-19 pandemic 6 months after the beginning of the project, all of the stakeholder engagement activities had to be organized as online events. Between March 2020 and April 2022, 5 online workshops were organized, two at the global level</w:t>
      </w:r>
    </w:p>
    <w:p>
      <w:pPr/>
      <w:r>
        <w:rPr>
          <w:b/>
        </w:rPr>
        <w:t>POSSIBLE 2023:</w:t>
      </w:r>
      <w:r>
        <w:t xml:space="preserve"> The External Dimension of the European Migration and Asylum Policy: the EU's Organized Hypocrisy in Cooperation with Southern Neighbor Countries — https://doi.org/10.5281/zenodo.7688211</w:t>
      </w:r>
    </w:p>
    <w:p>
      <w:pPr/>
      <w:r>
        <w:rPr>
          <w:b/>
        </w:rPr>
        <w:t>Shared claim-specific concepts:</w:t>
      </w:r>
      <w:r>
        <w:t xml:space="preserve"> organized, between, identified; EU scope visible. This is a provisional connection, not an outcome finding.</w:t>
      </w:r>
    </w:p>
    <w:p>
      <w:pPr>
        <w:pStyle w:val="SourceNote"/>
      </w:pPr>
      <w:r>
        <w:rPr>
          <w:b/>
        </w:rPr>
        <w:t>Available abstract (not full text):</w:t>
      </w:r>
      <w:r>
        <w:t xml:space="preserve"> The European Union (EU) has reacted to the migration crises of the last decade with growing externalization of migration management to neighbor countries often accused of not respecting human rights and individual liberties. Focusing on EU cooperation with Southern Neighbor Countries (SNCs), this paper investigates the recent developments in the EU’s external migration policies, demonstrating the decoupling between EU discourses and policy instruments such as mobility partnerships, readmission and visa facilitation agreements, identified by the EU as strategic tools of the European migration and asylum policy (MAP). Five SNCs have been selected, Tunisia, Morocco, Egypt, Jordan and Lebanon, to assess the extent to which the EU is delegating to neighboring countries the management of irregular flows, placing international protection at risk instead of playing the role of humanitarian actor in accordance with the ideals and principles it defends, as claimed in EU documents. The research critically analyses the EU’s cooperation with SNCs concerning migration, as codified in association agreements, action plans and mobility partnerships, and explores the incompatibility between the European MAP instruments and international protection. MAP represents a clear mismatch between EU talk and action, outlining another case of organized hypocrisy.</w:t>
      </w:r>
    </w:p>
    <w:p>
      <w:pPr/>
      <w:r>
        <w:rPr>
          <w:b/>
        </w:rPr>
        <w:t>POSSIBLE 2021:</w:t>
      </w:r>
      <w:r>
        <w:t xml:space="preserve"> Barriers to ecological restoration in Europe: expert perspectives — https://doi.org/10.1111/rec.13346</w:t>
      </w:r>
    </w:p>
    <w:p>
      <w:pPr/>
      <w:r>
        <w:rPr>
          <w:b/>
        </w:rPr>
        <w:t>Shared claim-specific concepts:</w:t>
      </w:r>
      <w:r>
        <w:t xml:space="preserve"> experts, three, identified;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r>
        <w:rPr>
          <w:b/>
        </w:rPr>
        <w:t>POSSIBLE 2019:</w:t>
      </w:r>
      <w:r>
        <w:t xml:space="preserve"> Determinants, consequences and potential solutions to poor adherence to anti-osteoporosis treatment: results of an expert group meeting organized by the European Society for Clinical and Economic Aspects of Osteoporosis, Osteoarthritis and Musculoskeletal Diseases (ESCEO) and the International Osteoporosis Foundation (IOF) — https://doi.org/10.1007/s00198-019-05104-5</w:t>
      </w:r>
    </w:p>
    <w:p>
      <w:pPr/>
      <w:r>
        <w:rPr>
          <w:b/>
        </w:rPr>
        <w:t>Shared claim-specific concepts:</w:t>
      </w:r>
      <w:r>
        <w:t xml:space="preserve"> organized, experts, each; EU scope visible. This is a provisional connection, not an outcome finding.</w:t>
      </w:r>
    </w:p>
    <w:p>
      <w:pPr>
        <w:pStyle w:val="SourceNote"/>
      </w:pPr>
      <w:r>
        <w:rPr>
          <w:b/>
        </w:rPr>
        <w:t>Available abstract (not full text):</w:t>
      </w:r>
      <w:r>
        <w:t xml:space="preserve"> Many patients at increased risk of fractures do not take their medication appropriately, resulting in a substantial decrease in the benefits of drug therapy. Improving medication adherence is urgently needed but remains laborious, given the numerous and multidimensional reasons for non-adherence, suggesting the need for measurement-guided, multifactorial and individualized solutions. INTRODUCTION: Poor adherence to medications is a major challenge in the treatment of osteoporosis. This paper aimed to provide an overview of the consequences, determinants and potential solutions to poor adherence and persistence to osteoporosis medication. METHODS: A working group was organized by the European Society on Clinical and Economic Aspects of Osteoporosis, Osteoarthritis and Musculoskeletal diseases (ESCEO) to review consequences, determinants and potential solutions to adherence and to make recommendations for practice and further research. A systematic literature review and a face-to-face experts meeting were undertaken. RESULTS: Medication non-adherence is associated with increased risk of fractures, leading to a substantial decrease in the clinical and economic benefits of drug therapy. Reasons for non-adherence are numerous and multidimensional for each patient, depending on the interplay of multiple factors, suggesting the need for multifactorial and individualized solutions. Few</w:t>
      </w:r>
    </w:p>
    <w:p>
      <w:pPr/>
      <w:r>
        <w:rPr>
          <w:b/>
        </w:rPr>
        <w:t>POSSIBLE 2019:</w:t>
      </w:r>
      <w:r>
        <w:t xml:space="preserve"> Brief Report on the 11th Meeting of the European Forum on Antiphospholipid Antibodies — https://doi.org/10.1007/s11926-019-0805-1</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The European Forum on Antiphospholipid Antibodies provides a multidisciplinary network of diverse experts with a common interest in antiphospholipid antibodies (aPL) and antiphospholipid syndrome (APS).Ten successful meetings have been organized since 1997 in different cities (Paris, Venice, Utrecht, London, Barcelona, Ljubljana, Marseille, Padua, Krakow, and Nancy), providing an excellent opportunity for European clinicians and scientists involved in the field of APS to meet and strengthen current and future collaborations.The 11th Meeting of the European Forum on Antiphospholipid Antibodies was held in the monumental Lambertus Church in Maastricht, The Netherlands, from September 25 to 26, 2018.The Forum brought together approximately 125 participants from 16 different countries, including the USA, Argentina, and Russia (Fig. 1).Participants with various scientific/medical backgrounds presented an update of their current research in the APS field and reached out to the European Forum for collaboration in new/ongoing projects.Lectures were not only innovative, but also followed by interesting discussions with the audience.This report summarizes the different scientific sessions of the meeting.The abstract book, as well as some of the presentations are available for educational purpose through the website https:// apsmaastricht.com.The current general coordinator of the Europea</w:t>
      </w:r>
    </w:p>
    <w:p>
      <w:pPr>
        <w:pStyle w:val="Heading2"/>
      </w:pPr>
      <w:r>
        <w:t>771.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2026:</w:t>
      </w:r>
      <w:r>
        <w:t xml:space="preserve"> Ageing Europe: Demographic Change, Active Ageing, and EU Legislative Strategies — https://doi.org/10.5281/zenodo.20000812</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Population ageing represents one of the most significant demographic and socio-economic challenges currently facing the European Union. Driven primarily by declining fertility rates and increasing life expectancy, this process has profound implications for labour markets, pension systems, public finances, and social cohesion. The study aims to analyse population ageing within the European Union, with a particular focus on the social position of older persons and the extent to which European Union legislation and strategic initiatives address their needs. Using a three-stage methodological approach—comprising a review of demographic theory and contemporary research, an analysis of demographic ageing trends in the EU, and an examination of selected EU legislative and strategic measures—the article explores key issues related to active ageing, equal treatment, labour market participation, and the coordination of social security systems. Special attention is devoted to anti-discrimination law, notably Council Directive 2000/78/EC, related case law of the Court of Justice of the European Union, and non-legislative initiatives such as the Green Paper on Ageing. The findings highlight both progress and persisting gaps in EU-level responses, underlining the need for more comprehensive and binding legislative action to improve the quality of life and social inclusion of older persons.</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analyses, implications, demographic, population;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The Demographic Causes of European Sub-National Population Declines — https://doi.org/10.1007/s10680-025-09730-0</w:t>
      </w:r>
    </w:p>
    <w:p>
      <w:pPr/>
      <w:r>
        <w:rPr>
          <w:b/>
        </w:rPr>
        <w:t>Shared claim-specific concepts:</w:t>
      </w:r>
      <w:r>
        <w:t xml:space="preserve"> analyses, demographic, population; EU scope visible. This is a provisional connection, not an outcome finding.</w:t>
      </w:r>
    </w:p>
    <w:p>
      <w:pPr>
        <w:pStyle w:val="SourceNote"/>
      </w:pPr>
      <w:r>
        <w:rPr>
          <w:b/>
        </w:rPr>
        <w:t>Available abstract (not full text):</w:t>
      </w:r>
      <w:r>
        <w:t xml:space="preserve"> Population decline is now established at the continental scale in Europe, occurring in abundance across sub-national areas and outweighing population growth. This represents an unfamiliar pathway of demographic change and is set to present unique challenges to the functioning of societies and economies. The nature of these challenges will be influenced by the demographic cause of population decline. Typically, low fertility is cited as the primary instigator, though it remains unclear of the ways in which unique interactions between fertility, mortality and migration have shaped contemporary population decline outcomes. This study empirically analyses the demographic causes of population decline in 732 sub-national areas extending across 33 European countries. Drawing on data derived from national statistics from 2000-2018, we employ a novel methodological approach consisting of decomposition, multivariate functional principal component analysis, and k-medoid clustering to identify the dominant demographic processes underpinning European depopulation. Our analysis reveals five unique signatures, encoding nuanced contributions from fertility, mortality and migration changes. Population decline is found to be a multi-causal process, with natural deficits and negative rates of net-migration both operating depopulations in most instances. We conclude that natural deficits are ubiqu</w:t>
      </w:r>
    </w:p>
    <w:p>
      <w:pPr/>
      <w:r>
        <w:rPr>
          <w:b/>
        </w:rPr>
        <w:t>POSSIBLE 2024:</w:t>
      </w:r>
      <w:r>
        <w:t xml:space="preserve"> Cross‐border dimensions of Arctic climate change impacts and implications for Europe — https://doi.org/10.1002/wcc.905</w:t>
      </w:r>
    </w:p>
    <w:p>
      <w:pPr/>
      <w:r>
        <w:rPr>
          <w:b/>
        </w:rPr>
        <w:t>Shared claim-specific concepts:</w:t>
      </w:r>
      <w:r>
        <w:t xml:space="preserve"> abstract, implications, well;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China’s Trade Surplus – Implications for the World and for Europe — https://doi.org/10.2478/ie-2024-0022</w:t>
      </w:r>
    </w:p>
    <w:p>
      <w:pPr/>
      <w:r>
        <w:rPr>
          <w:b/>
        </w:rPr>
        <w:t>Shared claim-specific concepts:</w:t>
      </w:r>
      <w:r>
        <w:t xml:space="preserve"> abstract, analyses, implications, employment; EU scope visible. This is a provisional connection, not an outcome finding.</w:t>
      </w:r>
    </w:p>
    <w:p>
      <w:pPr>
        <w:pStyle w:val="SourceNote"/>
      </w:pPr>
      <w:r>
        <w:rPr>
          <w:b/>
        </w:rPr>
        <w:t>Available abstract (not full text):</w:t>
      </w:r>
      <w:r>
        <w:t xml:space="preserve"> Abstract China’s merchandise trade surplus has reached an all-time high and is likely to rise further. A key driver appears to be a policy push to further bolster Chinese domestic manufacturing production, implying the danger of significant overcapacities. China’s imbalance between domestic production and consumption implies that China draws on the domestic demand of other countries to sustain its economic growth. It does so at the potential expense of production and employment of those trading partners with high trade deficits with China. As this constellation could be the source of growing trade conflicts, this article analyses China’s growing trade surplus in several dimensions with a focus on Chinas trade relation to the EU.</w:t>
      </w:r>
    </w:p>
    <w:p>
      <w:pPr/>
      <w:r>
        <w:rPr>
          <w:b/>
        </w:rPr>
        <w:t>POSSIBLE 2024:</w:t>
      </w:r>
      <w:r>
        <w:t xml:space="preserve"> Diet Impact Assessment model: an interactive tool for analysing the health, environmental and affordability implications of diets — https://doi.org/10.1093/eurpub/ckae144.032</w:t>
      </w:r>
    </w:p>
    <w:p>
      <w:pPr/>
      <w:r>
        <w:rPr>
          <w:b/>
        </w:rPr>
        <w:t>Shared claim-specific concepts:</w:t>
      </w:r>
      <w:r>
        <w:t xml:space="preserve"> abstract, implications; EU scope visible. This is a provisional connection, not an outcome finding.</w:t>
      </w:r>
    </w:p>
    <w:p>
      <w:pPr>
        <w:pStyle w:val="SourceNote"/>
      </w:pPr>
      <w:r>
        <w:rPr>
          <w:b/>
        </w:rPr>
        <w:t>Available abstract (not full text):</w:t>
      </w:r>
      <w:r>
        <w:t xml:space="preserve"> Abstract Global diets, environmental factors, and health require a holistic approach in public health discourse that takes into account the well-being of both humans and planetary health. Modeling tools have demonstrated being useful to estimate priorities and differences between countries and gain insight into future paths that depend on predetermined priorities. Modeling efforts that include environmental goals indicate the possibility of reducing environmental impacts while both improving food quality and overall health outcomes, especially in high-income settings. The aforementioned forecasts highlight the effectiveness of giving priority to dietary recommendations that lead to better, balanced patterns as the most effective approach to reducing mortality risks and environmental implications. The presentation will introduce the Diet Impact Assessment (DIA) model - a new interactive modelling tool for analysing the health, environmental and affordability implications of diets and dietary change. The tool enables countries to analyse user-specific scenarios of dietary change, and to estimate the health, environmental and cost burden of each scenario in terms of diet costs, avoidable deaths, changes in resource use and compatibility with global environmental targets, including those associated with food-related greenhouse gas emissions, land use, water use and fertilizer appli</w:t>
      </w:r>
    </w:p>
    <w:p>
      <w:pPr/>
      <w:r>
        <w:rPr>
          <w:b/>
        </w:rPr>
        <w:t>POSSIBLE 2024:</w:t>
      </w:r>
      <w:r>
        <w:t xml:space="preserve"> Europe’s Demographic Challenges as Determinants of Security — https://doi.org/10.14746/ps.2024.1.18</w:t>
      </w:r>
    </w:p>
    <w:p>
      <w:pPr/>
      <w:r>
        <w:rPr>
          <w:b/>
        </w:rPr>
        <w:t>Shared claim-specific concepts:</w:t>
      </w:r>
      <w:r>
        <w:t xml:space="preserve"> analyses, implications, demographic, trends, population; EU scope visible. This is a provisional connection, not an outcome finding.</w:t>
      </w:r>
    </w:p>
    <w:p>
      <w:pPr>
        <w:pStyle w:val="SourceNote"/>
      </w:pPr>
      <w:r>
        <w:rPr>
          <w:b/>
        </w:rPr>
        <w:t>Available abstract (not full text):</w:t>
      </w:r>
      <w:r>
        <w:t xml:space="preserve"> The aim of this article is to assess the scale and nature of contemporary demographic trends that determine the security of Europe and identify the main threats to the continent’s military and non-military security resulting from them. This article constitutes an attempt to face a problem whose essence is associated with a key question: how are contemporary demographic trends in Europe shaping up, and on what security levels can we expect their implications? Population processes, which are the cumulative effects of the demographic phenomena that occurred in the near and distant past, run over the long term and are characterised by a low coefficient of uncertainty. Analyses of the UN and Eurostat demographic data show that Europe has seen an intensification and accumulation of negative demographic trends over recent decades. Demographic regression, as experienced by the Old Continent, is a multidimensional phenomenon which has numerous security implications and poses a threat to Europe’s socio-economic development.</w:t>
      </w:r>
    </w:p>
    <w:p>
      <w:pPr/>
      <w:r>
        <w:rPr>
          <w:b/>
        </w:rPr>
        <w:t>POSSIBLE 2024:</w:t>
      </w:r>
      <w:r>
        <w:t xml:space="preserve"> Demographic Shifts and Economic Challenges in the European Union — https://doi.org/10.32559/et.2024.1.5</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This study explores the significant demographic shifts and economic challenges faced by the European Union (EU), focusing on the implications of an ageing population. As life expectancy increases and birth rates decline, the proportion of elderly individuals in the EU rises, placing substantial pressure on social security, healthcare systems and labour markets. This paper examines the multifaceted impacts of these demographic changes, including the strain on healthcare services and pension schemes, the potential for economic growth through the productivity of senior employees, and the necessity for holistic strategies that address regional and national variations. Additionally, the research delves into the effects of the Covid–19 pandemic on demographic trends, highlighting the need for proactive policies to support an ageing populace. Through a comprehensive analysis of demographic data, labour market trends and policy initiatives, this study aims to provide a nuanced understanding of the repercussions of an ageing population and proposes strategic measures to mitigate the associated challenges while leveraging opportunities for economic development and innovation.</w:t>
      </w:r>
    </w:p>
    <w:p>
      <w:pPr/>
      <w:r>
        <w:rPr>
          <w:b/>
        </w:rPr>
        <w:t>POSSIBLE 2023:</w:t>
      </w:r>
      <w:r>
        <w:t xml:space="preserve"> The new seismic hazard model ESHM20 of Europe: Investigating the implications to the seismic design and risk assessment of major industrial facilities across Europe — https://doi.org/10.1007/s10518-023-01661-7</w:t>
      </w:r>
    </w:p>
    <w:p>
      <w:pPr/>
      <w:r>
        <w:rPr>
          <w:b/>
        </w:rPr>
        <w:t>Shared claim-specific concepts:</w:t>
      </w:r>
      <w:r>
        <w:t xml:space="preserve"> abstract, analyses, implications, well; EU scope visible. This is a provisional connection, not an outcome finding.</w:t>
      </w:r>
    </w:p>
    <w:p>
      <w:pPr>
        <w:pStyle w:val="SourceNote"/>
      </w:pPr>
      <w:r>
        <w:rPr>
          <w:b/>
        </w:rPr>
        <w:t>Available abstract (not full text):</w:t>
      </w:r>
      <w:r>
        <w:t xml:space="preserve"> Abstract The seismic performance and safety of major European industrial facilities have a global interest for the whole of Europe and its citizens. However, the seismic design of these facilities is based on national, sometimes outdated seismic hazard analyses. The results of the commonly developed, fully harmonized newly released European Seismic Hazard Model ESHM20 provide a pertinent reference for seismic hazard at European scale and have been officially adopted as an “acceptable representation of the seismic hazard in Europe” in the ongoing revision of Eurocode 8. This study presents a large-scale investigation of the impact of the potential adoption of ESHM20 on the design of new industrial facilities as well as on the potential seismic risk of existing facilities at European level with respect to the current seismic codes. The horizontal elastic response spectra using ESHM20 in combination with the revised Eurocode 8 for selected industrial sites are compared with the respective response spectra of the national regulations for return periods of 475, 2500 and 5000 years. In addition, a single containment LNG tank is analysed for an industrial site in Germany using the design approach for liquid filled tanks according to the revised Eurocode 8. Furthermore, a deterministic and probabilistic seismic risk assessment of a vessel installed in a five-storey frame is performed f</w:t>
      </w:r>
    </w:p>
    <w:p>
      <w:pPr/>
      <w:r>
        <w:rPr>
          <w:b/>
        </w:rPr>
        <w:t>POSSIBLE 2023:</w:t>
      </w:r>
      <w:r>
        <w:t xml:space="preserve"> The impact of ICT and robots on labour market outcomes of demographic groups in Europe — https://doi.org/10.1016/j.labeco.2023.102481</w:t>
      </w:r>
    </w:p>
    <w:p>
      <w:pPr/>
      <w:r>
        <w:rPr>
          <w:b/>
        </w:rPr>
        <w:t>Shared claim-specific concepts:</w:t>
      </w:r>
      <w:r>
        <w:t xml:space="preserve"> demographic, labour; EU scope visible. This is a provisional connection, not an outcome finding.</w:t>
      </w:r>
    </w:p>
    <w:p>
      <w:pPr>
        <w:pStyle w:val="SourceNote"/>
      </w:pPr>
      <w:r>
        <w:rPr>
          <w:b/>
        </w:rPr>
        <w:t>Available abstract (not full text):</w:t>
      </w:r>
      <w:r>
        <w:t xml:space="preserve"> Unavailable</w:t>
      </w:r>
    </w:p>
    <w:p>
      <w:pPr>
        <w:pStyle w:val="Heading2"/>
      </w:pPr>
      <w:r>
        <w:t>772.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2024:</w:t>
      </w:r>
      <w:r>
        <w:t xml:space="preserve"> European hot and dry summers are projected to become more frequent and expand northwards — https://doi.org/10.1038/s43247-024-01575-5</w:t>
      </w:r>
    </w:p>
    <w:p>
      <w:pPr/>
      <w:r>
        <w:rPr>
          <w:b/>
        </w:rPr>
        <w:t>Shared claim-specific concepts:</w:t>
      </w:r>
      <w:r>
        <w:t xml:space="preserve"> northwards, parts; EU scope visible. This is a provisional connection, not an outcome finding.</w:t>
      </w:r>
    </w:p>
    <w:p>
      <w:pPr>
        <w:pStyle w:val="SourceNote"/>
      </w:pPr>
      <w:r>
        <w:rPr>
          <w:b/>
        </w:rPr>
        <w:t>Available abstract (not full text):</w:t>
      </w:r>
      <w:r>
        <w:t xml:space="preserve"> Abstract Heatwaves and dry spells are major climate hazards with far-reaching implications for health, economy, agriculture, and ecosystems. The frequency of compound hot and dry summers in Europe has risen in recent years. Here we present an examination of past extreme summers and compare them to future climate conditions. We use reanalysis data (2001–2022) and model data at three global warming levels: +1.2 °C, +2 °C, and +3 °C for nine selected sub-regions. Key findings indicate a significant increase in the frequency of most extreme past occurrences under 2 °C and 3 °C warming scenarios. For specific summers, the occurrence probability rises by up to 5–6 times from 2 °C to 3 °C. Moreover, our analysis reveals a notable northward shift in the climatology of hot and dry summers under 3 °C warming. The hot and dry climate observed in Eastern Europe under current conditions is anticipated to extend into substantial parts of the Baltic coast, Finland, and Scandinavia.</w:t>
      </w:r>
    </w:p>
    <w:p>
      <w:pPr/>
      <w:r>
        <w:rPr>
          <w:b/>
        </w:rPr>
        <w:t>POSSIBLE 2023:</w:t>
      </w:r>
      <w:r>
        <w:t xml:space="preserve"> Testing a prediction model for the H-mode density pedestal against JET-ILW pedestals — https://doi.org/10.1088/1741-4326/acc084</w:t>
      </w:r>
    </w:p>
    <w:p>
      <w:pPr/>
      <w:r>
        <w:rPr>
          <w:b/>
        </w:rPr>
        <w:t>Shared claim-specific concepts:</w:t>
      </w:r>
      <w:r>
        <w:t xml:space="preserve"> jet, over; EU scope not established. This is a provisional connection, not an outcome finding.</w:t>
      </w:r>
    </w:p>
    <w:p>
      <w:pPr>
        <w:pStyle w:val="SourceNote"/>
      </w:pPr>
      <w:r>
        <w:rPr>
          <w:b/>
        </w:rPr>
        <w:t>Available abstract (not full text):</w:t>
      </w:r>
      <w:r>
        <w:t xml:space="preserve">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pPr/>
      <w:r>
        <w:rPr>
          <w:b/>
        </w:rPr>
        <w:t>POSSIBLE 2022:</w:t>
      </w:r>
      <w:r>
        <w:t xml:space="preserve"> Accuracy of numerical wave model results: application to the Atlantic coasts of Europe — https://doi.org/10.5194/os-18-1665-2022</w:t>
      </w:r>
    </w:p>
    <w:p>
      <w:pPr/>
      <w:r>
        <w:rPr>
          <w:b/>
        </w:rPr>
        <w:t>Shared claim-specific concepts:</w:t>
      </w:r>
      <w:r>
        <w:t xml:space="preserve"> propagation, waves; EU scope visible. This is a provisional connection, not an outcome finding.</w:t>
      </w:r>
    </w:p>
    <w:p>
      <w:pPr>
        <w:pStyle w:val="SourceNote"/>
      </w:pPr>
      <w:r>
        <w:rPr>
          <w:b/>
        </w:rPr>
        <w:t>Available abstract (not full text):</w:t>
      </w:r>
      <w:r>
        <w:t xml:space="preserve"> Abstract. Numerical wave models are generally less accurate in the coastal ocean than offshore. It is generally suspected that a number of factors specific to coastal environments can be blamed for these larger model errors: complex shoreline and topography, relatively short fetches, combination of remote swells and local wind seas, less accurate wind fields, presence of strong currents, bottom friction, etc. These factors generally have strong local variations, making it all the more difficult to adapt a particular model setup from one area to another. Here we investigate a wide range of modelling choices including forcing fields, spectral resolution and parameterizations of physical processes in a regional model that covers most of the Atlantic and North Sea coasts. We show that the accurate propagation of waves from offshore is probably the most important factor on exposed shorelines, while other specific effects can be important locally, including winds, currents and bottom friction.</w:t>
      </w:r>
    </w:p>
    <w:p>
      <w:pPr/>
      <w:r>
        <w:rPr>
          <w:b/>
        </w:rPr>
        <w:t>POSSIBLE 2022:</w:t>
      </w:r>
      <w:r>
        <w:t xml:space="preserve"> The evolving story of Borrelia burgdorferi sensu lato transmission in Europe — https://doi.org/10.1007/s00436-022-07445-3</w:t>
      </w:r>
    </w:p>
    <w:p>
      <w:pPr/>
      <w:r>
        <w:rPr>
          <w:b/>
        </w:rPr>
        <w:t>Shared claim-specific concepts:</w:t>
      </w:r>
      <w:r>
        <w:t xml:space="preserve"> several, northern, hemisphere; EU scope visible. This is a provisional connection, not an outcome finding.</w:t>
      </w:r>
    </w:p>
    <w:p>
      <w:pPr>
        <w:pStyle w:val="SourceNote"/>
      </w:pPr>
      <w:r>
        <w:rPr>
          <w:b/>
        </w:rPr>
        <w:t>Available abstract (not full text):</w:t>
      </w:r>
      <w:r>
        <w:t xml:space="preserve"> Beside mosquitoes, ticks are well-known vectors of different human pathogens. In the Northern Hemisphere, Lyme borreliosis (Eurasia, LB) or Lyme disease (North America, LD) is the most commonly occurring vector-borne infectious disease caused by bacteria of the genus Borrelia which are transmitted by hard ticks of the genus Ixodes. The reported incidence of LB in Europe is about 22.6 cases per 100,000 inhabitants annually with a broad range depending on the geographical area analyzed. However, the epidemiological data are largely incomplete, because LB is not notifiable in all European countries. Furthermore, not only differ reporting procedures between countries, there is also variation in case definitions and diagnostic procedures. Lyme borreliosis is caused by several species of the Borrelia (B.) burgdorferi sensu lato (s.l.) complex which are maintained in complex networks including ixodid ticks and different reservoir hosts. Vector and host influence each other and are affected by multiple factors including climate that have a major impact on their habitats and ecology. To classify factors that influence the risk of transmission of B. burgdorferi s.l. to their different vertebrate hosts as well as to humans, we briefly summarize the current knowledge about the pathogens including their astonishing ability to overcome various host immune responses, regarding the main vector</w:t>
      </w:r>
    </w:p>
    <w:p>
      <w:pPr/>
      <w:r>
        <w:rPr>
          <w:b/>
        </w:rPr>
        <w:t>POSSIBLE 2022:</w:t>
      </w:r>
      <w:r>
        <w:t xml:space="preserve"> Species Distribution Modeling Reveals Recent Shifts in Suitable Habitat for Six North American Cypripedium spp. (Orchidaceae) — https://doi.org/10.3390/d14090694</w:t>
      </w:r>
    </w:p>
    <w:p>
      <w:pPr/>
      <w:r>
        <w:rPr>
          <w:b/>
        </w:rPr>
        <w:t>Shared claim-specific concepts:</w:t>
      </w:r>
      <w:r>
        <w:t xml:space="preserve"> shifted, northwards, over; EU scope not established. This is a provisional connection, not an outcome finding.</w:t>
      </w:r>
    </w:p>
    <w:p>
      <w:pPr>
        <w:pStyle w:val="SourceNote"/>
      </w:pPr>
      <w:r>
        <w:rPr>
          <w:b/>
        </w:rPr>
        <w:t>Available abstract (not full text):</w:t>
      </w:r>
      <w:r>
        <w:t xml:space="preserve"> Accelerating climate change is expected to cause range shifts of numerous taxa worldwide. While climatic projections and predicted consequences typically focus on the future (2050 or later), a measurable change in climatic conditions has occurred over recent decades. We investigate whether recent climate change has caused measurable shifts in suitable habitat for six North American species in the highly threatened genus Cypripedium (Orchidaceae). We constructed species distribution models using a maximum entropy approach from species occurrence records, 19 bioclimatic variables, land cover data, and soil data for two decadal time intervals (1980–1989 and 2010–2019). Models were compared between time intervals to assess shifts in locality, size, fragmentation, and mean elevation of suitable habitat. For all six congeners, the centroids of suitable habitat shifted between time intervals, although the directionality varied. There was, however, consistency among species within geographic regions. Consistent with our expectations, the optimal habitat for most species shifted to a higher elevation and for western species it shifted northwards. However, the habitat for one northwestern species shifted southwards and the habitat for eastern species converged on the Great Lakes region from different directions. This work illustrates the somewhat idiosyncratic responses of congeneric spe</w:t>
      </w:r>
    </w:p>
    <w:p>
      <w:pPr/>
      <w:r>
        <w:rPr>
          <w:b/>
        </w:rPr>
        <w:t>POSSIBLE 2022:</w:t>
      </w:r>
      <w:r>
        <w:t xml:space="preserve"> Changes in limiting factors for forager population dynamics in Europe across the last glacial-interglacial transition — https://doi.org/10.1038/s41467-022-32750-x</w:t>
      </w:r>
    </w:p>
    <w:p>
      <w:pPr/>
      <w:r>
        <w:rPr>
          <w:b/>
        </w:rPr>
        <w:t>Shared claim-specific concepts:</w:t>
      </w:r>
      <w:r>
        <w:t xml:space="preserve"> shifted, over, parts; EU scope visible. This is a provisional connection, not an outcome finding.</w:t>
      </w:r>
    </w:p>
    <w:p>
      <w:pPr>
        <w:pStyle w:val="SourceNote"/>
      </w:pPr>
      <w:r>
        <w:rPr>
          <w:b/>
        </w:rPr>
        <w:t>Available abstract (not full text):</w:t>
      </w:r>
      <w:r>
        <w:t xml:space="preserve"> Population dynamics set the framework for human genetic and cultural evolution. For foragers, demographic and environmental changes correlate strongly, although the causal relations between different environmental variables and human responses through time and space likely varied. Building on the notion of limiting factors, namely that at any one time, the scarcest resource caps population size, we present a statistical approach to identify the dominant climatic constraints for hunter-gatherer population densities and then hindcast their changing dynamics in Europe for the period between 21,000 to 8000 years ago. Limiting factors shifted from temperature-related variables (effective temperature) during the Pleistocene to a regional mosaic of limiting factors in the Holocene dominated by temperature seasonality and annual precipitation. This spatiotemporal variation suggests that hunter-gatherers needed to overcome very different adaptive challenges in different parts of Europe and that these challenges varied over time. The signatures of these changing adaptations may be visible archaeologically. In addition, the spatial disaggregation of limiting factors from the Pleistocene to the Holocene coincided with and may partly explain the diversification of the cultural geography at this time.</w:t>
      </w:r>
    </w:p>
    <w:p>
      <w:pPr/>
      <w:r>
        <w:rPr>
          <w:b/>
        </w:rPr>
        <w:t>POSSIBLE 2021:</w:t>
      </w:r>
      <w:r>
        <w:t xml:space="preserve"> Extreme windstorms and sting jets in convection-permitting climate simulations over Europe — https://doi.org/10.1007/s00382-021-06011-4</w:t>
      </w:r>
    </w:p>
    <w:p>
      <w:pPr/>
      <w:r>
        <w:rPr>
          <w:b/>
        </w:rPr>
        <w:t>Shared claim-specific concepts:</w:t>
      </w:r>
      <w:r>
        <w:t xml:space="preserve"> over, large; EU scope visible. This is a provisional connection, not an outcome finding.</w:t>
      </w:r>
    </w:p>
    <w:p>
      <w:pPr>
        <w:pStyle w:val="SourceNote"/>
      </w:pPr>
      <w:r>
        <w:rPr>
          <w:b/>
        </w:rPr>
        <w:t>Available abstract (not full text):</w:t>
      </w:r>
      <w:r>
        <w:t xml:space="preserve"> Abstract Extra-tropical windstorms are one of the costliest natural hazards affecting Europe, and windstorms that develop a sting-jet are extremely damaging. A sting-jet is a mesoscale core of very high wind speeds that occurs in Shapiro-Keyser type cyclones, and high-resolution models are required to adequately model sting-jets. Here, we develop a low-cost methodology to automatically detect sting jets, using the characteristic warm seclusion of Shapiro-Keyser cyclones and the slantwise descent of high wind speeds, within pan-European 2.2km convection-permitting climate model (CPM) simulations over Europe. The representation of wind gusts is improved with respect to ERA-Interim reanalysis data compared to observations; this is linked to better representation of cold conveyor belts and sting-jets in the CPM. Our analysis indicates that Shapiro-Keyser cyclones, and those that develop sting-jets, are the most damaging windstorms in present and future climates. The frequency of extreme windstorms is projected to increase by 2100 and a large contribution comes from sting-jet storms. Furthermore, extreme wind speeds and their future changes are underestimated in the GCM compared to the CPM. We conclude that the CPM adds value in the representation of extreme winds and surface wind gusts and can provide improved input for impact models compared to coarser resolution models.</w:t>
      </w:r>
    </w:p>
    <w:p>
      <w:pPr/>
      <w:r>
        <w:rPr>
          <w:b/>
        </w:rPr>
        <w:t>POSSIBLE 2021:</w:t>
      </w:r>
      <w:r>
        <w:t xml:space="preserve"> Experimental validation of an integrated modelling approach to neutron emission studies at JET — https://doi.org/10.1088/1741-4326/ac3021</w:t>
      </w:r>
    </w:p>
    <w:p>
      <w:pPr/>
      <w:r>
        <w:rPr>
          <w:b/>
        </w:rPr>
        <w:t>Shared claim-specific concepts:</w:t>
      </w:r>
      <w:r>
        <w:t xml:space="preserve"> jet, several, characteristics; EU scope not established. This is a provisional connection, not an outcome finding.</w:t>
      </w:r>
    </w:p>
    <w:p>
      <w:pPr>
        <w:pStyle w:val="SourceNote"/>
      </w:pPr>
      <w:r>
        <w:rPr>
          <w:b/>
        </w:rPr>
        <w:t>Available abstract (not full text):</w:t>
      </w:r>
      <w:r>
        <w:t xml:space="preserve"> An integrated modelling methodology for the calculation of realistic plasma neutron sources for the JET tokamak has been developed. The computational chain comprises TRANSP plasma transport and DRESS neutron spectrum calculations, and their coupling to the MCNP neutron transport code, bridging plasma physics and neutronics. In the paper we apply the developed methodology to the analysis of neutron emission properties of deuterium and helium plasmas at JET, and validate individual modelling steps against neutron diagnostic measurements. Two types of JET discharges are modelled—baseline-like and three-ion radio-frequency scenarios—due to their diversity in plasma heating, characteristics of the induced fast ion population, and the imprint of these on neutron emission properties. The neutron emission modelling results are quantitatively compared to the total neutron yield from fission chambers, neutron emissivity profiles from the neutron camera, neutron spectra from the time-of-flight spectrometer, and neutron activation measurements. The agreement between measured and calculated quantities is found to be satisfactory for all four diagnostic systems within the estimated experimental and computational uncertainties. Additionally, the effect of neutrons not originating from the dominating D(D, n) 3 He reactions is studied through modelling of triton burnup DT neutrons, and, in mixe</w:t>
      </w:r>
    </w:p>
    <w:p>
      <w:pPr/>
      <w:r>
        <w:rPr>
          <w:b/>
        </w:rPr>
        <w:t>POSSIBLE 2020:</w:t>
      </w:r>
      <w:r>
        <w:t xml:space="preserve"> Drivers of the Northern Extratropical Eddy‐Driven Jet Change in CMIP5 and CMIP6 Models — https://doi.org/10.1029/2019gl086695</w:t>
      </w:r>
    </w:p>
    <w:p>
      <w:pPr/>
      <w:r>
        <w:rPr>
          <w:b/>
        </w:rPr>
        <w:t>Shared claim-specific concepts:</w:t>
      </w:r>
      <w:r>
        <w:t xml:space="preserve"> jet, over, northern; EU scope visible. This is a provisional connection, not an outcome finding.</w:t>
      </w:r>
    </w:p>
    <w:p>
      <w:pPr>
        <w:pStyle w:val="SourceNote"/>
      </w:pPr>
      <w:r>
        <w:rPr>
          <w:b/>
        </w:rPr>
        <w:t>Available abstract (not full text):</w:t>
      </w:r>
      <w:r>
        <w:t xml:space="preserve"> Abstract The wintertime midlatitude atmospheric circulation is evaluated in CMIP6 models. The biases have been reduced since CMIP5 although the low‐level flow is still too zonal. CMIP5 and CMIP6 projections of 850 hPa zonal wind are then analyzed and are consistent under the RCP8.5 and the SSP5–8.5 scenarios, respectively. A poleward shift is identified in the Pacific, while a tripole structure is found in the North Atlantic: The zonal wind strengthens over Western Europe and decreases north and south. A multiple linear regression allows us to quantify the contribution of different drivers to the intermodel spread in zonal wind projections. It supports the importance of projected tropical warming and changes in the stratospheric vortex but also suggests a contribution of the asymmetry in the projected surface warming of the equatorial Pacific and of the present‐day biases in the eddy‐driven jet position. The North Atlantic warming hole plays a weaker role.</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over, large;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2019:</w:t>
      </w:r>
      <w:r>
        <w:t xml:space="preserve"> Jet production in charged-current deep-inelastic scattering to third order in QCD — https://doi.org/10.1016/j.physletb.2019.03.003</w:t>
      </w:r>
    </w:p>
    <w:p>
      <w:pPr/>
      <w:r>
        <w:rPr>
          <w:b/>
        </w:rPr>
        <w:t>Shared claim-specific concepts:</w:t>
      </w:r>
      <w:r>
        <w:t xml:space="preserve"> third, jet; EU scope not established. This is a provisional connection, not an outcome finding.</w:t>
      </w:r>
    </w:p>
    <w:p>
      <w:pPr>
        <w:pStyle w:val="SourceNote"/>
      </w:pPr>
      <w:r>
        <w:rPr>
          <w:b/>
        </w:rPr>
        <w:t>Available abstract (not full text):</w:t>
      </w:r>
      <w:r>
        <w:t xml:space="preserve"> The production of jets in charged-current deep-inelastic scattering (CC DIS) probes simultaneously the strong and the electroweak sectors of the Standard Model ; its measurement provides important information on the quark flavour structure of the proton. We compute third-order ( N 3 LO ) perturbative QCD corrections to this process, fully differential in the jet and lepton kinematics. We observe a substantial reduction in the theory uncertainty, to sub-percent level throughout the relevant kinematical range, thus enabling precision phenomenology with jet observables.</w:t>
      </w:r>
    </w:p>
    <w:p>
      <w:pPr>
        <w:pStyle w:val="Heading2"/>
      </w:pPr>
      <w:r>
        <w:t>773.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2023:</w:t>
      </w:r>
      <w:r>
        <w:t xml:space="preserve"> Sarcopenia prevalence and functional outcomes in older men with obesity: Comparing the use of the EWGSOP2 sarcopenia versus ESPEN-EASO sarcopenic obesity consensus definitions — https://doi.org/10.1016/j.clnu.2023.07.014</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BACKGROUND &amp; AIMS: The potential for older adults with obesity to also have sarcopenia, and the health consequences of 'sarcopenic obesity', may be underappreciated by health professionals. The primary aim of this secondary analysis of a prospective cohort study of older men was to explore the prevalence and functional outcomes of sarcopenic obesity based on different consensus definitions. METHODS: 1416 community-dwelling men aged ≥70 years were classified into sarcopenia categories according to the European Working Group on Sarcopenia in Older People (EWGSOP2) definition, and sarcopenic obesity categories according to the European Society for Clinical Nutrition and Metabolism and the European Association for the Study of Obesity (ESPEN-EASO) definition. Descriptive analyses determined prevalence of sarcopenia in obese and non-obese older men. Multivariable analyses compared associations with functional outcomes including activity of daily living (ADL) and instrumental activity of daily living (IADL) disability and 12-month incident falls. RESULTS: had low muscle strength. Due to low numbers (N = 4) of obese older men with EWGSOP2-confirmed sarcopenia, associations with functional outcomes were not assessed. Men with sarcopenic obesity according to the ESPEN-EASO definition had significantly lower hand grip strength, higher chair-stands time and slower gait speed (all P &lt; 0.05</w:t>
      </w:r>
    </w:p>
    <w:p>
      <w:pPr/>
      <w:r>
        <w:rPr>
          <w:b/>
        </w:rPr>
        <w:t>POSSIBLE 2023:</w:t>
      </w:r>
      <w:r>
        <w:t xml:space="preserve"> Prevalence and variability of depressive symptoms in Europe: update using representative data from the second and third waves of the European Health Interview Survey (EHIS-2 and EHIS-3) — https://doi.org/10.1016/s2468-2667(23)00220-7</w:t>
      </w:r>
    </w:p>
    <w:p>
      <w:pPr/>
      <w:r>
        <w:rPr>
          <w:b/>
        </w:rPr>
        <w:t>Shared claim-specific concepts:</w:t>
      </w:r>
      <w:r>
        <w:t xml:space="preserve"> increase, prevalence, third; EU scope visible. This is a provisional connection, not an outcome finding.</w:t>
      </w:r>
    </w:p>
    <w:p>
      <w:pPr>
        <w:pStyle w:val="SourceNote"/>
      </w:pPr>
      <w:r>
        <w:rPr>
          <w:b/>
        </w:rPr>
        <w:t>Available abstract (not full text):</w:t>
      </w:r>
      <w:r>
        <w:t xml:space="preserve"> BACKGROUND: Assessing the prevalence of clinically relevant depressive symptoms and their possible variation by country and over time could be a valuable resource to inform the development of public health policies and preventive resources to reduce mental health burden. We aimed to assess cross-national differences in the point prevalence of clinically relevant depressive symptoms in Europe in 2018-20, and to evaluate point prevalence differences between countries and over time between 2013-15 and 2018-20. METHODS: In this population-based study, data from participants in the second and third waves of the European Health Interview Survey (EHIS-2 from 2013 to 2015 and EHIS-3 from 2018 to 2020) from 30 European countries were used (n=542 580). From the total sample, 283 692 participants belonging to EHIS-3 were included in the study (52·4% women and 47·5% men). The non-response in EHIS-3 ranged by country, from 12% to 78%. Point prevalence of clinically relevant depressive symptoms was evaluated using a cutoff score of 10 or more for the 8-item version of the Patient Health Questionnaire. Crude prevalence ratios and adjusted prevalence ratios (aPRs) were obtained to assess differences in the prevalence between countries and over time within countries. FINDINGS: The point prevalence of clinically relevant depressive symptoms in Europe in 2018-20 was 6·54% (95% CI 6·34-6·73), rang</w:t>
      </w:r>
    </w:p>
    <w:p>
      <w:pPr/>
      <w:r>
        <w:rPr>
          <w:b/>
        </w:rPr>
        <w:t>POSSIBLE 2022:</w:t>
      </w:r>
      <w:r>
        <w:t xml:space="preserve"> Prevalence and Correlates of Overweight and Obesity in 12 European Countries in 2017–2018 — https://doi.org/10.1159/000525792</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CO</w:t>
      </w:r>
    </w:p>
    <w:p>
      <w:pPr/>
      <w:r>
        <w:rPr>
          <w:b/>
        </w:rPr>
        <w:t>POSSIBLE 2022:</w:t>
      </w:r>
      <w:r>
        <w:t xml:space="preserve"> A 2022 update on the epidemiology of obesity and a call to action: as its twin COVID-19 pandemic appears to be receding, the obesity and dysmetabolism pandemic continues to rage on — https://doi.org/10.1016/j.metabol.2022.155217</w:t>
      </w:r>
    </w:p>
    <w:p>
      <w:pPr/>
      <w:r>
        <w:rPr>
          <w:b/>
        </w:rPr>
        <w:t>Shared claim-specific concepts:</w:t>
      </w:r>
      <w:r>
        <w:t xml:space="preserve"> increase, prevalence, obesity, obese; EU scope visible. This is a provisional connection, not an outcome finding.</w:t>
      </w:r>
    </w:p>
    <w:p>
      <w:pPr>
        <w:pStyle w:val="SourceNote"/>
      </w:pPr>
      <w:r>
        <w:rPr>
          <w:b/>
        </w:rPr>
        <w:t>Available abstract (not full text):</w:t>
      </w:r>
      <w:r>
        <w:t xml:space="preserve"> The WHO just released in May 2022 a report on the state of the obesity pandemic in Europe, stating that 60% of citizens in the area of Europe are either overweight or obese, and highlighting the implications of the obesity pandemic, especially as it interacts with the COVID pandemic to create a twin pandemic, to increase morbidity and mortality. Obesity is a complex disease which has reached pandemic dimensions. The worldwide prevalence of obesity has nearly tripled since 1975, mainly due to the adoption of a progressively more sedentary lifestyle and the consumption of less healthy diets. We first report herein updated prevalence rates of overweight and obesity by sex, age, and region first in Europe, per the WHO report, and then worldwide between 1980 and 2019, as we analyze and present herein the data provided by the Global Burden of Disease Study. The prevalence of obesity is higher in women than in men of any age and the prevalence of both overweight and obesity increases with age and has reached their highest point between the ages of 50 to 65 years showing a slight downward trend afterwards. The age-standardized prevalence of obesity has increased from 4.6% in 1980 to 14.0% in 2019. The American and European region have the highest obesity prevalence and the USA and Russia are the countries with the most obese residents. Given dire implications in terms of comorbidities </w:t>
      </w:r>
    </w:p>
    <w:p>
      <w:pPr/>
      <w:r>
        <w:rPr>
          <w:b/>
        </w:rPr>
        <w:t>POSSIBLE 2022:</w:t>
      </w:r>
      <w:r>
        <w:t xml:space="preserve"> Prevalence and Socioeconomic Correlates of Adult Obesity in Europe: The Feel4Diabetes Study — https://doi.org/10.3390/ijerph191912572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To effectively tackle obesity, it is necessary to identify all specific socioeconomic factors which contribute to its development. We aimed to highlight the prevalence of adult overweight/obesity in European countries and investigate the association of various socioeconomic factors and their accumulative effect on overweight/obesity status. Cross-sectional data from the Feel4Diabetes study for 24,562 adults residing in low socioeconomic areas were collected, representing Belgium, Finland, Greece, Spain, Bulgaria, and Hungary. Socioeconomic Burden Score (SEBS) was created, accounting for unemployment, financial insecurity, and education ≤ 12 years. Data were analyzed using analysis of variance and logistic regression. In total, 19,063 adults with complete data were included (34.5% overweight and 15.8% obese). The highest overweight/obesity rates occurred in Greece (37.5%/17.8%) and Hungary (35.4%/19.7%). After adjusting for confounders, age of &lt;45 years and female sex were inversely associated with overweight/obesity, while low educational level (≤12 years), unemployment, and financial insecurity were positively associated. The increase in SEBS (clustering of socioeconomic disadvantages) was associated with increased overweight/obesity likelihood. This association of SEBS scores with overweight/obesity was evident for males and females across all examined countries, excluding ma</w:t>
      </w:r>
    </w:p>
    <w:p>
      <w:pPr/>
      <w:r>
        <w:rPr>
          <w:b/>
        </w:rPr>
        <w:t>POSSIBLE 2022:</w:t>
      </w:r>
      <w:r>
        <w:t xml:space="preserve"> Supplementary Material for: Prevalence and correlates of overweight and obesity in 12 European Countries in 2017-2018 — https://doi.org/10.6084/m9.figshare.20417997</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w:t>
      </w:r>
    </w:p>
    <w:p>
      <w:pPr/>
      <w:r>
        <w:rPr>
          <w:b/>
        </w:rPr>
        <w:t>POSSIBLE 2022:</w:t>
      </w:r>
      <w:r>
        <w:t xml:space="preserve"> Increased Scabies Incidence at the Beginning of the 21st Century: What Do Reports from Europe and the World Show? — https://doi.org/10.3390/life12101598</w:t>
      </w:r>
    </w:p>
    <w:p>
      <w:pPr/>
      <w:r>
        <w:rPr>
          <w:b/>
        </w:rPr>
        <w:t>Shared claim-specific concepts:</w:t>
      </w:r>
      <w:r>
        <w:t xml:space="preserve"> increase, prevalence, every; EU scope visible. This is a provisional connection, not an outcome finding.</w:t>
      </w:r>
    </w:p>
    <w:p>
      <w:pPr>
        <w:pStyle w:val="SourceNote"/>
      </w:pPr>
      <w:r>
        <w:rPr>
          <w:b/>
        </w:rPr>
        <w:t>Available abstract (not full text):</w:t>
      </w:r>
      <w:r>
        <w:t xml:space="preserve"> Reports from various countries have described increasing numbers of scabies cases, especially in the past two decades. The epidemiological data for various world regions showed prevalence estimates ranging from 0.2% to 71%, with the highest prevalence in the Pacific region and Latin America. Therefore, geographically, scabies occurs more commonly in the developing world, tropical climates, and in areas with a lack of access to water. According to results from specific regions of the world, the greatest burdens from scabies were recorded for East Asia, Southeast Asia, Oceania, tropical Latin America, and South Asia. Among countries with the highest rates, the top 10 were Indonesia, China, Timor-Leste, Vanuatu, Fiji, Cambodia, Laos, Myanmar, Vietnam, and the Seychelles. From Europe, available data shows an increasing trend in scabies infestation, particularly evident among populations with associated contributing factors, such as those who travel frequently, refugees, asylum seekers, those who regularly lack drinking water and appropriate hygiene and are of a younger age, etc. This increase in observed cases in the last 10-20 years has been evidenced by research conducted in Germany, France, Norway, and Croatia, among other countries. In addition, increased scabies transmission was also recorded during the COVID-19 pandemic and may have been the result of increased sexual interco</w:t>
      </w:r>
    </w:p>
    <w:p>
      <w:pPr/>
      <w:r>
        <w:rPr>
          <w:b/>
        </w:rPr>
        <w:t>POSSIBLE 2021:</w:t>
      </w:r>
      <w:r>
        <w:t xml:space="preserve"> Childhood overweight and obesity in Europe: Changes from 2007 to 2017 — https://doi.org/10.1111/obr.13226</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The Childhood Obesity Surveillance Initiative (COSI) routinely measures height and weight of primary school children aged 6-9 years and calculates overweight and obesity prevalence within the World Health Organization (WHO) European Region using a standard methodology. This study examines the trends in the prevalence of overweight and obesity from the first round of COSI carried out in 2007/2008 to the latest of 2015/2017 in 11 European countries in which data were collected for at least three rounds. In total 303,155 children were measured. In general, the prevalence of overweight and obesity among boys and girls decreased in countries with high prevalence (Southern Europe) and remained stable or slightly increased in Northern European and Eastern European countries included in the analysis. Among boys, the highest decrease in overweight (including obesity) was observed in Portugal (from 40.5% in 2007/2008 to 28.4 in 2015/2017) and in Greece for obesity (from 30.5% in 2009/2010 to 21.7% in 2015/2017). Lithuania recorded the strongest increase in the proportion of boys with overweight (from 24.8% to 28.5%) and obesity (from 9.4% to 12.2%). The trends were similar for boys and girls in most countries. Several countries in Europe have successfully implemented policies and interventions to counteract the increase of overweight and obesity, but there is still much to be done.</w:t>
      </w:r>
    </w:p>
    <w:p>
      <w:pPr/>
      <w:r>
        <w:rPr>
          <w:b/>
        </w:rPr>
        <w:t>POSSIBLE 2021:</w:t>
      </w:r>
      <w:r>
        <w:t xml:space="preserve"> Gestational Diabetes Mellitus in Europe: A Systematic Review and Meta-Analysis of Prevalence Studies — https://doi.org/10.3389/fendo.2021.691033</w:t>
      </w:r>
    </w:p>
    <w:p>
      <w:pPr/>
      <w:r>
        <w:rPr>
          <w:b/>
        </w:rPr>
        <w:t>Shared claim-specific concepts:</w:t>
      </w:r>
      <w:r>
        <w:t xml:space="preserve"> prevalence, third, obese; EU scope visible. This is a provisional connection, not an outcome finding.</w:t>
      </w:r>
    </w:p>
    <w:p>
      <w:pPr>
        <w:pStyle w:val="SourceNote"/>
      </w:pPr>
      <w:r>
        <w:rPr>
          <w:b/>
        </w:rPr>
        <w:t>Available abstract (not full text):</w:t>
      </w:r>
      <w:r>
        <w:t xml:space="preserve"> Background Gestational Diabetes Mellitus (GDM) is defined as the type of hyperglycemia diagnosed for the first-time during pregnancy, presenting with intermediate glucose levels between normal levels for pregnancy and glucose levels diagnostic of diabetes in the non-pregnant state. We aimed to systematically review and meta-analyze studies of prevalence of GDM in European countries at regional and sub-regional levels, according to age, trimester, body weight, and GDM diagnostic criteria. Methods Systematic search was conducted in five databases to retrieve studies from 2014 to 2019 reporting the prevalence of GDM in Europe. Two authors have independently screened titles and abstracts and full text according to eligibility using Covidence software. A random-effects model was used to quantify weighted GDM prevalence estimates. The National Heart, Lung, and Blood Institute criteria was used to assess the risk of bias. Results From the searched databases, 133 research reports were deemed eligible and included in the meta-analysis. The research reports yielded 254 GDM-prevalence studies that tested 15,572,847 pregnant women between 2014 and 2019. The 133 research reports were from 24 countries in Northern Europe (44.4%), Southern Europe (27.1%), Western Europe (24.1%), and Eastern Europe (4.5%). The overall weighted GDM prevalence in the 24 European countries was estimated at 10.9% </w:t>
      </w:r>
    </w:p>
    <w:p>
      <w:pPr/>
      <w:r>
        <w:rPr>
          <w:b/>
        </w:rPr>
        <w:t>POSSIBLE 2020:</w:t>
      </w:r>
      <w:r>
        <w:t xml:space="preserve"> Obesity Prevalence in the Long-Term Future in 18 European Countries and in the USA — https://doi.org/10.1159/000511023</w:t>
      </w:r>
    </w:p>
    <w:p>
      <w:pPr/>
      <w:r>
        <w:rPr>
          <w:b/>
        </w:rPr>
        <w:t>Shared claim-specific concepts:</w:t>
      </w:r>
      <w:r>
        <w:t xml:space="preserve"> prevalence, obesity, expected; EU scope visible. This is a provisional connection, not an outcome finding.</w:t>
      </w:r>
    </w:p>
    <w:p>
      <w:pPr>
        <w:pStyle w:val="SourceNote"/>
      </w:pPr>
      <w:r>
        <w:rPr>
          <w:b/>
        </w:rPr>
        <w:t>Available abstract (not full text):</w:t>
      </w:r>
      <w:r>
        <w:t xml:space="preserve"> INTRODUCTION: Obesity constitutes a major public health problem in Europe, but how the obesity epidemic in European countries will evolve remains unknown. Most previous obesity projections considered the short-term future only, focused on single non-European countries, and projected ongoing increases foremost. We comparatively project obesity prevalence into the long-term future for 18 European countries and the USA. DATA: We used national age-specific (20-84 years) and sex-specific obesity prevalence estimates (1975-2016) from the NCD Risk Factor Collaboration (NCD-RisC) 2017 study, which are based on available measured height and weight data, supplemented with estimates from a Bayesian hierarchical model. METHODS: We projected age- and sex-specific obesity prevalence up to the year 2100 by integrating the notion of a wave-shaped obesity epidemic into conventional age-period projections. RESULTS: In 1990-2016, the increasing trends in obesity prevalence were decelerating. Obesity is expected to reach maximum levels between 2030 and 2052 among men, and between 2026 and 2054 among women. The maximum levels will likely be reached first in The Netherlands, USA, and UK, and last in Switzerland; and are expected to be highest in the USA and UK, and lowest in The Netherlands for men and Denmark for women. In 2060, obesity prevalence is expected to be lowest among Dutch men and highes</w:t>
      </w:r>
    </w:p>
    <w:p>
      <w:pPr/>
      <w:r>
        <w:rPr>
          <w:b/>
        </w:rPr>
        <w:t>POSSIBLE 2020:</w:t>
      </w:r>
      <w:r>
        <w:t xml:space="preserve"> Obesity ‑ a risk factor for increased COVID‑19 prevalence, severity and lethality (Review) — https://doi.org/10.3892/mmr.2020.11127</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Coronaviruses (CoVs), enveloped positive-sense RNA viruses, are a group of viruses that cause infections in the human respiratory tract, which can be characterized clinically from mild to fatal. The severe acute respiratory syndrome coronavirus 2 (SARS‑CoV‑2) is the virus responsible. The global spread of COVID‑19 can be described as the worst pandemic in humanity in the last century. To date, COVID‑19 has infected more than 3,000,000 people worldwide and killed more than 200,000 people. All age groups can be infected from the virus, but more serious symptoms that can possibly result in death are observed in older people and those with underlying medical conditions such as cardiovascular and pulmonary disease. Novel data report more severe symptoms and even a negative prognosis for the obese patients. A growing body of evidence connects obesity with COVID‑19 and a number of mechanisms from immune system activity attenuation to chronic inflammation are implicated. Lipid peroxidation creates reactive lipid aldehydes which in a patient with metabolic disorder and COVID‑19 will affect its prognosis. Finally, pregnancy‑associated obesity needs to be studied further in connection to COVID‑19 as this infection could pose high risk both to pregnant women and the fetus.</w:t>
      </w:r>
    </w:p>
    <w:p>
      <w:pPr>
        <w:pStyle w:val="Heading2"/>
      </w:pPr>
      <w:r>
        <w:t>774.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2022:</w:t>
      </w:r>
      <w:r>
        <w:t xml:space="preserve"> Policy mixes for mainstreaming urban nature-based solutions: An analysis of six European countries and the European Union — https://doi.org/10.1016/j.envsci.2022.10.011</w:t>
      </w:r>
    </w:p>
    <w:p>
      <w:pPr/>
      <w:r>
        <w:rPr>
          <w:b/>
        </w:rPr>
        <w:t>Shared claim-specific concepts:</w:t>
      </w:r>
      <w:r>
        <w:t xml:space="preserve"> mainstream, but, union; EU scope visible. This is a provisional connection, not an outcome finding.</w:t>
      </w:r>
    </w:p>
    <w:p>
      <w:pPr>
        <w:pStyle w:val="SourceNote"/>
      </w:pPr>
      <w:r>
        <w:rPr>
          <w:b/>
        </w:rPr>
        <w:t>Available abstract (not full text):</w:t>
      </w:r>
      <w:r>
        <w:t xml:space="preserve"> Nature-based solutions (NBS) are multifunctional and cost-effective innovations delivering urban sustainability, but they are not yet mainstream in urban development. This can be explained by persistent structural conditions in the urban infrastructure regime, resulting in barriers such as lack of collaborative governance, inadequate knowledge and limited funding availability. In this paper we argue that (supra)national governments could play an important role in breaking down these barriers by employing policy instruments and strategically combining these into policy mixes targeting multiple regime structures. By means of an empirical analysis across six European countries and the European Union (EU), we provide an overview of regulatory, financial and soft (supra)national policy instruments supporting urban NBS mainstreaming and how these are combined in policy mixes across cases. In addition, we investigate policy mix comprehensiveness by mapping the extent to which these target each of the relevant urban infrastructure regime structures underpinning barriers to urban NBS mainstreaming. We demonstrate that, with the exception of the EU, none of the studied cases employs a fully comprehensive policy mix. We conclude that by strategically adopting policy instruments with the aim of crafting a comprehensive policy mix, obstacles in pathways to urban NBS mainstreaming could be o</w:t>
      </w:r>
    </w:p>
    <w:p>
      <w:pPr/>
      <w:r>
        <w:rPr>
          <w:b/>
        </w:rPr>
        <w:t>POSSIBLE 2022:</w:t>
      </w:r>
      <w:r>
        <w:t xml:space="preserve"> Sustainable development in the European Union — https://doi.org/10.4324/9780429262081-25</w:t>
      </w:r>
    </w:p>
    <w:p>
      <w:pPr/>
      <w:r>
        <w:rPr>
          <w:b/>
        </w:rPr>
        <w:t>Shared claim-specific concepts:</w:t>
      </w:r>
      <w:r>
        <w:t xml:space="preserve"> academic, debate, union, process; EU scope visible. This is a provisional connection, not an outcome finding.</w:t>
      </w:r>
    </w:p>
    <w:p>
      <w:pPr>
        <w:pStyle w:val="SourceNote"/>
      </w:pPr>
      <w:r>
        <w:rPr>
          <w:b/>
        </w:rPr>
        <w:t>Available abstract (not full text):</w:t>
      </w:r>
      <w:r>
        <w:t xml:space="preserve"> For many, the definition of sustainable development provided in the Brundtland Report marked the beginning of the era of sustainability. This chapter that there remains much rhetoric, not action, in the sustainability debate in the European Union (EU), undermining the credibility of the brand and the opportunity for sustainability to become ‘the vision’ for the future of the EU. Notions of sustainability transition are prominent in academic literature and influence EU policy frameworks. The Sustainable Development Goals will be at the heart of EU’s policymaking and action. The EU and the Member States share the competence for action on sustainability. The EU is proposing strategies, including measures to be put into operation at the national and sub-national levels. The objective of sustainability has been mainstreamed into EU domestic and external policies. Within the EU, the increased commitment to sustainability resulted in a deepening of the process of European integration from the late 1980s.</w:t>
      </w:r>
    </w:p>
    <w:p>
      <w:pPr/>
      <w:r>
        <w:rPr>
          <w:b/>
        </w:rPr>
        <w:t>POSSIBLE 2022:</w:t>
      </w:r>
      <w:r>
        <w:t xml:space="preserve"> European politics : Crises, fears, and debates — https://doi.org/10.56037/978-2-14-026532-7</w:t>
      </w:r>
    </w:p>
    <w:p>
      <w:pPr/>
      <w:r>
        <w:rPr>
          <w:b/>
        </w:rPr>
        <w:t>Shared claim-specific concepts:</w:t>
      </w:r>
      <w:r>
        <w:t xml:space="preserve"> but, union, disintegration; EU scope visible. This is a provisional connection, not an outcome finding.</w:t>
      </w:r>
    </w:p>
    <w:p>
      <w:pPr>
        <w:pStyle w:val="SourceNote"/>
      </w:pPr>
      <w:r>
        <w:rPr>
          <w:b/>
        </w:rPr>
        <w:t>Available abstract (not full text):</w:t>
      </w:r>
      <w:r>
        <w:t xml:space="preserve"> The European Union has been struggling with a multilevel poly-crisis, weakening popular support for European integration, over the past more than a decade. Political leaders aim to reverse these dynamics through democratising and politicising the Union in order to bring it closer to citizens. However, this runs counter to a trend of increasing political alienation among the same citizens at the national level. This is a book about troubled and troubling transformations in contemporary European societies and politics, which generate fears across the continent. Fears of disintegration at the European level, fears of disorder and instability at the national level, fears of disorientation at the individual level, fears of becoming irrelevant at the global level, and fears of the future that seems to be full of dangers and risks. The authors give an overview of public debates about key challenges – regarding social inequalities, demography, migration, the ecological debt, sustainable development, democracy, communication, populism, or strategic sovereignty – behind these fears, and explain alternative responses offered to them. They address university students in the first place, but also hope to shape awareness in a broader public. Today’s fears, if ignored or left unanswered, have a dangerous potential to evolve into a new political era of anxiety in Europe, with a presumably deva</w:t>
      </w:r>
    </w:p>
    <w:p>
      <w:pPr/>
      <w:r>
        <w:rPr>
          <w:b/>
        </w:rPr>
        <w:t>POSSIBLE 2022:</w:t>
      </w:r>
      <w:r>
        <w:t xml:space="preserve"> On Mainstreaming Philosophy of Science in Psychology Through “Psychological Theoretics — https://doi.org/10.18290/rpsych2022.0002</w:t>
      </w:r>
    </w:p>
    <w:p>
      <w:pPr/>
      <w:r>
        <w:rPr>
          <w:b/>
        </w:rPr>
        <w:t>Shared claim-specific concepts:</w:t>
      </w:r>
      <w:r>
        <w:t xml:space="preserve"> debate, but, surely, crisis; EU scope not established. This is a provisional connection, not an outcome finding.</w:t>
      </w:r>
    </w:p>
    <w:p>
      <w:pPr>
        <w:pStyle w:val="SourceNote"/>
      </w:pPr>
      <w:r>
        <w:rPr>
          <w:b/>
        </w:rPr>
        <w:t>Available abstract (not full text):</w:t>
      </w:r>
      <w:r>
        <w:t xml:space="preserve"> The principal goal of psychological science is not application but theory. This is because a good theory yields accurate predictions and control, two preconditions for applications. Thus, good psychological science is one that produces good theories. Against the background of reproducibility crisis and the apparent non-existence of an integrated subfield of psychology addressing those issues, I submit psychological theoretics (or psycho-theoretics) as a potential solution. The scope of psychological theoretics is outlined and distinguished from other closely related subfields. It was argued that psychological theoretics has the potential to make a unique contribution to the advancement of good psychological science. It is also worth noting that even if the global community of psychologists might not be ready for psychological theoretics as a new subfield, the reforms proposed under its rubrics would still remain relevant today and in the future. Indeed, the question of whether it is completely new will surely be the subject of scientific debate.</w:t>
      </w:r>
    </w:p>
    <w:p>
      <w:pPr/>
      <w:r>
        <w:rPr>
          <w:b/>
        </w:rPr>
        <w:t>POSSIBLE 2019:</w:t>
      </w:r>
      <w:r>
        <w:t xml:space="preserve"> Course “European Identity Politics”. Academic year2018-2019. Didactic materials — https://openalex.org/W3044140315</w:t>
      </w:r>
    </w:p>
    <w:p>
      <w:pPr/>
      <w:r>
        <w:rPr>
          <w:b/>
        </w:rPr>
        <w:t>Shared claim-specific concepts:</w:t>
      </w:r>
      <w:r>
        <w:t xml:space="preserve"> academic, but, united; EU scope visible. This is a provisional connection, not an outcome finding.</w:t>
      </w:r>
    </w:p>
    <w:p>
      <w:pPr>
        <w:pStyle w:val="SourceNote"/>
      </w:pPr>
      <w:r>
        <w:rPr>
          <w:b/>
        </w:rPr>
        <w:t>Available abstract (not full text):</w:t>
      </w:r>
      <w:r>
        <w:t xml:space="preserve"> Contents Project “European Velues and Identity Studies” ................. 4 Course: “European Identity Politics” ................................... 6 Teachers ................................................................................... 10 Reading Texts: Avraham Rot Constructing Identity and Embracing Boredom in United Europe ............................................................................... 11 Juliette Chevée Constructing a European identity: yes, but how? .................. 25 The manifesto of European patriots Fight for Europe – or the wreckers will destroy it ............................................. 28 Francis Fukuyama Against Identity Politics ......................................................... 31 About Jean Monnet .............................................................. 56 About ERASMUS+ Jean Monnet Programme ................... 58</w:t>
      </w:r>
    </w:p>
    <w:p>
      <w:pPr>
        <w:pStyle w:val="Heading2"/>
      </w:pPr>
      <w:r>
        <w:t>775.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2025:</w:t>
      </w:r>
      <w:r>
        <w:t xml:space="preserve"> Urban Complexity + Emergence: Procedural Modeling of City Activity and Form — https://doi.org/10.31219/osf.io/uk4ve_v1</w:t>
      </w:r>
    </w:p>
    <w:p>
      <w:pPr/>
      <w:r>
        <w:rPr>
          <w:b/>
        </w:rPr>
        <w:t>Shared claim-specific concepts:</w:t>
      </w:r>
      <w:r>
        <w:t xml:space="preserve"> emergence, urban, city, techniques; EU scope not established. This is a provisional connection, not an outcome finding.</w:t>
      </w:r>
    </w:p>
    <w:p>
      <w:pPr>
        <w:pStyle w:val="SourceNote"/>
      </w:pPr>
      <w:r>
        <w:rPr>
          <w:b/>
        </w:rPr>
        <w:t>Available abstract (not full text):</w:t>
      </w:r>
      <w:r>
        <w:t xml:space="preserve"> Cities are immense and extremely difficult to conceptualize, let alone model, and previousdigitally based efforts have often failed to capture the complexity and indeterminacy of urbanorganizations. Architects and designers have had trouble conceiving of techniques for examiningthese systems due to their large number of interacting micro-parts that evolve over time. We’vealso had difficulty finding workable planning strategies that operate in a more decentralizedmanner to accommodate the multiplicity of (often autonomous) urban decision makers. To thisend, an interdisciplinary team composed of an architect and urban designer, a computer scientist,and a mathematician, educator and learning technologist are researching and formulatingmethods of examining cities using the agent-based digital modeling program NetLogo.</w:t>
      </w:r>
    </w:p>
    <w:p>
      <w:pPr/>
      <w:r>
        <w:rPr>
          <w:b/>
        </w:rPr>
        <w:t>POSSIBLE 2025:</w:t>
      </w:r>
      <w:r>
        <w:t xml:space="preserve"> Beyond Automation: The Emergence of Agentic Urban AI — https://doi.org/10.3390/automation6030029</w:t>
      </w:r>
    </w:p>
    <w:p>
      <w:pPr/>
      <w:r>
        <w:rPr>
          <w:b/>
        </w:rPr>
        <w:t>Shared claim-specific concepts:</w:t>
      </w:r>
      <w:r>
        <w:t xml:space="preserve"> emergence, urban, city, need; EU scope not established. This is a provisional connection, not an outcome finding.</w:t>
      </w:r>
    </w:p>
    <w:p>
      <w:pPr>
        <w:pStyle w:val="SourceNote"/>
      </w:pPr>
      <w:r>
        <w:rPr>
          <w:b/>
        </w:rPr>
        <w:t>Available abstract (not full text):</w:t>
      </w:r>
      <w:r>
        <w:t xml:space="preserve"> Urban systems are transforming as artificial intelligence (AI) evolves from automation to Agentic Urban AI (AI systems with autonomous goal-setting and decision-making capabilities), which independently define and pursue urban objectives. This shift necessitates reassessing governance, planning, and ethics. Using a conceptual-methodological approach, this study integrates urban studies, AI ethics, and governance theory. Through a literature review and case studies of platforms like Alibaba’s City Brain and CityMind AI Agent, it identifies early agency indicators, such as strategic adaptation and goal re-prioritisation. A typology distinguishing automation, autonomy, and agency clarifies AI-driven urban decision-making. Three trajectories are proposed: fully autonomous Agentic AI, collaborative Hybrid Urban Agency, and constrained Non-Agentic AI to mitigate ethical risks. The findings highlight the need for participatory, transparent governance to ensure democratic accountability and social equity in cognitive urban ecosystems.</w:t>
      </w:r>
    </w:p>
    <w:p>
      <w:pPr/>
      <w:r>
        <w:rPr>
          <w:b/>
        </w:rPr>
        <w:t>POSSIBLE 2025:</w:t>
      </w:r>
      <w:r>
        <w:t xml:space="preserve"> The Evolution of Restoration Ideologies: The Emergence, Disappearance, and Revival of the Palatine Gate as an Urban Axis Node — https://doi.org/10.56397/saa.2025.04.01</w:t>
      </w:r>
    </w:p>
    <w:p>
      <w:pPr/>
      <w:r>
        <w:rPr>
          <w:b/>
        </w:rPr>
        <w:t>Shared claim-specific concepts:</w:t>
      </w:r>
      <w:r>
        <w:t xml:space="preserve"> emergence, urban, city, techniques, focuses; EU scope visible. This is a provisional connection, not an outcome finding.</w:t>
      </w:r>
    </w:p>
    <w:p>
      <w:pPr>
        <w:pStyle w:val="SourceNote"/>
      </w:pPr>
      <w:r>
        <w:rPr>
          <w:b/>
        </w:rPr>
        <w:t>Available abstract (not full text):</w:t>
      </w:r>
      <w:r>
        <w:t xml:space="preserve"> This paper focuses on the Porta Palatina in Turin, Italy, analyzing its emergence, disappearance, and revival as a node of the urban axis. Using this as a central thread, it explores the evolution of restoration ideologies in Italy. Constructed in the 1st century BCE, Porta Palatina served as a crucial gateway to the ancient Roman city of Turin, marking the starting point of Caesar’s Gallic Wars and the spread of Roman civilization. Over the course of Turin’s urban transformation, the role of Porta Palatina as a city axis shifted through three distinct phases: from being a military and political center in Roman times, to being abandoned during the Baroque period, and finally, to its revival and rediscovery in modern times. This study delves into the restoration journey of Porta Palatina, spanning from stylistic restoration in the mid-19th century to scientific restoration in the 20th century, and culminating in archaeological park design in the 21st century. It illustrates the transition of Italian restoration ideologies from Romanticism to modern scientific conservation. By examining restoration practices across different eras, this paper uncovers the interactions between restoration theory and culture, history, and technology. It emphasizes that restoration is not only an advancement in architectural techniques but also a respect for and preservation of historical culture. Th</w:t>
      </w:r>
    </w:p>
    <w:p>
      <w:pPr/>
      <w:r>
        <w:rPr>
          <w:b/>
        </w:rPr>
        <w:t>POSSIBLE 2024:</w:t>
      </w:r>
      <w:r>
        <w:t xml:space="preserve"> The City of Medan: the Emergence of an Urban Centre — https://doi.org/10.1163/9789004716186_004</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emergence of urban heat traps and human mobility in 20 US cities — https://doi.org/10.1038/s42949-024-00142-3</w:t>
      </w:r>
    </w:p>
    <w:p>
      <w:pPr/>
      <w:r>
        <w:rPr>
          <w:b/>
        </w:rPr>
        <w:t>Shared claim-specific concepts:</w:t>
      </w:r>
      <w:r>
        <w:t xml:space="preserve"> emergence, urban, small; EU scope not established. This is a provisional connection, not an outcome finding.</w:t>
      </w:r>
    </w:p>
    <w:p>
      <w:pPr>
        <w:pStyle w:val="SourceNote"/>
      </w:pPr>
      <w:r>
        <w:rPr>
          <w:b/>
        </w:rPr>
        <w:t>Available abstract (not full text):</w:t>
      </w:r>
      <w:r>
        <w:t xml:space="preserve"> Abstract Understanding the relationship between spatial structures of cities and environmental hazard exposures is essential for urban health and sustainability planning. However, a critical knowledge gap exists in terms of the extent to which socio-spatial networks shaped by human mobility exacerbate or alleviate urban heat exposures of populations in cities. In this study, we utilize location-based data to construct human mobility networks in twenty metropolitan areas in the U.S. The human mobility networks are analyzed in conjunction with the urban heat characteristics of spatial areas. We identify areas with high and low urban heat exposure and evaluate visitation patterns of populations residing in high and low urban heat areas to other spatial areas with similar and dissimilar urban heat exposure. The results reveal the presence of urban heat traps in the majority of the studied metropolitan areas, wherein populations residing in high-heat exposure areas primarily visited other high-heat exposure zones. Specifically, cities such as Los Angeles, Boston, and Chicago were particularly pronounced as urban heat traps. The results also show a small percentage of human mobility to produce urban heat escalation and heat escapes. The findings from this study provide a better understanding of urban heat exposure in cities based on patterns of human mobility. These findings contribu</w:t>
      </w:r>
    </w:p>
    <w:p>
      <w:pPr>
        <w:pStyle w:val="Heading2"/>
      </w:pPr>
      <w:r>
        <w:t>776.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2025:</w:t>
      </w:r>
      <w:r>
        <w:t xml:space="preserve"> Analyzing Long-Term Trends in Air Temperature and Precipitation in Bel-Ksiri, Morocco (1980–2024) — https://doi.org/10.22194/jgias/25.1707</w:t>
      </w:r>
    </w:p>
    <w:p>
      <w:pPr/>
      <w:r>
        <w:rPr>
          <w:b/>
        </w:rPr>
        <w:t>Shared claim-specific concepts:</w:t>
      </w:r>
      <w:r>
        <w:t xml:space="preserve"> long-term, temperature, summer, precipitation; EU scope not established. This is a provisional connection, not an outcome finding.</w:t>
      </w:r>
    </w:p>
    <w:p>
      <w:pPr>
        <w:pStyle w:val="SourceNote"/>
      </w:pPr>
      <w:r>
        <w:rPr>
          <w:b/>
        </w:rPr>
        <w:t>Available abstract (not full text):</w:t>
      </w:r>
      <w:r>
        <w:t xml:space="preserve"> The study analyzes climate change in Bel-Ksiri. It provides an understanding of long-term trends (1980-2024) and changes between the last two standard twenty-year climate periods: 1980-2000 and 2001-2020.In this study, we determined the trend of the two variables studied using the Mann-Kendall test and calculated the difference and relative variations in temperature and precipitation. The Kolmogorov-Smirnov test (KS test) was used to compare the two climate periods studied (1980-2000 and 2001-2020). Data analysis was performed using the Python language. Climate trends from 1980 to 2024 reveal a marked warming, particularly in spring and summer, with an increase in daily temperature variations, exacerbating the risk of drought and impacting agriculture, water resources and health. The periods 1980-2000 and 2001-2020 show significant differences, notably an increase in maximum and minimum night-time temperatures, particularly during summer and spring. Analysis of climate indices, such as TX90p and TN90p, shows increases in temperature extremes, with notable rises in hot days and warm nights, underlining gradual warming. The TX30, TX35, TX37 and TX39 indices also show significant increases. Hot spells (WSDI) and cold spells (CSDI) have intensified, although some trends are not statistically significant. These results confirm a marked climate change, with significant impacts on eco</w:t>
      </w:r>
    </w:p>
    <w:p>
      <w:pPr/>
      <w:r>
        <w:rPr>
          <w:b/>
        </w:rPr>
        <w:t>POSSIBLE 2025:</w:t>
      </w:r>
      <w:r>
        <w:t xml:space="preserve"> Regional climate projections using a deep-learning–based model-ranking and downscaling framework: application to European climate zones — https://doi.org/10.1007/s11356-025-36872-9</w:t>
      </w:r>
    </w:p>
    <w:p>
      <w:pPr/>
      <w:r>
        <w:rPr>
          <w:b/>
        </w:rPr>
        <w:t>Shared claim-specific concepts:</w:t>
      </w:r>
      <w:r>
        <w:t xml:space="preserve"> temperature, txx, multi-model, projections; EU scope visible. This is a provisional connection, not an outcome finding.</w:t>
      </w:r>
    </w:p>
    <w:p>
      <w:pPr>
        <w:pStyle w:val="SourceNote"/>
      </w:pPr>
      <w:r>
        <w:rPr>
          <w:b/>
        </w:rPr>
        <w:t>Available abstract (not full text):</w:t>
      </w:r>
      <w:r>
        <w:t xml:space="preserve"> Abstract Accurate regional climate projection calls for high-resolution downscaling of Global Climate Models (GCMs). This work presents a deep-learning-based multi-model evaluation and downscaling framework ranking 32 Coupled Model Intercomparison Project Phase 6 (CMIP6) models using a Deep Learning-TOPSIS (DL-TOPSIS) mechanism and refines outputs using advanced deep-learning models. Using nine performance criteria, five Köppen-Geiger climate zones—Tropical, Arid, Temperate, Continental, and Polar—are investigated over four seasons. While TaiESM1 and CMCC-CM2-SR5 show notable biases, ranking results show that NorESM2-LM, GISS-E2-1-G, and HadGEM3-GC31-LL outperform other models. Four models contribute to downscaling the top-ranked GCMs to 0.1 $$^\circ $$ ∘ resolution (Vision Transformer (ViT), Geospatial Spatiotemporal Transformer with Attention and Imbalance-Aware Network (GeoSTANet), CNN-LSTM, CNN-Long Short-Term Memory (ConvLSTM)). Effectively capturing temperature extremes (TXx, TNn), GeoSTANet achieves the highest accuracy (Root Mean Square Error (RMSE) = 1.57 $$^\circ $$ ∘ C, Kling-Gupta Efficiency (KGE) = 0.89, Nash-Sutcliffe Efficiency (NSE) = 0.85, Correlation (r) = 0.92), so reducing RMSE by 20% over ConvLSTM. CNN-LSTM and ConvLSTM do well in Continental and Temperate zones; ViT finds fine-scale temperature fluctuations difficult. These results confirm that multi-crite</w:t>
      </w:r>
    </w:p>
    <w:p>
      <w:pPr/>
      <w:r>
        <w:rPr>
          <w:b/>
        </w:rPr>
        <w:t>POSSIBLE 2025:</w:t>
      </w:r>
      <w:r>
        <w:t xml:space="preserve"> Near-term Climate Prediction of Agricultural Thermal Conditions in East Asia — https://doi.org/10.1007/s00376-025-4471-0</w:t>
      </w:r>
    </w:p>
    <w:p>
      <w:pPr/>
      <w:r>
        <w:rPr>
          <w:b/>
        </w:rPr>
        <w:t>Shared claim-specific concepts:</w:t>
      </w:r>
      <w:r>
        <w:t xml:space="preserve"> temperature, about, end; EU scope not established. This is a provisional connection, not an outcome finding.</w:t>
      </w:r>
    </w:p>
    <w:p>
      <w:pPr>
        <w:pStyle w:val="SourceNote"/>
      </w:pPr>
      <w:r>
        <w:rPr>
          <w:b/>
        </w:rPr>
        <w:t>Available abstract (not full text):</w:t>
      </w:r>
      <w:r>
        <w:t xml:space="preserve"> Abstract Climate change poses significant risks to agriculture, particularly in East Asia, a major crop-producing region. This study evaluates the effectiveness of near-term climate predictions in forecasting agricultural thermal conditions in East Asia for up to five years. We compare temperature-based agroclimatic indicators from atmospheric reanalysis data with the first-year prediction of the Decadal Prediction System version 4 (DePreSys4), initialized annually from November 1960 to 2024. Our analysis reveals that first-year predictions accurately represent observed spatial climatological patterns, although trends in agroclimatic indicators based on daily maximum temperature are overestimated. High skill scores are observed in predicting the beginning of the growing season, frost-free days, agricultural hot days, and heat intensity in major cropping regions. However, the end of the growing season is less predictable due to longer lead times. Notably, five-year average predictions show higher skill than first-year predictions due to smoothed interannual variability. These improved climate predictions enable farmers and policymakers to make informed decisions about crop selection and agricultural infrastructure.</w:t>
      </w:r>
    </w:p>
    <w:p>
      <w:pPr/>
      <w:r>
        <w:rPr>
          <w:b/>
        </w:rPr>
        <w:t>POSSIBLE 2024:</w:t>
      </w:r>
      <w:r>
        <w:t xml:space="preserve"> Long-term daily water temperatures unveil escalating water warming and intensifying heatwaves in the Odra river Basin, Central Europe — https://doi.org/10.1016/j.gsf.2024.101916</w:t>
      </w:r>
    </w:p>
    <w:p>
      <w:pPr/>
      <w:r>
        <w:rPr>
          <w:b/>
        </w:rPr>
        <w:t>Shared claim-specific concepts:</w:t>
      </w:r>
      <w:r>
        <w:t xml:space="preserve"> long-term, temperature, central, ensemble, summer; EU scope visible. This is a provisional connection, not an outcome finding.</w:t>
      </w:r>
    </w:p>
    <w:p>
      <w:pPr>
        <w:pStyle w:val="SourceNote"/>
      </w:pPr>
      <w:r>
        <w:rPr>
          <w:b/>
        </w:rPr>
        <w:t>Available abstract (not full text):</w:t>
      </w:r>
      <w:r>
        <w:t xml:space="preserve"> Water temperature is a critical indicator and weathervane of aquatic ecosystems. However, the vast majority of rivers lack long-term continuous and complete water temperature datasets. In this study, ensemble models by combining NARX (nonlinear autoregressive network with exogenous inputs) and air2stream were used to reconstruct daily river water temperatures for 27 hydrological stations in the Odra River Basin, one of the largest river systems in Europe. For each hydrological station, both the NARX and air2stream models were calibrated and validated, and the better-performed model was selected to reconstruct daily river water temperatures from 1985 to 2022. The results showed that hybrid modeling by combining NARX and air2stream is promising for reconstructing daily river water temperatures. Based on the reconstructed dataset, annual and seasonal trends of water temperature and characteristics of river heatwaves were evaluated. The results indicated that annual river water temperatures showed a consistent warming trend over the past 40 years with an average warming rate of 0.315 °C/decade. Seasonal river water temperatures indicated that summer warms faster, followed by autumn and spring, and winter river water temperatures showed an insignificant warming trend. River heatwaves are increased in frequency, duration, and intensity in the Odra River Basin, and 6 out of 27 hydrolo</w:t>
      </w:r>
    </w:p>
    <w:p>
      <w:pPr/>
      <w:r>
        <w:rPr>
          <w:b/>
        </w:rPr>
        <w:t>POSSIBLE 2024:</w:t>
      </w:r>
      <w:r>
        <w:t xml:space="preserve"> Examining the Eastern European extreme summer temperatures of 2023 from a long-term perspective: the role of natural variability vs. anthropogenic factors — https://doi.org/10.5194/nhess-24-4683-2024</w:t>
      </w:r>
    </w:p>
    <w:p>
      <w:pPr/>
      <w:r>
        <w:rPr>
          <w:b/>
        </w:rPr>
        <w:t>Shared claim-specific concepts:</w:t>
      </w:r>
      <w:r>
        <w:t xml:space="preserve"> long-term, those, find, behavior, summer; EU scope visible. This is a provisional connection, not an outcome finding.</w:t>
      </w:r>
    </w:p>
    <w:p>
      <w:pPr>
        <w:pStyle w:val="SourceNote"/>
      </w:pPr>
      <w:r>
        <w:rPr>
          <w:b/>
        </w:rPr>
        <w:t>Available abstract (not full text):</w:t>
      </w:r>
      <w:r>
        <w:t xml:space="preserve"> Abstract. Amidst unprecedent rising global temperatures, this study investigates the historical context of heatwave (HW) events in Eastern Europe. The record-breaking 2023 summer, featuring a heatwave lasting for 19 days in the south-eastern part of Romania, extending up to Ukraine, necessitates a deeper understanding of past extreme events. Utilizing statistical methods on long-term station data spanning from 1885 to 2023, we aim to detect and analyze historical heatwaves, particularly focusing on events predating 1960. This extended timeframe allows for a more comprehensive assessment of noteworthy extremes compared to recent decades. Our analysis identifies two critical periods with increased heatwave frequency and intensity: 1920–1965 and 1980–2023, respectively, highlighting the most extreme events in August 1946, August 1952, July 2012, June 2019, and August 2023. Furthermore, reanalysis data shows that historical heatwaves, similar to the 2023 event, were associated with large-scale European heat extremes linked to high-pressure systems and they were accompanied by extreme drought, thus leading to compound extreme events. We find that while a clear trend emerges towards more frequent HWs from the 1980s onward, the analysis also uncovers substantial heatwave activity on daily timescales throughout the 1885–1960 period. Moreover, we highlight the intertwined impacts of cli</w:t>
      </w:r>
    </w:p>
    <w:p>
      <w:pPr/>
      <w:r>
        <w:rPr>
          <w:b/>
        </w:rPr>
        <w:t>POSSIBLE 2024:</w:t>
      </w:r>
      <w:r>
        <w:t xml:space="preserve"> Impact of Extreme Climate Indices on Vegetation Dynamics in the Qinghai–Tibet Plateau: A Comprehensive Analysis Utilizing Long-Term Dataset — https://doi.org/10.3390/ijgi13120457</w:t>
      </w:r>
    </w:p>
    <w:p>
      <w:pPr/>
      <w:r>
        <w:rPr>
          <w:b/>
        </w:rPr>
        <w:t>Shared claim-specific concepts:</w:t>
      </w:r>
      <w:r>
        <w:t xml:space="preserve"> long-term, temperature, txx, central, precipitation, distribution; EU scope not established. This is a provisional connection, not an outcome finding.</w:t>
      </w:r>
    </w:p>
    <w:p>
      <w:pPr>
        <w:pStyle w:val="SourceNote"/>
      </w:pPr>
      <w:r>
        <w:rPr>
          <w:b/>
        </w:rPr>
        <w:t>Available abstract (not full text):</w:t>
      </w:r>
      <w:r>
        <w:t xml:space="preserve"> The Qinghai–Tibet Plateau (QTP) is crucial for global climate regulation and ecological equilibrium. However, the phenomenon of global climate warming has increased the frequency of extreme weather events on the QTP, exerting substantial effects on both regional and global ecological systems. This study utilized long-term series NDVI and extreme climate indices to comprehensively evaluate the impact of extreme climatic changes on diverse vegetation types within the QTP. A variety of analytical methodologies, including trend analysis, a Mann–Kendall test, correlation analysis, and random forest importance ranking, were employed in this study. These methodologies were applied to investigate the distribution patterns and variation trends of diverse vegetation types and extreme climate indices. This comprehensive approach facilitated a detailed analysis of the responses of different vegetation types to interannual variability under extreme climatic conditions and enabled the assessment of the impact of extreme climate indices on these vegetation types. The findings have the following implications: (1) Except for forests, the annual NDVI for overall vegetation, meadows, steppes, deserts, and alpine vegetation in the QTP exhibits a significant upward trend (p &lt; 0.01). Notably, meadows and deserts demonstrate the highest growth rates at 0.007/10y, whereas the annual NDVI of forests is</w:t>
      </w:r>
    </w:p>
    <w:p>
      <w:pPr/>
      <w:r>
        <w:rPr>
          <w:b/>
        </w:rPr>
        <w:t>POSSIBLE 2023:</w:t>
      </w:r>
      <w:r>
        <w:t xml:space="preserve"> Mixtures of long-term exposure to ambient air pollution, built environment and temperature and stroke incidence across Europe — https://doi.org/10.1016/j.envint.2023.108136</w:t>
      </w:r>
    </w:p>
    <w:p>
      <w:pPr/>
      <w:r>
        <w:rPr>
          <w:b/>
        </w:rPr>
        <w:t>Shared claim-specific concepts:</w:t>
      </w:r>
      <w:r>
        <w:t xml:space="preserve"> long-term, temperature, lower, until, end; EU scope visible. This is a provisional connection, not an outcome finding.</w:t>
      </w:r>
    </w:p>
    <w:p>
      <w:pPr>
        <w:pStyle w:val="SourceNote"/>
      </w:pPr>
      <w:r>
        <w:rPr>
          <w:b/>
        </w:rPr>
        <w:t>Available abstract (not full text):</w:t>
      </w:r>
      <w:r>
        <w:t xml:space="preserve"> The complex interplay of multiple environmental factors and cardiovascular has scarcely been studied. Within the EXPANSE project, we evaluated the association between long-term exposure to multiple environmental indices and stroke incidence across Europe. Participants from three traditional adult cohorts (Germany, Netherlands and Sweden) and four administrative cohorts (Catalonia [region Spain], Rome [city-wide], Greece and Sweden [nationwide]) were followed until incident stroke, death, migration, loss of follow-up or study end. We estimated exposures at residential addresses from different exposure domains: air pollution (nitrogen dioxide (NO2), particulate matter &lt;2.5μm (PM2.5), black carbon (BC), ozone), built environment (green/blue spaces, impervious surfaces) and meteorology (seasonal mean and standard deviation of temperatures). Associations between environmental exposures and stroke were estimated in single and multiple-exposure Cox proportional hazard models, and Principal Component (PC) Analyses derived prototypes for specific exposures domains. We carried out random effects meta-analyses by cohort type. In over 15 million participants, increased levels of NO2 and BC were associated with increased higher stroke incidence in both cohort types. Increased Normalized Difference Vegetation Index (NDVI) was associated with a lower stroke incidence in both cohort types, whe</w:t>
      </w:r>
    </w:p>
    <w:p>
      <w:pPr/>
      <w:r>
        <w:rPr>
          <w:b/>
        </w:rPr>
        <w:t>POSSIBLE 2023:</w:t>
      </w:r>
      <w:r>
        <w:t xml:space="preserve"> The emergence of projected scaled patterns of extreme temperatures over Europe — https://doi.org/10.3389/feart.2023.1178461</w:t>
      </w:r>
    </w:p>
    <w:p>
      <w:pPr/>
      <w:r>
        <w:rPr>
          <w:b/>
        </w:rPr>
        <w:t>Shared claim-specific concepts:</w:t>
      </w:r>
      <w:r>
        <w:t xml:space="preserve"> temperature, txx, multi-model, ensemble; EU scope visible. This is a provisional connection, not an outcome finding.</w:t>
      </w:r>
    </w:p>
    <w:p>
      <w:pPr>
        <w:pStyle w:val="SourceNote"/>
      </w:pPr>
      <w:r>
        <w:rPr>
          <w:b/>
        </w:rPr>
        <w:t>Available abstract (not full text):</w:t>
      </w:r>
      <w:r>
        <w:t xml:space="preserve"> This work investigates the scalability of extreme temperatures over the European domain with global warming levels. We have used the EURO-CORDEX ensemble of regional model simulations at 0.11° resolution for daily minimum and maximum temperatures to analyze future changes in extreme weather daily events. Scaling with the annual mean global warming modeled by the driving GCM was applied to future extreme temperature indices changes. Regional changes in each index were scaled by corresponding global warming levels obtained from GCMs. This approach asserts that regional patterns of climate change and average global temperature change are linearly related. It can provide information regarding climate change for periods or emission scenarios when no simulations exist. According to the results, the annual minimum of the lowest temperature of the day (TNn) increases more than the annual maximum of the highest temperature of the day (TXx) for Europe. The multi-model mean of the changes in scaled patterns of extreme temperatures emerges early, around 2020, even before it becomes robust. Individual scaled patterns of TNn and TXx emerge from around 2040.</w:t>
      </w:r>
    </w:p>
    <w:p>
      <w:pPr/>
      <w:r>
        <w:rPr>
          <w:b/>
        </w:rPr>
        <w:t>POSSIBLE 2023:</w:t>
      </w:r>
      <w:r>
        <w:t xml:space="preserve"> Heat extremes in Western Europe increasing faster than simulated due to atmospheric circulation trends — https://doi.org/10.1038/s41467-023-42143-3</w:t>
      </w:r>
    </w:p>
    <w:p>
      <w:pPr/>
      <w:r>
        <w:rPr>
          <w:b/>
        </w:rPr>
        <w:t>Shared claim-specific concepts:</w:t>
      </w:r>
      <w:r>
        <w:t xml:space="preserve"> projections, summer; EU scope visible. This is a provisional connection, not an outcome finding.</w:t>
      </w:r>
    </w:p>
    <w:p>
      <w:pPr>
        <w:pStyle w:val="SourceNote"/>
      </w:pPr>
      <w:r>
        <w:rPr>
          <w:b/>
        </w:rPr>
        <w:t>Available abstract (not full text):</w:t>
      </w:r>
      <w:r>
        <w:t xml:space="preserve"> Abstract Over the last 70 years, extreme heat has been increasing at a disproportionate rate in Western Europe, compared to climate model simulations. This mismatch is not well understood. Here, we show that a substantial fraction (0.8 °C [0.2°−1.4 °C] of 3.4 °C per global warming degree) of the heat extremes trend is induced by atmospheric circulation changes, through more frequent southerly flows over Western Europe. In the 170 available simulations from 32 different models that we analyzed, including 3 large model ensembles, none have a circulation-induced heat trend as large as observed. This can be due to underestimated circulation response to external forcing, or to a systematic underestimation of low-frequency variability, or both. The former implies that future projections are too conservative, the latter that we are left with deep uncertainty regarding the pace of future summer heat in Europe. This calls for caution when interpreting climate projections of heat extremes over Western Europe, in view of adaptation to heat waves.</w:t>
      </w:r>
    </w:p>
    <w:p>
      <w:pPr>
        <w:pStyle w:val="Heading2"/>
      </w:pPr>
      <w:r>
        <w:t>777.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2025:</w:t>
      </w:r>
      <w:r>
        <w:t xml:space="preserve"> INTERDISCIPLINARY CONNECTIONS IN ACTION: CREATION OF THE STEAM EDUCATIONAL ECOSYSTEM — https://doi.org/10.52301/1684-940x-2025-1-42-47</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This article examines the basic principles of the organization of educational and methodological work, taking into account the implementation of interdisciplinary connections and integration in the context of the STEAM approach. In modern education, the task of combining science, technology, engineering, art and mathematics to ensure the comprehensive development of students is becoming increasingly important.</w:t>
      </w:r>
    </w:p>
    <w:p>
      <w:pPr/>
      <w:r>
        <w:rPr>
          <w:b/>
        </w:rPr>
        <w:t>POSSIBLE 2024:</w:t>
      </w:r>
      <w:r>
        <w:t xml:space="preserve"> Explainable Artificial Intelligence (XAI) 2.0: A manifesto of open challenges and interdisciplinary research directions — https://doi.org/10.1016/j.inffus.2024.102301</w:t>
      </w:r>
    </w:p>
    <w:p>
      <w:pPr/>
      <w:r>
        <w:rPr>
          <w:b/>
        </w:rPr>
        <w:t>Shared claim-specific concepts:</w:t>
      </w:r>
      <w:r>
        <w:t xml:space="preserve"> interdisciplinary, road, map, based; EU scope not established. This is a provisional connection, not an outcome finding.</w:t>
      </w:r>
    </w:p>
    <w:p>
      <w:pPr>
        <w:pStyle w:val="SourceNote"/>
      </w:pPr>
      <w:r>
        <w:rPr>
          <w:b/>
        </w:rPr>
        <w:t>Available abstract (not full text):</w:t>
      </w:r>
      <w:r>
        <w:t xml:space="preserve"> Understanding black box models has become paramount as systems based on opaque Artificial Intelligence (AI) continue to flourish in diverse real-world applications. In response, Explainable AI (XAI) has emerged as a field of research with practical and ethical benefits across various domains. This paper highlights the advancements in XAI and its application in real-world scenarios and addresses the ongoing challenges within XAI, emphasizing the need for broader perspectives and collaborative efforts. We bring together experts from diverse fields to identify open problems, striving to synchronize research agendas and accelerate XAI in practical applications. By fostering collaborative discussion and interdisciplinary cooperation, we aim to propel XAI forward, contributing to its continued success. We aim to develop a comprehensive proposal for advancing XAI. To achieve this goal, we present a manifesto of 28 open problems categorized into nine categories. These challenges encapsulate the complexities and nuances of XAI and offer a road map for future research. For each problem, we provide promising research directions in the hope of harnessing the collective intelligence of interested stakeholders.</w:t>
      </w:r>
    </w:p>
    <w:p>
      <w:pPr/>
      <w:r>
        <w:rPr>
          <w:b/>
        </w:rPr>
        <w:t>POSSIBLE 2024:</w:t>
      </w:r>
      <w:r>
        <w:t xml:space="preserve"> Strategic flood impact mitigation in developing countries’ urban road networks: Application to Hanoi — https://doi.org/10.1016/j.ejor.2024.06.035</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Due to climate change, the frequency and scale of flood events worldwide are increasing dramatically. Flood impacts are especially acute in developing countries, where they often revert years of progress in sustainable development and poverty reduction. This paper introduces an optimization-based decision support tool for selecting cost-efficient flood mitigation investments in developing countries’ urban areas. The core of the tool is a scenario-based, multi-period, bi-objective Mixed Integer Linear Programming model which minimizes infrastructure damage and traffic congestion in urban road networks. The tool was developed in collaboration with Vietnamese stakeholders (e.g., local communities and government authorities), and integrates data and inputs from other disciplines, including social science, transport economics, climatology and hydrology. A metaheuristic, combining a Greedy Randomized Adaptive Search Procedure with a Variable Neighborhood Descent algorithm, is developed to solve large scale problem instances. An extensive computational campaign on randomly generated instances demonstrates the efficiency of the metaheuristic in solving realistic problems with hundreds of interdependent flood mitigation interventions. Finally, the applicability of the interdisciplinary approach is demonstrated on a real case study to generate a 20-year plan of mitigation investments for</w:t>
      </w:r>
    </w:p>
    <w:p>
      <w:pPr/>
      <w:r>
        <w:rPr>
          <w:b/>
        </w:rPr>
        <w:t>POSSIBLE 2024:</w:t>
      </w:r>
      <w:r>
        <w:t xml:space="preserve"> Experience Architecture: Developing an Interdisciplinary UX Undergraduate Degree — https://openalex.org/W7215275235</w:t>
      </w:r>
    </w:p>
    <w:p>
      <w:pPr/>
      <w:r>
        <w:rPr>
          <w:b/>
        </w:rPr>
        <w:t>Shared claim-specific concepts:</w:t>
      </w:r>
      <w:r>
        <w:t xml:space="preserve"> interdisciplinary, creation, three, based; EU scope not established. This is a provisional connection, not an outcome finding.</w:t>
      </w:r>
    </w:p>
    <w:p>
      <w:pPr>
        <w:pStyle w:val="SourceNote"/>
      </w:pPr>
      <w:r>
        <w:rPr>
          <w:b/>
        </w:rPr>
        <w:t>Available abstract (not full text):</w:t>
      </w:r>
      <w:r>
        <w:t xml:space="preserve"> This program showcase discusses the creation of an undergraduate user experience program housed in the Arts and Humanities and shared between two programs: the Department of Art, Art History and Design and the Department of Writing, Rhetoric, and Cultures in the College of Arts and Letters at Michigan State University. The design of the program was grounded in three guiding questions: 1) How do we develop a UX degree that is rooted in Humanities at an R1 land-grant university? 2) How do we develop a curriculum that is interdisciplinary and upholds the values of the Humanities? 3) How can we remain agile and create space for curriculum revision that invites iteration in a way that does not chase industry, but produces graduates who can lead industry towards changes fostered by the work in the Humanities? In reflecting on these questions, the Experience Architecture (XA) Program was developed and deployed in the fall of 2013 and was revised in fall of 2020 to better situate the field under the umbrella of XA to filter conversations about human design thinking in and around a humanities centered approach to problem solving. We are humans building and designing systems for other humans, not ones and zeros building for other ones and zeros - our efforts should be grounded in the ethics, morals, and values of what it means to build, design, and care for humanities based systems, be t</w:t>
      </w:r>
    </w:p>
    <w:p>
      <w:pPr/>
      <w:r>
        <w:rPr>
          <w:b/>
        </w:rPr>
        <w:t>POSSIBLE 2024:</w:t>
      </w:r>
      <w:r>
        <w:t xml:space="preserve"> Interdisciplinary STEM education foundational concepts: Implementation for knowledge creation — https://doi.org/10.29333/ejmste/15471</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Interdisciplinary thinking is essential to understanding and solving real-life problems and requires multiple disciplinary viewpoints. Research into STEM education highlights that it promotes an interdisciplinary learning process integrating science, mathematics, engineering, and mathematics knowledge and skills. However, STEM definitions are varied, and implementation recommendations are scant, resulting in diversity in the development and implementation of the learning process. This study critically analyses the literature to determine the fundamental concepts of STEM education and STEM discipline integration. Our analysis discovers six key components of STEM education, encompassing the integration of discipline, utilization of multiple representations, engagement with realistic and relevant problems, application of the engineering design process, encouragement of active collaboration, and emphasis on student-centered learning approaches. Then, we transform these key components to a practical learning process. The STEM-DTaM (STEM with Design Thinking and Makerspace) learning model consists of seven steps. We then unfold how this proposed learning could facilitate interdisciplinary thinking construction.</w:t>
      </w:r>
    </w:p>
    <w:p>
      <w:pPr/>
      <w:r>
        <w:rPr>
          <w:b/>
        </w:rPr>
        <w:t>POSSIBLE 2024:</w:t>
      </w:r>
      <w:r>
        <w:t xml:space="preserve"> Developing Innovative Interdisciplinary Biomedical Engineering Programs in Nigeria: Lessons Learned — https://doi.org/10.18260/1-2--27241</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An interdisciplinary team comprising faculty from the medical school, business school and school of engineering at Northwestern University is in its third year of cultivating "locally grown" healthcare solutions in Nigeria through a grant provided by NIH's Fogarty International Center.Through a series of training sessions at multiple sites in multiple countries, faculty at the University of Lagos (UINLAG) and the University of Ibadan (UI) are gaining the expertise and developing the infrastructure necessary to identify, design, and commercialize solutions to their own healthcare issues.The specific aims of the grant are three-fold: 1) Establish new and strengthen existing training programs in biomedical engineering in sub-Saharan Africa; 2) Train biomedical engineers and medical doctors to evaluate newly developed HIV-related and other testing and therapeutic devices; 3) Train post graduates from business schools to scale-up development and launch new healthcare practices.In support of these specific aims we have created four distinct annual training sessions: 1) week-long annual planning meetings hosted by either UNILAG or UI and facilitated by the NU team; 2) ten-week long biomedical engineering training programs at the University of Cape Town (UCT) facilitated by UCT and NU faculty ; 3) participation in twoweek long Kellogg Field Studies in Africa; 4) four-week long mentorin</w:t>
      </w:r>
    </w:p>
    <w:p>
      <w:pPr/>
      <w:r>
        <w:rPr>
          <w:b/>
        </w:rPr>
        <w:t>POSSIBLE 2023:</w:t>
      </w:r>
      <w:r>
        <w:t xml:space="preserve"> The Belt and Road Initiative: An Integrative Subject for Interdisciplinary Studies about China — https://doi.org/10.65959/eaa.1810</w:t>
      </w:r>
    </w:p>
    <w:p>
      <w:pPr/>
      <w:r>
        <w:rPr>
          <w:b/>
        </w:rPr>
        <w:t>Shared claim-specific concepts:</w:t>
      </w:r>
      <w:r>
        <w:t xml:space="preserve"> interdisciplinary, road, allow; EU scope not established. This is a provisional connection, not an outcome finding.</w:t>
      </w:r>
    </w:p>
    <w:p>
      <w:pPr>
        <w:pStyle w:val="SourceNote"/>
      </w:pPr>
      <w:r>
        <w:rPr>
          <w:b/>
        </w:rPr>
        <w:t>Available abstract (not full text):</w:t>
      </w:r>
      <w:r>
        <w:t xml:space="preserve"> hina's economic transformation altered the global economy in unexpected ways.In 2000 when Bill Clinton encouraged Congress to support China's ascension to the World Trade Organization (WTO), his argument centered on the belief that once Chinese society saw the power and the benefits of capitalism, it would demand political and economic freedom, and the power of free markets would propel China to economic prosperity.Twenty-plus years later, China has discovered its own path to economic wellness, one that continues to support the Chinese Communist Party (CCP) with political power largely unquestioned.The economy is the second largest in the world and the largest under standards of purchasing power parity (the exchange rate that would translate renminbi to dollars and allow someone to buy the same basket of goods in either country).1 China's investment in its own infrastructure and the development of industry in technology, finance, and artificial intelligence make the country a daunting global competitor.Given China's rise and its explicit resolution to follow its own path, an understanding of China's economic transformation and global strategy is imperative for American students preparing for careers.The vast differences in culture and worldview of Chinese society suggest that simply applying the standard business transaction and replacing US dollars with Chinese renminbi is not</w:t>
      </w:r>
    </w:p>
    <w:p>
      <w:pPr/>
      <w:r>
        <w:rPr>
          <w:b/>
        </w:rPr>
        <w:t>POSSIBLE 2022:</w:t>
      </w:r>
      <w:r>
        <w:t xml:space="preserve"> Arctic roads and railways: social and environmental consequences of transport infrastructure in the circumpolar North — https://doi.org/10.1139/as-2021-0033</w:t>
      </w:r>
    </w:p>
    <w:p>
      <w:pPr/>
      <w:r>
        <w:rPr>
          <w:b/>
        </w:rPr>
        <w:t>Shared claim-specific concepts:</w:t>
      </w:r>
      <w:r>
        <w:t xml:space="preserve"> integrated, case; EU scope not established. This is a provisional connection, not an outcome finding.</w:t>
      </w:r>
    </w:p>
    <w:p>
      <w:pPr>
        <w:pStyle w:val="SourceNote"/>
      </w:pPr>
      <w:r>
        <w:rPr>
          <w:b/>
        </w:rPr>
        <w:t>Available abstract (not full text):</w:t>
      </w:r>
      <w:r>
        <w:t xml:space="preserve"> Land-based transport corridors and related infrastructure are increasingly extending into and across the Arctic in support of resource development and population growth, causing large-scale cumulative changes to northern socio-ecological systems. These changes include the increased mobility of people, goods and resources, and environmental impacts on landscapes and ecosystems as the human footprint reaches remote, unindustrialized regions. Arctic climate change is also generating new challenges for the construction and maintenance of these transport systems, requiring adaptive engineering solutions as well as community resilience. In this review article, we consider the complex entanglements between humans, the environment, and land transportation infrastructure in the North and illustrate these interrelations by way of seven case studies: the Baikal–Amur Mainline, Bovanenkovo Railway, Alaska–Canada Highway, Inuvik–Tuktoyatuk Highway, Alaska Railroad, Hudson Bay Railway, and proposed railways on Baffin Island, Canada. As new infrastructure is built and anticipated across the circumpolar North, there is an urgent need for an integrated socio-ecological approach to impact assessment. This would include full consideration of Indigenous knowledge and concerns, collaboration with local communities and user groups in assessment, planning and monitoring, and evaluation of alternative </w:t>
      </w:r>
    </w:p>
    <w:p>
      <w:pPr>
        <w:pStyle w:val="Heading2"/>
      </w:pPr>
      <w:r>
        <w:t>778.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2023:</w:t>
      </w:r>
      <w:r>
        <w:t xml:space="preserve"> Designing Corpus-Creation Tools for Language Revitalization — https://doi.org/10.1353/dic.2023.a915069</w:t>
      </w:r>
    </w:p>
    <w:p>
      <w:pPr/>
      <w:r>
        <w:rPr>
          <w:b/>
        </w:rPr>
        <w:t>Shared claim-specific concepts:</w:t>
      </w:r>
      <w:r>
        <w:t xml:space="preserve"> describe, use, tool; EU scope not established. This is a provisional connection, not an outcome finding.</w:t>
      </w:r>
    </w:p>
    <w:p>
      <w:pPr>
        <w:pStyle w:val="SourceNote"/>
      </w:pPr>
      <w:r>
        <w:rPr>
          <w:b/>
        </w:rPr>
        <w:t>Available abstract (not full text):</w:t>
      </w:r>
      <w:r>
        <w:t xml:space="preserve"> ABSTRACT: We have developed a set of corpus-creation tools to support the documentation and revitalization of Isga I?abi (also known as Stoney ), a Siouan language spoken in Alberta. This project has emerged from a collaboration between community language champions and university-based researchers, with the goal of creating a new generation of Stoney speakers. The initial phase of the project has focused on expanding the documentary record of the language by creating a corpus of spoken Isga I?abi, recorded from nearly a dozen fluent speakers. We describe the particular constraints that informed the design of the project and how they led us to create several new tools for elicitation. First was an adaptation of the Summer Institute of Linguistics' Rapid Words Collection method, where, instead of focusing on individual lexemes, we collected thematically organized sentences displaying targeted grammatical properties. Next, we developed a photo prompter tool, which allows speakers to describe what they see in a photo, but also to discuss the photo with other speakers in spontaneous discourse. These simple tools allow the speakers to handle the day-to-day work of language documentation themselves, without needing a linguist to be present during those sessions. The outputs from this process (currently over fifty hours of audio) will find their way into various resources and activitie</w:t>
      </w:r>
    </w:p>
    <w:p>
      <w:pPr/>
      <w:r>
        <w:rPr>
          <w:b/>
        </w:rPr>
        <w:t>POSSIBLE 2022:</w:t>
      </w:r>
      <w:r>
        <w:t xml:space="preserve"> Creation of new tools and their use for analytical-synthetic method of reading — https://openalex.org/W7135751639</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The aim of the diploma thesis is to create new tools for analytical-synthetic method of reading. In the theoretical part, I present mainly the analytical-synthetic method of reading, but also other alternative methods of reading that are used in schools today. I also analyze in detail the individual stages of the analytical-synthetic method of reading and possible evaluation or diagnostics of reading. Based on the literature, I present the benefits but also the problems that may occur in teaching analytical-synthetic method. I also present teaching aids that can be used in teaching, which support this method. For comparison with aids to teaching reading by the analytical-synthetic method, I present typical aids used in the practice of reading by the genetic method. In the practical part I describe the procedures of creating teaching aids and state the appropriate use of aids in practice. I verified the functionality and usability of the aids at the primary and kindergarten school in Božičany in the district of Karlovy Vary. I created a didactic commentary for each aid, which serves as a guide to a specific aid. I consider the overview of specific activities usable in practice to be the most practical and usable for other colleagues. Thanks to this part, my diploma thesis can serve other colleagues...</w:t>
      </w:r>
    </w:p>
    <w:p>
      <w:pPr/>
      <w:r>
        <w:rPr>
          <w:b/>
        </w:rPr>
        <w:t>POSSIBLE 2021:</w:t>
      </w:r>
      <w:r>
        <w:t xml:space="preserve"> Using the Systems Engineering Initiative for Patient Safety (SEIPS) model to describe the planning and management of the COVID-19 pandemic in Hong Kong — https://doi.org/10.1093/intqhc/mzab042</w:t>
      </w:r>
    </w:p>
    <w:p>
      <w:pPr/>
      <w:r>
        <w:rPr>
          <w:b/>
        </w:rPr>
        <w:t>Shared claim-specific concepts:</w:t>
      </w:r>
      <w:r>
        <w:t xml:space="preserve"> describe, use, planning, tool, five, private; EU scope not established. This is a provisional connection, not an outcome finding.</w:t>
      </w:r>
    </w:p>
    <w:p>
      <w:pPr>
        <w:pStyle w:val="SourceNote"/>
      </w:pPr>
      <w:r>
        <w:rPr>
          <w:b/>
        </w:rPr>
        <w:t>Available abstract (not full text):</w:t>
      </w:r>
      <w:r>
        <w:t xml:space="preserve"> The COVID-19 pandemic has had massive impact on healthcare systems highlighting that the relatively deficient medical facilities to cater the high patient load and the shortage of personal protective equipment (PPE) to ensure staff safety are the major problems to tackle [1, 2]. Hong Kong public hospitals faced the same challenges. It is crucial for the hospital management to formulate decisive strategies through a systems approach and take swift actions to handle these situations. The Systems Engineering Initiative for Patient Safety (SEIPS) model, consisted of five main domains namely organization, person, tasks, technologies and tools, and environment, is a renowned tool which adopts human factors principles and offers a comprehensive conceptual framework in facilitating hospital management to understand its own system [3, 4]. Evidence showed that this model had been successfully applied in handling the COVID-19 pandemic [5]. The aims of this article are to apply the SEIPS model to systematically describe the strategies and actions taken by the five public hospitals in the New Territories West Cluster (NTWC) of Hong Kong Hospital Authority and examine if the SEIPS model could support organizations in planning for and managing a pandemic. The strategies and actions taken in the NTWC since the COVID-19 pandemic in February 2020 are summarized in Table 1, and the key actions of</w:t>
      </w:r>
    </w:p>
    <w:p>
      <w:pPr/>
      <w:r>
        <w:rPr>
          <w:b/>
        </w:rPr>
        <w:t>POSSIBLE 2021:</w:t>
      </w:r>
      <w:r>
        <w:t xml:space="preserve"> Tools creation for procedural environments — https://openalex.org/W7113654776</w:t>
      </w:r>
    </w:p>
    <w:p>
      <w:pPr/>
      <w:r>
        <w:rPr>
          <w:b/>
        </w:rPr>
        <w:t>Shared claim-specific concepts:</w:t>
      </w:r>
      <w:r>
        <w:t xml:space="preserve"> describe, use, tool, creation; EU scope not established. This is a provisional connection, not an outcome finding.</w:t>
      </w:r>
    </w:p>
    <w:p>
      <w:pPr>
        <w:pStyle w:val="SourceNote"/>
      </w:pPr>
      <w:r>
        <w:rPr>
          <w:b/>
        </w:rPr>
        <w:t>Available abstract (not full text):</w:t>
      </w:r>
      <w:r>
        <w:t xml:space="preserve"> Industry exigencies on AAA video games productions are increasing, times are tightening and it becomes harder to plan a large project. Today procedural generation of content allows to make productions faster and more efficient by shortening the times of tedious processes like worlds creation. With this project we want to demonstrate and explain why big video game companies are focusing their efforts on creating tools for designers, how production times are substantially reduced and how these tools are developed. Specifically, we want to describe how Houdini, a software based on nodal systems, allows us to procedurally create impressive environments, models and tools through which generate thousands of high quality results by modifying a few parameters. Considering that a project of this magnitude may involve a great effort and innumerable resources of a big team, we will focus our efforts on reaching an initial basic prototype with the sufficient quality required by the market in the AAA video game industry on each of the produced tools. The results obtained were very satisfactory and fulfilled all the proposed objectives. We believe that our knowledge of Houdini, procedural tools and Unreal Engine has grown greatly and, moreover, as a fact, has been self-taught. We have also managed to get very close to what we chose as references to follow for the project, a very high-quality</w:t>
      </w:r>
    </w:p>
    <w:p>
      <w:pPr/>
      <w:r>
        <w:rPr>
          <w:b/>
        </w:rPr>
        <w:t>POSSIBLE 2020:</w:t>
      </w:r>
      <w:r>
        <w:t xml:space="preserve"> Reasoning versus Planning — https://doi.org/10.1002/9781119720348.ch5</w:t>
      </w:r>
    </w:p>
    <w:p>
      <w:pPr/>
      <w:r>
        <w:rPr>
          <w:b/>
        </w:rPr>
        <w:t>Shared claim-specific concepts:</w:t>
      </w:r>
      <w:r>
        <w:t xml:space="preserve"> use, planning, tool, versus; EU scope not established. This is a provisional connection, not an outcome finding.</w:t>
      </w:r>
    </w:p>
    <w:p>
      <w:pPr>
        <w:pStyle w:val="SourceNote"/>
      </w:pPr>
      <w:r>
        <w:rPr>
          <w:b/>
        </w:rPr>
        <w:t>Available abstract (not full text):</w:t>
      </w:r>
      <w:r>
        <w:t xml:space="preserve"> In this chapter, the author defends the theory that the ability to use and make tools and build constructions is based on technical-reasoning skills, useful for solving physical problems that humans generate themselves. He proposes a revised version of some of the theses supported by cognitive archaeologists, according to which the development of executive functions during our evolution would be the key to explaining complex Tool behaviors. The author describes three key processes concerning executive functions, namely flexibility, inhibition and updating. He also proposes a theoretical development on the contribution of technical reasoning and the potential role of executive functions. The theoretical development provides an alternative scenario where these schemas are not stored, but rather generated either totally (i.e. total planning) or partially (i.e. partial planning).</w:t>
      </w:r>
    </w:p>
    <w:p>
      <w:pPr/>
      <w:r>
        <w:rPr>
          <w:b/>
        </w:rPr>
        <w:t>POSSIBLE 2020:</w:t>
      </w:r>
      <w:r>
        <w:t xml:space="preserve"> Web 2.0 tools as framework for participation and co-creation — https://doi.org/10.24140/2020-sct-vol.4-2.5</w:t>
      </w:r>
    </w:p>
    <w:p>
      <w:pPr/>
      <w:r>
        <w:rPr>
          <w:b/>
        </w:rPr>
        <w:t>Shared claim-specific concepts:</w:t>
      </w:r>
      <w:r>
        <w:t xml:space="preserve"> use, planning, tool; EU scope visible. This is a provisional connection, not an outcome finding.</w:t>
      </w:r>
    </w:p>
    <w:p>
      <w:pPr>
        <w:pStyle w:val="SourceNote"/>
      </w:pPr>
      <w:r>
        <w:rPr>
          <w:b/>
        </w:rPr>
        <w:t>Available abstract (not full text):</w:t>
      </w:r>
      <w:r>
        <w:t xml:space="preserve"> Web 2.0 has brought a plethora of new tools (such as Twitter, Facebook, Instagram and others) and new functionalities, for instance, the ability to co-create web content.The question that is being asked is whether these applications and online tools can be used as an alternative to non-electronic tools for participation in spatial planning processes.The co-creation process that these tools enable is also participation.Participation in urban planning is an important part of space planning that we share with different users of planned space.The chapter shows how the theory of participation can be associated with participatory methods that are used in spatial planning.And how to use them when choosing and creating electronic Web 2.0 tools of.However, to make the use of electronic tools easier for non-professionals from the field of Information and Communication Technology (ICT), we have selected electronic tools designed for collaboration and participation to be integrated into a generative web framework.Various electronic tools are described in this chapter, with different ways of using in the processes of participation and co-creation.One tool that was developed for the needs of a certain European project from the field of integration of local initiatives in revitalizing urban public spaces of contemporary cities and could be used for other similar purposes will be described in </w:t>
      </w:r>
    </w:p>
    <w:p>
      <w:pPr/>
      <w:r>
        <w:rPr>
          <w:b/>
        </w:rPr>
        <w:t>POSSIBLE 2019:</w:t>
      </w:r>
      <w:r>
        <w:t xml:space="preserve"> The Planning in Life and Adapting to Novel Situations (PLANS): An Ecologically Valid Measure of Every-day Planning — https://openalex.org/W3034860865</w:t>
      </w:r>
    </w:p>
    <w:p>
      <w:pPr/>
      <w:r>
        <w:rPr>
          <w:b/>
        </w:rPr>
        <w:t>Shared claim-specific concepts:</w:t>
      </w:r>
      <w:r>
        <w:t xml:space="preserve"> use, planning, effective, capacity; EU scope not established. This is a provisional connection, not an outcome finding.</w:t>
      </w:r>
    </w:p>
    <w:p>
      <w:pPr>
        <w:pStyle w:val="SourceNote"/>
      </w:pPr>
      <w:r>
        <w:rPr>
          <w:b/>
        </w:rPr>
        <w:t>Available abstract (not full text):</w:t>
      </w:r>
      <w:r>
        <w:t xml:space="preserve"> Individuals with brain injuries often experience impairment in executive functioning, including the ability to plan. Planning dysfunction limits the capacity to complete functional planning tasks required for effective independent living and community functioning and is a frequent target of community rehabilitation intervention. Current planning measurement tools have limitations in their ecological validity, and are not sensitive to every-day planning. Research has shown that naturalistic simulated instruments have higher degrees of ecological validity than traditional testing options, and are more predictive of executive functioning limitations observed in real-world contexts. This dissertation project describes three research studies involved with the development and feasibility of a new naturalistic instrument: The Planning in Life and Adapting to Novel Situations (PLANS). The first study conducted a scoping literature review (n=22) and semi-structured interviews (n=8) with community rehabilitation clinicians to inform the context, tasks, and scoring of the PLANS. Second, an analysis of clinical data from the Community Multiple Errands Test (CoMET), by individuals with cognitive disabilities (n=55) was conducted to assess planning performance errors in community functioning. CoMET performance was significantly related to measures of logical reasoning, planning and verbal fl</w:t>
      </w:r>
    </w:p>
    <w:p>
      <w:pPr/>
      <w:r>
        <w:rPr>
          <w:b/>
        </w:rPr>
        <w:t>POSSIBLE 2019:</w:t>
      </w:r>
      <w:r>
        <w:t xml:space="preserve"> Acting and Planning Using Operational Models — https://doi.org/10.1609/aaai.v33i01.33017691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The most common representation formalisms for planning are descriptive models. They abstractly describe what the actions do and are tailored for efficiently computing the next state(s) in a state transition system. But acting requires operational models that describe how to do things, with rich control structures for closed-loop online decision-making. Using descriptive representations for planning and operational representations for acting can lead to problems with developing and verifying consistency of the different models.We define and implement an integrated acting-and-planning system in which both planning and acting use the same operational models, which are written in a general-purpose hierarchical task-oriented language offering rich control structures. The acting component is inspired by the well-known PRS system, except that instead of being purely reactive, it can get advice from the planner. Our planning algorithm, RAEplan, plans by doing Monte Carlo rollout simulations of the actor’s operational models. Our experiments show significant benefits in the efficiency of the acting and planning system.</w:t>
      </w:r>
    </w:p>
    <w:p>
      <w:pPr/>
      <w:r>
        <w:rPr>
          <w:b/>
        </w:rPr>
        <w:t>POSSIBLE 2019:</w:t>
      </w:r>
      <w:r>
        <w:t xml:space="preserve"> A Usability Study of a Tool for Contributor-supplied Metadata Creation: The Use of Metadata Element Definitions and Examples in Online Help — https://doi.org/10.17615/m9ev-xy63</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paper describes a usability study of Botanical Pride, a contributor-supplied metadata creation tool which allows botany enthusiasts to create metadata for images of botanical specimens. Two versions of the interface were tested: a Definitions Only version that included definitions of metadata elements and a Definitions+Examples version that included definitions of metadata elements and one or more examples of metadata element values. Participants used each version of the interface to create a metadata record for a different selected image. Testing was conducted via the World Wide Web. Usability was measured by responses to a satisfaction questionnaire and by mean task completion times. Recommendations are made for the use of examples in the help for Botanical Pride. Implications for the design of future studies of metadata creation tools for use by non-metadata experts are considered.</w:t>
      </w:r>
    </w:p>
    <w:p>
      <w:pPr>
        <w:pStyle w:val="Heading2"/>
      </w:pPr>
      <w:r>
        <w:t>779.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2021:</w:t>
      </w:r>
      <w:r>
        <w:t xml:space="preserve"> Lightning forecasting in Bangladesh based on the lightning potential index and the electric potential — https://doi.org/10.1016/j.atmosres.2021.105973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This work documents the performances of diagnostic and explicit lightning forecasts for selected high impact weather events over Bangladesh. The lightning flashes are calculated by three methods: (1) a diagnostic lightning parameterization that bases its algorithm on the level of neutral buoyancy from a convective parameterization scheme, (2) lightning potential index (LPI) using local graupel and ice contents, and (3) explicit prediction of electric fields and lightning initiation from WRF-ELEC. Five lightning events that occurred on 02 April 2019, 17 May 2019, 20 April 2020, 26 May 2020, and 20 May 2021 were examined to evaluate the forecasting capability of each scheme for the lightning over a 24-h forecast period. Prior to diagnosing lightning activity, the composite radar reflectivity and the neighborhood score metrics (ETS, FSS) for hourly rainfall were analyzed to determine if the simulated precipitation structure is consistent with the observations. Analyses based on performance diagrams were also included for a better illustration of how simulations perform on predicting precipitation. The spatial distribution of LPI and lightning flashes is compared against the NASA Lightning Imaging Sensor (LIS) dataset. The qualitative results show that in most of the studied cases, there is a good agreement between the observations and the WRF-ELEC-based simulations in terms of det</w:t>
      </w:r>
    </w:p>
    <w:p>
      <w:pPr/>
      <w:r>
        <w:rPr>
          <w:b/>
        </w:rPr>
        <w:t>POSSIBLE 2020:</w:t>
      </w:r>
      <w:r>
        <w:t xml:space="preserve"> Load probability density forecasting by transforming and combining quantile forecasts — https://doi.org/10.1016/j.apenergy.2020.115600</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Compared with traditional deterministic load forecasting, probabilistic load forecasting (PLF) help us understand the potential risks in the power system operation by providing more information about future uncertainties of the loads. Quantile forecasting, as a kind of non-parametric probabilistic forecasting method, has been well developed and widely used in PLF. However, the results of quantile forecasts are discrete, which contain fewer details than density forecasts which provide the most comprehensive information. This paper proposes a novel day-ahead load probability density forecasting method by transforming and combining multiple quantile forecasts. The proposed method includes two main steps: transformation and combination. In the first step, the kernel density estimation method is used to transform the individual quantile forecast into the probability density curve; in the second step, an optimization problem is established to obtain the weighted combination of different probability density forecasts. The perturbation search method is applied to determine the optimal weight of each individual forecast. We demonstrate the effectiveness and superiority of our proposed method using comprehensive case studies on the real-world load data from Guangdong province in China, ISO New England (ISO-NE) in the US and Irish smart meter data. Case studies show that the combined mode</w:t>
      </w:r>
    </w:p>
    <w:p>
      <w:pPr/>
      <w:r>
        <w:rPr>
          <w:b/>
        </w:rPr>
        <w:t>POSSIBLE 2020:</w:t>
      </w:r>
      <w:r>
        <w:t xml:space="preserve"> Forecasting cycles of seizure likelihood — https://doi.org/10.1111/epi.16485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OBJECTIVE: Seizure unpredictability is rated as one of the most challenging aspects of living with epilepsy. Seizure likelihood can be influenced by a range of environmental and physiological factors that are difficult to measure and quantify. However, some generalizable patterns have been demonstrated in seizure onset. A majority of people with epilepsy exhibit circadian rhythms in their seizure times, and many also show slower, multiday patterns. Seizure cycles can be measured using a range of recording modalities, including self-reported electronic seizure diaries. This study aimed to develop personalized forecasts from a mobile seizure diary app. METHODS: Forecasts based on circadian and multiday seizure cycles were tested pseudoprospectively using data from 50 app users (mean of 109 seizures per subject). Individuals' strongest cycles were estimated from their reported seizure times and used to derive the likelihood of future seizures. The forecasting approach was validated using self-reported events and electrographic seizures from the Neurovista dataset, an existing database of long-term electroencephalography that has been widely used to develop forecasting algorithms. RESULTS: The validation dataset showed that forecasts of seizure likelihood based on self-reported cycles were predictive of electrographic seizures for approximately half the cohort. Forecasts using only</w:t>
      </w:r>
    </w:p>
    <w:p>
      <w:pPr/>
      <w:r>
        <w:rPr>
          <w:b/>
        </w:rPr>
        <w:t>POSSIBLE 2020:</w:t>
      </w:r>
      <w:r>
        <w:t xml:space="preserve"> Potential for Early Forecast of Moroccan Wheat Yields Based on Climatic Drivers — https://doi.org/10.1029/2020gl087516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Wheat production plays an important role in Morocco. Current wheat forecast systems use weather and vegetation data during the crop growing phase, thus limiting the earliest possible release date to early spring. However, Morocco ' s wheat production is mostly rainfed and thus strongly tied to fluctuations in rainfall, which in turn depend on slowly evolving climate dynamics. This offers a source of predictability at longer time scales. Using physically guided causal discovery algorithms , we extract climate precursors for wheat yield variability from gridded fields of geopotential height and sea surface temperatures which show potential for accurate yield forecasts already in December, with around 50% explained variance in an out‐of‐sample cross validation. The detected interactions are physically meaningful and consistent with documented ocean‐atmosphere feedbacks. Reliable yield forecasts at such long lead times could provide farmers and policy makers with necessary information for early action and strategic adaptation measurements to support food security.</w:t>
      </w:r>
    </w:p>
    <w:p>
      <w:pPr/>
      <w:r>
        <w:rPr>
          <w:b/>
        </w:rPr>
        <w:t>POSSIBLE 2020:</w:t>
      </w:r>
      <w:r>
        <w:t xml:space="preserve"> In Search of a Job: Forecasting Employment Growth Using Google Trends — https://doi.org/10.1080/07350015.2020.1791133</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We show that Google search activity on relevant terms is a strong out-of-sample predictor for future employment growth in the United States over the period 2004–2019 at both short and long horizons. Starting from an initial search term “jobs,” we construct a large panel of 172 variables using Google’s own algorithms to find semantically related search queries. The best Google Trends model achieves an out-of-sample R2 between 29% and 62% at horizons spanning from one month to one year ahead, strongly outperforming benchmarks based on a single search query or a large set of macroeconomic, financial, and sentiment predictors. This strong predictability is due to heterogeneity in search terms and extends to industry-level and state-level employment growth using state-level specific search activity. Encompassing tests indicate that when the Google Trends panel is exploited using a nonlinear model, it fully encompasses the macroeconomic forecasts and provides significant information in excess of those.</w:t>
      </w:r>
    </w:p>
    <w:p>
      <w:pPr/>
      <w:r>
        <w:rPr>
          <w:b/>
        </w:rPr>
        <w:t>POSSIBLE 2020:</w:t>
      </w:r>
      <w:r>
        <w:t xml:space="preserve"> Forecasting COVID-19 — https://doi.org/10.3389/fphy.2020.00127</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The World Health Organization declared the coronavirus disease 2019 a pandemic on March 11th, pointing to the over 118,000 cases in over 110 countries and territories around the world at that time. At the time of writing this manuscript, the number of confirmed cases has been surging rapidly past the half-million mark, emphasizing the sustained risk of further global spread. Governments around the world are imposing various containment measures while the healthcare system is bracing itself for tsunamis of infected individuals that will seek treatment. It is therefore important to know what to expect in terms of the growth of the number of cases, and to understand what is needed to arrest the very worrying trends. To that effect, we here show forecasts obtained with a simple iteration method that needs only the daily values of confirmed cases as input. The method takes into account expected recoveries and deaths, and it determines maximally allowed daily growth rates that lead away from exponential increase toward stable and declining numbers. Forecasts show that daily growth rates should be kept at least below 5% if we wish to see plateaus any time soon—unfortunately far from reality in most countries to date. We provide an executable as well as the source code for a straightforward application of the method on data from other countries.</w:t>
      </w:r>
    </w:p>
    <w:p>
      <w:pPr/>
      <w:r>
        <w:rPr>
          <w:b/>
        </w:rPr>
        <w:t>POSSIBLE 2019:</w:t>
      </w:r>
      <w:r>
        <w:t xml:space="preserve"> Current and potential use of ensemble forecasts in operational TC forecasting: results from a global forecaster survey — https://doi.org/10.1016/j.tcrr.2019.10.005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order to understand the current and potential use of ensemble forecasts in operational tropical cyclone (TC) forecasting, a questionnaire on the use of dynamic ensembles was conducted at operational TC forecast centers across the world, in association with the World Meteorological Organisation (WMO) High-Impact Weather Project (HIWeather). The results of the survey are presented, and show that ensemble forecasts are used by nearly all respondents, particularly in TC track and genesis forecasting, with several examples of where ensemble forecasts have been pulled through successfully into the operational TC forecasting process. There is still, however, a notable difference between the high proportion of operational TC forecasters who use and value ensemble forecast information, and the slower pull-through into operational forecast warnings and products of the probabilistic guidance and uncertainty information that ensembles can provide. Those areas of research and development that would help TC forecasters to make increased use of ensemble forecast information in the future include improved access to ensemble forecast data, verification and visualizations, the development of hazard and impact-based products, an improvement in the skill of the ensembles (particularly for intensity and structure), and improved guidance on how to use ensembles and optimally combine forecasts fro</w:t>
      </w:r>
    </w:p>
    <w:p>
      <w:pPr/>
      <w:r>
        <w:rPr>
          <w:b/>
        </w:rPr>
        <w:t>POSSIBLE 2019:</w:t>
      </w:r>
      <w:r>
        <w:t xml:space="preserve"> The future of forecasting for renewable energy — https://doi.org/10.1002/wene.365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Forecasting for wind and solar renewable energy is becoming more important as the amount of energy generated from these sources increases. Forecast skill is improving, but so too is the way forecasts are being used. In this paper, we present a brief overview of the state‐of‐the‐art of forecasting wind and solar energy. We describe approaches in statistical and physical modeling for time scales from minutes to days ahead, for both deterministic and probabilistic forecasting. Our focus changes then to consider the future of forecasting for renewable energy. We discuss recent advances which show potential for great improvement in forecast skill. Beyond the forecast itself, we consider new products which will be required to aid decision making subject to risk constraints. Future forecast products will need to include probabilistic information, but deliver it in a way tailored to the end user and their specific decision making problems. Businesses operating in this sector may see a change in business models as more people compete in this space, with different combinations of skills, data and modeling being required for different products. The transaction of data itself may change with the adoption of blockchain technology, which could allow providers and end users to interact in a trusted, yet decentralized way. Finally, we discuss new industry requirements and challenges f</w:t>
      </w:r>
    </w:p>
    <w:p>
      <w:pPr>
        <w:pStyle w:val="Heading2"/>
      </w:pPr>
      <w:r>
        <w:t>780.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2023:</w:t>
      </w:r>
      <w:r>
        <w:t xml:space="preserve"> The right to translation in the criminal procedure and the meaning of essential documents – three recent cases of the European Court of Justice in the field of criminal cooperation between Member States — https://doi.org/10.15170/pjiel.2023.1.7</w:t>
      </w:r>
    </w:p>
    <w:p>
      <w:pPr/>
      <w:r>
        <w:rPr>
          <w:b/>
        </w:rPr>
        <w:t>Shared claim-specific concepts:</w:t>
      </w:r>
      <w:r>
        <w:t xml:space="preserve"> right, set, member, states, legislative; EU scope visible. This is a provisional connection, not an outcome finding.</w:t>
      </w:r>
    </w:p>
    <w:p>
      <w:pPr>
        <w:pStyle w:val="SourceNote"/>
      </w:pPr>
      <w:r>
        <w:rPr>
          <w:b/>
        </w:rPr>
        <w:t>Available abstract (not full text):</w:t>
      </w:r>
      <w:r>
        <w:t xml:space="preserve"> The case note concerns three preliminary rulings of the European Court of Justice (hereinafter referred to as ECJ). Case C-242/22 PPU TL, C-338/20 Prokuratura Rejonowa Łódź-Bałuty and case C-278/16 Sleutjes each concerned the right to translation in the criminal procedure and legal remedies in the event of not providing that right. Thus, the basis of adjudication of the cases was Directive 2010/64/EU of the European Parliament and of the Council on the right to interpretation translation and in the criminal proceedings. The case note sheds light on the deficiencies of the Directive which are the consequences of the legislative technique applied in this legislative instrument, namely that Member States retain great discretion in implementing its often-vague regulations on the right to translation. However, through the preliminary ruling procedure, the ECJ clarified the meaning of the essential document which is subject to translation according to the Directive, found that a final decision shall be considered a judgement even if formally it is not, and finally, it set out the essential parts of a judgement or other decision that are subject to translation for the purpose of safeguarding the right to a fair trial.</w:t>
      </w:r>
    </w:p>
    <w:p>
      <w:pPr/>
      <w:r>
        <w:rPr>
          <w:b/>
        </w:rPr>
        <w:t>POSSIBLE 2023:</w:t>
      </w:r>
      <w:r>
        <w:t xml:space="preserve"> The right to education: international standards and their influence on the constitutional legislation of the member states of the Council of Europe — https://doi.org/10.24144/2307-3322.2023.79.2.47</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The article draws attention to the UN Charter, which proclaims the task of reaffirming faith in basic human rights, in the dignity and value of the human person, in the equality of men and women, and in the equality of rights of large and small nations. Attention is focused on the principle of UN activity - implementation of international cooperation in the promotion and development of respect for human rights and basic freedoms for all, without distinction of race, sex, language and religion. International acts on human rights of a universal nature are characterized, in which for the first time at the international level everyone’s right to education was enshrined: the Universal Declaration of Human Rights, the International Covenant on Economic, Social and Cultural Rights of 1966, the Convention against Discrimination in Education of 1960, the Convention on the rights of the child of 1989. Attention is drawn to the minimum standards of the right to education that the state must ensure. The relationship between the right to education, which was first enshrined at the international level in the Universal Declaration of Human Rights, and human dignity and the value of the human personality is defined. Emphasis is placed on the right to education and criteria for determining the degree of respect and observance of fundamental norms related to this human right throughout the world</w:t>
      </w:r>
    </w:p>
    <w:p>
      <w:pPr/>
      <w:r>
        <w:rPr>
          <w:b/>
        </w:rPr>
        <w:t>POSSIBLE 2023:</w:t>
      </w:r>
      <w:r>
        <w:t xml:space="preserve"> Features of exercising the right to education for persons granted temporary protection in European Union member states — https://doi.org/10.56215/naia-herald/2.2023.71</w:t>
      </w:r>
    </w:p>
    <w:p>
      <w:pPr/>
      <w:r>
        <w:rPr>
          <w:b/>
        </w:rPr>
        <w:t>Shared claim-specific concepts:</w:t>
      </w:r>
      <w:r>
        <w:t xml:space="preserve"> right, member, states, view, july; EU scope visible. This is a provisional connection, not an outcome finding.</w:t>
      </w:r>
    </w:p>
    <w:p>
      <w:pPr>
        <w:pStyle w:val="SourceNote"/>
      </w:pPr>
      <w:r>
        <w:rPr>
          <w:b/>
        </w:rPr>
        <w:t>Available abstract (not full text):</w:t>
      </w:r>
      <w:r>
        <w:t xml:space="preserve"> The Council of the European Union, by an implementing decision on March 4, 2022, put into effect Directive No. 2001/55/EU of July 20, 2001, on minimum standards for the provision of temporary protection in the event of a mass influx of displaced persons and measures promoting the balancing of efforts between member states to receive such persons and solving the consequences thereof. The problems of exercising the right to education as a natural human right by persons granted temporary protection in the European Union are urgent. In view of the above, the purpose of the study was to address the unique aspects of exercising of the right to education by persons who were granted temporary protection in the member states of the European Union. The methodological basis of the research is the dialectical method and methods of analysis, synthesis, comparison, modelling, system and functional approach, statistical, and formal legal. The paper defines that access to education for persons granted temporary protection in the European Union is provided for by Council Directive No. 2001/55/EU, according to which the member states of the European Union provide full access to the education system for all minors who were granted temporary protection status, on an equal basis with their citizens. It is noted that member states of the European Union may provide for restrictions on such access by </w:t>
      </w:r>
    </w:p>
    <w:p>
      <w:pPr/>
      <w:r>
        <w:rPr>
          <w:b/>
        </w:rPr>
        <w:t>POSSIBLE 2022:</w:t>
      </w:r>
      <w:r>
        <w:t xml:space="preserve"> Making Sure That Orphan Incentives Tip the Right Way in Europe — https://doi.org/10.3390/healthcare10091600</w:t>
      </w:r>
    </w:p>
    <w:p>
      <w:pPr/>
      <w:r>
        <w:rPr>
          <w:b/>
        </w:rPr>
        <w:t>Shared claim-specific concepts:</w:t>
      </w:r>
      <w:r>
        <w:t xml:space="preserve"> right, incentives, current; EU scope visible. This is a provisional connection, not an outcome finding.</w:t>
      </w:r>
    </w:p>
    <w:p>
      <w:pPr>
        <w:pStyle w:val="SourceNote"/>
      </w:pPr>
      <w:r>
        <w:rPr>
          <w:b/>
        </w:rPr>
        <w:t>Available abstract (not full text):</w:t>
      </w:r>
      <w:r>
        <w:t xml:space="preserve"> The delicate balance of funding research and development of treatments for rare disease is only imperfectly achieved in Europe, and even the current provisional equilibrium is under a new threat from well-intentioned policy changes now in prospect that could-in addition to the intrinsic complexities of research-reduce the incentives on which commercial activity in this area is dependent. The European Union review of its pharmaceutical legislation, for which proposals are scheduled to appear before the end of 2022, envisages adjusting the decade-old incentives to meet objectives that are more precisely targeted. However, researchers, physicians, patients and industry have expressed concerns that ill-considered modifications could have unintended consequences in disrupting the current balance and could reduce rather than increase the flow of innovative treatments for rare diseases.</w:t>
      </w:r>
    </w:p>
    <w:p>
      <w:pPr/>
      <w:r>
        <w:rPr>
          <w:b/>
        </w:rPr>
        <w:t>POSSIBLE 2022:</w:t>
      </w:r>
      <w:r>
        <w:t xml:space="preserve"> Incentives and constraints: a configurational account of European involvement in the anti-Daesh coalition — https://doi.org/10.1017/s1755773921000333</w:t>
      </w:r>
    </w:p>
    <w:p>
      <w:pPr/>
      <w:r>
        <w:rPr>
          <w:b/>
        </w:rPr>
        <w:t>Shared claim-specific concepts:</w:t>
      </w:r>
      <w:r>
        <w:t xml:space="preserve"> incentives, member, states, literature, legislative; EU scope visible. This is a provisional connection, not an outcome finding.</w:t>
      </w:r>
    </w:p>
    <w:p>
      <w:pPr>
        <w:pStyle w:val="SourceNote"/>
      </w:pPr>
      <w:r>
        <w:rPr>
          <w:b/>
        </w:rPr>
        <w:t>Available abstract (not full text):</w:t>
      </w:r>
      <w:r>
        <w:t xml:space="preserve"> Abstract In 2014, the USA initiated the formation of a multilateral military operation against Daesh in Syria and Iraq. Eventually, more than 70 states joined the anti-Daesh coalition. However, contributions to the military effort have been characterized by great variance, especially among EU member states. While some states took leading roles in the airstrikes, others provided training for Iraqi and Kurdish forces, and still others did not get involved beyond voicing their support for the policy. Against this backdrop, this article makes a two-fold contribution to the literature on military coalitions and security policy. Empirically, the article provides a mapping of the then 28 EU member states’ military engagement in the fight against Daesh in Syria and Iraq. Analytically, fuzzy-set Qualitative Comparative Analysis (fsQCA) is applied to account for the observed pattern of military involvement, using an integrative framework that combines international and domestic factors. The results demonstrate that multiple paths led towards EU military involvement in the anti-Daesh coalition. At the same time, international-level incentives, such as external threat and/or alliance value feature prominently in all three identified paths. The analysis further underscores the value of a configurational perspective, because neither an external threat nor alliance value are sufficient on the</w:t>
      </w:r>
    </w:p>
    <w:p>
      <w:pPr/>
      <w:r>
        <w:rPr>
          <w:b/>
        </w:rPr>
        <w:t>POSSIBLE 2021:</w:t>
      </w:r>
      <w:r>
        <w:t xml:space="preserve"> OPTIMAL INCENTIVES FOR ECONOMIC GROWTH IN CENTRAL EUROPEAN COUNTRIES: A MICRO APPROACH — https://doi.org/10.12775/cjfa.2021.009</w:t>
      </w:r>
    </w:p>
    <w:p>
      <w:pPr/>
      <w:r>
        <w:rPr>
          <w:b/>
        </w:rPr>
        <w:t>Shared claim-specific concepts:</w:t>
      </w:r>
      <w:r>
        <w:t xml:space="preserve"> incentives, view; EU scope visible. This is a provisional connection, not an outcome finding.</w:t>
      </w:r>
    </w:p>
    <w:p>
      <w:pPr>
        <w:pStyle w:val="SourceNote"/>
      </w:pPr>
      <w:r>
        <w:rPr>
          <w:b/>
        </w:rPr>
        <w:t>Available abstract (not full text):</w:t>
      </w:r>
      <w:r>
        <w:t xml:space="preserve"> Financial crisis of 2008 and the ongoing pandemic are continuing to have a negative impact on the economies of all countries even tough interest rates have been decreased significantly. This paper attempted to view the problem from a micro point of view to suggest more effective incentives for growth. The specific objective of the study is to determine and examine the effects of these incentives on economic growth in Central European countries.</w:t>
      </w:r>
    </w:p>
    <w:p>
      <w:pPr/>
      <w:r>
        <w:rPr>
          <w:b/>
        </w:rPr>
        <w:t>POSSIBLE 2021:</w:t>
      </w:r>
      <w:r>
        <w:t xml:space="preserve"> Encouraging the Development of New Antibiotics: Are Financial Incentives the Right Way Forward? A Systematic Review and Case Study — https://doi.org/10.2147/idr.s287792</w:t>
      </w:r>
    </w:p>
    <w:p>
      <w:pPr/>
      <w:r>
        <w:rPr>
          <w:b/>
        </w:rPr>
        <w:t>Shared claim-specific concepts:</w:t>
      </w:r>
      <w:r>
        <w:t xml:space="preserve"> right, incentives, literature; EU scope not established. This is a provisional connection, not an outcome finding.</w:t>
      </w:r>
    </w:p>
    <w:p>
      <w:pPr>
        <w:pStyle w:val="SourceNote"/>
      </w:pPr>
      <w:r>
        <w:rPr>
          <w:b/>
        </w:rPr>
        <w:t>Available abstract (not full text):</w:t>
      </w:r>
      <w:r>
        <w:t xml:space="preserve"> Antibiotic resistance is an urgent public health threat that has received substantial attention from the world's leading health agencies and national governmental bodies alike. However, despite increasing rates of antibiotic resistance, pharmaceutical companies are reluctant to develop new antibiotics due to scientific, regulatory, and financial barriers. Nonetheless, only a handful of countries have addressed this by implementing or proposing financial incentive models to promote antibiotic innovation. This study is comprised of a systematic review that aimed to understand which antibiotic incentive strategies are most recommended within the literature and subsequently analyzed these incentives to determine which are most likely to sustainably revitalize the antibiotic pipeline. Through a case study of Canada, we apply our incentive analysis to the Canadian landscape to provide decision-makers with a possible path forward. Based on our findings, we propose that Canada support the ongoing efforts of other countries by implementing a fully delinked subscription-based market entry reward. This paper seeks to spark action in Canada by shifting the national paradigm to one where antibiotic research and development is prioritized as a key element to addressing antibiotic resistance.</w:t>
      </w:r>
    </w:p>
    <w:p>
      <w:pPr/>
      <w:r>
        <w:rPr>
          <w:b/>
        </w:rPr>
        <w:t>POSSIBLE 2021:</w:t>
      </w:r>
      <w:r>
        <w:t xml:space="preserve"> Openness to Industry 4.0 and performance: The impact of barriers and incentives — https://doi.org/10.1016/j.techfore.2021.120756</w:t>
      </w:r>
    </w:p>
    <w:p>
      <w:pPr/>
      <w:r>
        <w:rPr>
          <w:b/>
        </w:rPr>
        <w:t>Shared claim-specific concepts:</w:t>
      </w:r>
      <w:r>
        <w:t xml:space="preserve"> incentives, literature; EU scope visible. This is a provisional connection, not an outcome finding.</w:t>
      </w:r>
    </w:p>
    <w:p>
      <w:pPr>
        <w:pStyle w:val="SourceNote"/>
      </w:pPr>
      <w:r>
        <w:rPr>
          <w:b/>
        </w:rPr>
        <w:t>Available abstract (not full text):</w:t>
      </w:r>
      <w:r>
        <w:t xml:space="preserve"> The impact of barriers and incentives on the relationship between openness to Industry 4.0 and performance have so far received little scholarly attention. As a result, this paper explores this relationship by employing a mixed methods approach. A qualitative analysis using in-depth interviews and multiple case studies identifies prominent barriers and incentives, whilst a quantitative analysis on a representative sample of 500 local manufacturing units in Piedmont (a region of Northern Italy) is undertaken via an OLS regression-based path analysis. The results of the parallel-serial multiple mediation model show that: (1) greater openness to Industry 4.0 is related to better performance; (2) greater openness to Industry 4.0 leads to a higher perception of barriers; (3) greater knowledge-related and economic and financial barriers improve performance, abstracting from the adoption of incentives; and (4) greater openness to Industry 4.0 drives the adoption of incentives. However, perceived economic and financial barriers are found not to drive firms to adopt more incentives. The study contributes to the Industry 4.0 literature by identifying previously unidentified strengths and weaknesses to barriers and incentives, and highlights the necessity of policies that reflect real firms’ needs.</w:t>
      </w:r>
    </w:p>
    <w:p>
      <w:pPr/>
      <w:r>
        <w:rPr>
          <w:b/>
        </w:rPr>
        <w:t>POSSIBLE 2021:</w:t>
      </w:r>
      <w:r>
        <w:t xml:space="preserve"> The EU press publishers’ right: where do Member States stand? — https://doi.org/10.1093/jiplp/jpab105</w:t>
      </w:r>
    </w:p>
    <w:p>
      <w:pPr/>
      <w:r>
        <w:rPr>
          <w:b/>
        </w:rPr>
        <w:t>Shared claim-specific concepts:</w:t>
      </w:r>
      <w:r>
        <w:t xml:space="preserve"> right, member, states, current, legislative, proposal; EU scope visible. This is a provisional connection, not an outcome finding.</w:t>
      </w:r>
    </w:p>
    <w:p>
      <w:pPr>
        <w:pStyle w:val="SourceNote"/>
      </w:pPr>
      <w:r>
        <w:rPr>
          <w:b/>
        </w:rPr>
        <w:t>Available abstract (not full text):</w:t>
      </w:r>
      <w:r>
        <w:t xml:space="preserve"> Ula Furgał is a postdoctoral researcher at the CREATe Centre, University of Glasgow. This article This article offers an opinion on the current state of the implementation of the press publishers’ right, a related right introduced by Directive 2019/790 on Copyright in the Digital Single Market. It outlines the ongoing policy discussions and decisions taken by Member States with regard to selected aspects of the press publishers’ right, including its scope, the appropriate share of revenues due to authors, and licensing mechanisms. It submits that the implementation of the press publishers’ right is unlikely to bring the news media vs digital platforms saga to an end, as not all uncertainties concerning the new right’s scope will be tackled; calls for further regulatory interventions are likely to follow. The tension between news media and digital platforms has been growing for years. Platforms capture an overwhelming majority of the digital advertising revenue, causing the business models of legacy news organizations to become unsustainable. While strongly objecting to platforms using their content for free, news organizations depend on platforms as a key source of referral traffic and a forum for reaching their audiences.1 The year 2021 has been an eventful year so far for those following the news media vs digital platforms saga. Australia has finally adopted its News Media Ba</w:t>
      </w:r>
    </w:p>
    <w:p>
      <w:pPr>
        <w:pStyle w:val="Heading2"/>
      </w:pPr>
      <w:r>
        <w:t>781.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2024:</w:t>
      </w:r>
      <w:r>
        <w:t xml:space="preserve"> The Successful Factors for Digital Transformation in Project Management — https://doi.org/10.54254/2754-1169/79/20241858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In the era of Industry 4.0, the advent of the digital revolution is reshaping project management processes, and digital transformation is advancing with a heightened focus on its influence on project success. Research on the success factors for digital transformation in project management is limited, particularly in drawing industry-specific conclusions, owing to varying levels of digitization across projects. The exploration of success factors' impact on the digital transformation process and the distinctive characteristics of different industries remains largely uncharted territory. This research aimed to explore key aspects of digital transformation projects, focusing on success factors that significantly influence their outcomes. A Thematic analysis approach was used to draw insights. The analysis delves into four crucial success factors. These key themes included organizational change management, organizational efficiency enhancement, organizational process management, sustainability, and societal management. Each factor is examined for its role in shaping successful digital transformations. The conclusion succinctly summarizes the key findings and emphasizes the importance of these success factors in the context of digital transformation initiatives. These findings go beyond the scope of prior research, delving into the intricacies of industry perspectives, which can driv</w:t>
      </w:r>
    </w:p>
    <w:p>
      <w:pPr/>
      <w:r>
        <w:rPr>
          <w:b/>
        </w:rPr>
        <w:t>POSSIBLE 2024:</w:t>
      </w:r>
      <w:r>
        <w:t xml:space="preserve"> University transformation in evaluations of project team participants — https://doi.org/10.21684/2411-7897-2024-10-2-46-56</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The format of project activities is firmly rooted in the higher education system. This approach is used intensively in the implementation of strategic changes at the level of higher education institutions. This paper examines the transformation process in Russian universities from the perspective of project team members who are responsible for the result. The empirical basis for the analysis is a questionnaire survey (N = 79) of participants of transformation project teams from four Russian universities of different types (classical / technical). The types of transformation projects being implemented in Russian universities were identified. The results show that the main initiator of such projects is primarily the university itself or its individual units. The hierarchy of success factors of university transformation projects implementation in the understanding of their direct executors was determined, among which the most important are the competence of team members (71%), financial and resource support of the project (63%). The principles of project team formation are analyzed, which is mainly (37%) created based on the functional activity of the university employee outside the project. The most pronounced signs of success of a particular transformation project depending on its type are outlined. In the conclusion, we formulate the areas for further research on this topic.</w:t>
      </w:r>
    </w:p>
    <w:p>
      <w:pPr/>
      <w:r>
        <w:rPr>
          <w:b/>
        </w:rPr>
        <w:t>POSSIBLE 2024:</w:t>
      </w:r>
      <w:r>
        <w:t xml:space="preserve"> The Effect of Transformational Leadership on Team Performance on Construction Projects — https://doi.org/10.35870/ijmsit.v4i1.2679</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This research aims to analyze the influence of transformational leadership on team performance in construction projects. In the construction industry, leadership effectiveness is a key factor influencing project success. This study uses a quantitative approach with a descriptive survey design, involving 150 respondents consisting of 30 project managers and 120 team members from various construction projects in Indonesia. Data was collected through a questionnaire that measured four dimensions of transformational leadership: ideal influence, inspirational motivation, intellectual stimulation, and individual consideration, as well as team performance based on timely task completion, quality of work results, and cost efficiency. The regression test results show that transformational leadership has a significant positive influence on team performance. The motivational dimensions of inspiration and ideal influence showed the highest correlation with team performance, with beta coefficients of 0.45 and 0.42, respectively (p &lt; 0.05). The dimensions of intellectual stimulation and individual consideration also showed a positive influence with beta coefficients of 0.32 and 0.30 respectively (p &lt; 0.05). Job satisfaction was found to be a significant intervening variable, where transformational leadership increased job satisfaction which then increased team performance. This research high</w:t>
      </w:r>
    </w:p>
    <w:p>
      <w:pPr/>
      <w:r>
        <w:rPr>
          <w:b/>
        </w:rPr>
        <w:t>POSSIBLE 2023:</w:t>
      </w:r>
      <w:r>
        <w:t xml:space="preserve"> Impacts of Carbon Emission Trading Markets on Energy Transformation: A Review of the Existing Literature — https://doi.org/10.56397/jwe.2023.06.04</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In the current era, carbon emission trading markets seem to be a booster when the global society vigorously advocates energy transformation. Different scholars mainly focus on analyzing the transmission mechanism of carbon emission trading markets on energy transition, the role of carbon emission trading markets on renewable energy, and the impact of carbon emission trading markets with other policies on energy mix. However, the conclusions on whether carbon emission trading markets can indeed contribute to energy transformation vary. Therefore, this article presents research papers on the impact of carbon emission trading markets on energy structure transformation in recent years through literature review and summarizes hot topics to facilitate future scholars to fill the research gap in this field.</w:t>
      </w:r>
    </w:p>
    <w:p>
      <w:pPr/>
      <w:r>
        <w:rPr>
          <w:b/>
        </w:rPr>
        <w:t>POSSIBLE 2022:</w:t>
      </w:r>
      <w:r>
        <w:t xml:space="preserve"> Goals and benefits of digital transformation projects: Insights into project selection criteria — https://doi.org/10.4102/sajems.v25i1.4158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Background: Digital transformation (DT) is an increasingly relevant concept for businesses to remain competitive. As DT projects are disruptive to an organisation and are significantly different from traditional information technology projects, it is important to understand the value that specific DT projects will bring to an organisation before they are implemented, so that DT project portfolios can be optimally managed.Aim: This study aims to determine the key goals and benefits of DT projects, as well as the selection criteria for DT projects in South African businesses. The study also explores the most influential technologies for driving the implementation of DT projects.Setting: South Africa is an emerging economy. The study was performed in the initial phases of nationwide lockdown owing to COVID-19.Methods: Semi-structured interviews were conducted with 11 leaders from South African businesses of varying sizes, but all in significant local markets. Content analysis using CAQDAS was used to analyse the primary data, using both inductive and deductive coding methods.Results: South African businesses use a combination of financial and non-financial project selection criteria across four main goals and benefit categories: customer experience, operational efficiency, business culture, and traditional project evaluation. The fifth proposed goal (new business models) was not u</w:t>
      </w:r>
    </w:p>
    <w:p>
      <w:pPr/>
      <w:r>
        <w:rPr>
          <w:b/>
        </w:rPr>
        <w:t>POSSIBLE 2022:</w:t>
      </w:r>
      <w:r>
        <w:t xml:space="preserve"> Assessing the likelihood for transformational change at the Green Climate Fund: An analysis using self-reported project data — https://doi.org/10.1016/j.crm.2022.100398</w:t>
      </w:r>
    </w:p>
    <w:p>
      <w:pPr/>
      <w:r>
        <w:rPr>
          <w:b/>
        </w:rPr>
        <w:t>Shared claim-specific concepts:</w:t>
      </w:r>
      <w:r>
        <w:t xml:space="preserve"> four, transformational, project; EU scope not established. This is a provisional connection, not an outcome finding.</w:t>
      </w:r>
    </w:p>
    <w:p>
      <w:pPr>
        <w:pStyle w:val="SourceNote"/>
      </w:pPr>
      <w:r>
        <w:rPr>
          <w:b/>
        </w:rPr>
        <w:t>Available abstract (not full text):</w:t>
      </w:r>
      <w:r>
        <w:t xml:space="preserve"> Climate finance institutions have been tasked with effectively and efficiently allocating funds to spur the transition to low-carbon, climate-resilient economies. The Green Climate Fund (GCF) is expected to assist the most vulnerable adapt to and mitigate climate change because of its mandate to contribute to a paradigm shift. To understand if the GCF’s portfolio is on track to achieve this aim, we review the project documents of GCF investments through March 2020 (N = 125 projects). We examine attributes of these investments by applying a framework for potential transformational change, comprised of eight components. We use bivariate statistics and multivariate cluster analysis to examine the GCF’s project portfolio of mitigation, cross-cutting and adaptation projects. Bivariate tests find that adaptation projects show the greater intention to integrate policy change into national planning processes and that both adaptation and cross-cutting projects require a greater need for and expectation of behaviour change. Results from cluster analysis shows how adaptation projects dominate clusters with high and medium potential for transformational change (with 47% and 78% of projects, respectively). However, even the high potential cluster only displays the highest average scores for four of the eight components in our framework of transformational change. These findings present lear</w:t>
      </w:r>
    </w:p>
    <w:p>
      <w:pPr/>
      <w:r>
        <w:rPr>
          <w:b/>
        </w:rPr>
        <w:t>POSSIBLE 2021:</w:t>
      </w:r>
      <w:r>
        <w:t xml:space="preserve"> Why radical transformation is necessary for gender equality and a zero carbon European construction sector — https://doi.org/10.4324/9781003052821-12</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is set in the context of European Union (EU) policy to reduce environment carbon emissions through the European Performance of Buildings Directive (EPBD), which – despite EU equality objectives – remains gender-blind and in accordance with ecological modernisation, technology-driven, and oriented to innovation. Difficulties in implementing the EPBD relate to vocational education and training (VET) and the labour process requirements for nearly zero energy building (NZEB). The reasons for the failure of VET and labour market policies and practices to improve the participation of women and what is needed to overcome barriers to their inclusion are highlighted. Combined, the requirements for the inclusion of women and a sustainable construction process, provide the pillars on which a transformed industry can be constructed. In examining local and organisational examples of where women have been successfully included and/or NZEB has been achieved, the ingredients are identified for developing an eco-equitable and socially useful construction sector and the coalition of actors involved – above all the public authorities, VET institutions, unions, women in construction, and environmental organisations.</w:t>
      </w:r>
    </w:p>
    <w:p>
      <w:pPr/>
      <w:r>
        <w:rPr>
          <w:b/>
        </w:rPr>
        <w:t>POSSIBLE 2020:</w:t>
      </w:r>
      <w:r>
        <w:t xml:space="preserve"> Fostering digital transformation of SMEs: a four levels approach — https://doi.org/10.1108/md-07-2019-0939</w:t>
      </w:r>
    </w:p>
    <w:p>
      <w:pPr/>
      <w:r>
        <w:rPr>
          <w:b/>
        </w:rPr>
        <w:t>Shared claim-specific concepts:</w:t>
      </w:r>
      <w:r>
        <w:t xml:space="preserve"> four, project, used; EU scope visible. This is a provisional connection, not an outcome finding.</w:t>
      </w:r>
    </w:p>
    <w:p>
      <w:pPr>
        <w:pStyle w:val="SourceNote"/>
      </w:pPr>
      <w:r>
        <w:rPr>
          <w:b/>
        </w:rPr>
        <w:t>Available abstract (not full text):</w:t>
      </w:r>
      <w:r>
        <w:t xml:space="preserve"> Purpose The purpose of this paper is to analyse how digital technologies trigger changes in the business process of manufacturing small and medium-sized enterprises (SMEs) in the Apulia Region (South Italy). As SMEs play an essential role in the process value creation of industries and countries, the article examines the enablers of Industry 4.0 in a regional contexts characterized by delay in research and development and innovation performances where the companies' competitiveness is based on limited knowledge and technological assets. Design/methodology/approach The case study of Smart District 4.0, an ongoing project aimed to promote the digitalization of SMEs operating in the Agri–Food, Clothing–Footwear and Mechanics–Mechatronics in the Apulia Region (South Italy) is analysed. The project has been financed by the Italian Ministry of Economic Development with the final aim to sustain the digital transformation of SMEs in South Italy. Findings The results introduce a four levels approach of engagement of SMEs in the adoption of digital technologies, namely, digital awareness, digital enquirement, digital collaboration and digital transformation. Furthermore, for each level of engagement the study describes and discusses some relevant variables that could be used by managers and entrepreneurs to assess the level of readiness for utilization of digital technologies and how to </w:t>
      </w:r>
    </w:p>
    <w:p>
      <w:pPr/>
      <w:r>
        <w:rPr>
          <w:b/>
        </w:rPr>
        <w:t>POSSIBLE 2019:</w:t>
      </w:r>
      <w:r>
        <w:t xml:space="preserve"> Continuous Transformation and Neo-Carbon Energy Scenarios — https://openalex.org/W2946377064</w:t>
      </w:r>
    </w:p>
    <w:p>
      <w:pPr/>
      <w:r>
        <w:rPr>
          <w:b/>
        </w:rPr>
        <w:t>Shared claim-specific concepts:</w:t>
      </w:r>
      <w:r>
        <w:t xml:space="preserve"> four, neo-carbon, energy, project, groups; EU scope not established. This is a provisional connection, not an outcome finding.</w:t>
      </w:r>
    </w:p>
    <w:p>
      <w:pPr>
        <w:pStyle w:val="SourceNote"/>
      </w:pPr>
      <w:r>
        <w:rPr>
          <w:b/>
        </w:rPr>
        <w:t>Available abstract (not full text):</w:t>
      </w:r>
      <w:r>
        <w:t xml:space="preserve"> This report describes the process and results of Futures Clinique held 22nd May 2015 at Aalto University. At the Futures Clinique − titled Creatively Sustainable Built Environment in Neo-Carbon Energy Worlds − students of Continuous Transformation Course elaborated four tentative scenarios of an on-going Tekes-funded project called Neo-Carbon Energy. The goal of the research project is to explore futures based on renewable energy system. The report begins by describing the method, project, and the theoretical framework. This is followed by the description of the process and results of the Futures Clinique. The nature of change and transformation is also discussed. Working in four groups, the participants focused on a chosen scenario through a multi-staged process. As the report is given to the participants for feedback as well as for further discussion and development, comments on the results are also presented. The conclusive chapter presents observations on transformation and futures learning.</w:t>
      </w:r>
    </w:p>
    <w:p>
      <w:pPr>
        <w:pStyle w:val="Heading2"/>
      </w:pPr>
      <w:r>
        <w:t>782.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r>
        <w:rPr>
          <w:b/>
        </w:rPr>
        <w:t>POSSIBLE 2023:</w:t>
      </w:r>
      <w:r>
        <w:t xml:space="preserve"> Google and Apple mobility data as predictors for European tourism during the COVID-19 pandemic: A neural network approach — https://doi.org/10.24136/eq.2023.013</w:t>
      </w:r>
    </w:p>
    <w:p>
      <w:pPr/>
      <w:r>
        <w:rPr>
          <w:b/>
        </w:rPr>
        <w:t>Shared claim-specific concepts:</w:t>
      </w:r>
      <w:r>
        <w:t xml:space="preserve"> purpose, tourism, domestic; EU scope visible. This is a provisional connection, not an outcome finding.</w:t>
      </w:r>
    </w:p>
    <w:p>
      <w:pPr>
        <w:pStyle w:val="SourceNote"/>
      </w:pPr>
      <w:r>
        <w:rPr>
          <w:b/>
        </w:rPr>
        <w:t>Available abstract (not full text):</w:t>
      </w:r>
      <w:r>
        <w:t xml:space="preserve"> Research background: The COVID-19 pandemic has caused unprecedented disruptions to the global tourism industry, resulting in significant impacts on both human and economic activities. Travel restrictions, border closures, and quarantine measures have led to a sharp decline in tourism demand, causing businesses to shut down, jobs to be lost, and economies to suffer. Purpose of the article: This study aims to examine the correlation and causal relationship between real-time mobility data and statistical data on tourism, specifically tourism overnights, across eleven European countries during the first 14 months of the pandemic. We analyzed the short longitudinal connections between two dimensions of tourism and related activities. Methods: Our method is to use Google and Apple's observational data to link with tourism statistical data, enabling the development of early predictive models and econometric models for tourism overnights (or other tourism indices). This approach leverages the more timely and more reliable mobility data from Google and Apple, which is published with less delay than tourism statistical data. Findings &amp; value added: Our findings indicate statistically significant correlations between specific mobility dimensions, such as recreation and retail, parks, and tourism statistical data, but poor or insignificant relations with workplace and transit dimensions. W</w:t>
      </w:r>
    </w:p>
    <w:p>
      <w:pPr/>
      <w:r>
        <w:rPr>
          <w:b/>
        </w:rPr>
        <w:t>POSSIBLE 2022:</w:t>
      </w:r>
      <w:r>
        <w:t xml:space="preserve"> SMART-TECHNOLOGIES IN THE TOURISM INDUSTRY OF EUROPE — https://doi.org/10.31651/2076-5843-2022-3-4-109-117</w:t>
      </w:r>
    </w:p>
    <w:p>
      <w:pPr/>
      <w:r>
        <w:rPr>
          <w:b/>
        </w:rPr>
        <w:t>Shared claim-specific concepts:</w:t>
      </w:r>
      <w:r>
        <w:t xml:space="preserve"> purpose, real, tourism, expert, product; EU scope visible. This is a provisional connection, not an outcome finding.</w:t>
      </w:r>
    </w:p>
    <w:p>
      <w:pPr>
        <w:pStyle w:val="SourceNote"/>
      </w:pPr>
      <w:r>
        <w:rPr>
          <w:b/>
        </w:rPr>
        <w:t>Available abstract (not full text):</w:t>
      </w:r>
      <w:r>
        <w:t xml:space="preserve"> Introduction. Today, the tourism sector needs to adapt to a changing environment and strengthen competitiveness. The introduction of smart technologies characterizes the current stage of tourism development, which is influenced by the evolution of information technology and becomes a promising way to confront new market conditions. Travel smart technologies include the automation of travel and related processes, saving time, reducing costs and creating a more seamless travel experience for tourists. These technologies can be applied to improve the customer experience: before, during and after the trip itself. Smart technologies provide an opportunity in tourism activities to streamline and automate processes that traditionally require active human involvement. This can potentially help businesses reduce the need for staff, cut costs and increase revenue, leading to improved financial results. The application of smart technologies and the concept of smart tourism in destinations can strengthen countries' competitiveness and lead to better satisfaction of tourists' needs. Europe is one of the leaders in the development of smart technologies and experience in their application in tourism activities. Purpose. Analysis of the development of smart technologies in the tourism sector of leading European countries, in particular in the most famous tourist destinations. Methods. The arti</w:t>
      </w:r>
    </w:p>
    <w:p>
      <w:pPr/>
      <w:r>
        <w:rPr>
          <w:b/>
        </w:rPr>
        <w:t>POSSIBLE 2022:</w:t>
      </w:r>
      <w:r>
        <w:t xml:space="preserve"> Digital accessibility of smart cities - tourism for all and reducing inequalities: Tourism Agenda 2030 — https://doi.org/10.1108/tr-02-2022-0091</w:t>
      </w:r>
    </w:p>
    <w:p>
      <w:pPr/>
      <w:r>
        <w:rPr>
          <w:b/>
        </w:rPr>
        <w:t>Shared claim-specific concepts:</w:t>
      </w:r>
      <w:r>
        <w:t xml:space="preserve"> purpose, analyze, tourism; EU scope visible. This is a provisional connection, not an outcome finding.</w:t>
      </w:r>
    </w:p>
    <w:p>
      <w:pPr>
        <w:pStyle w:val="SourceNote"/>
      </w:pPr>
      <w:r>
        <w:rPr>
          <w:b/>
        </w:rPr>
        <w:t>Available abstract (not full text):</w:t>
      </w:r>
      <w:r>
        <w:t xml:space="preserve"> Purpose There is widespread agreement that the tourism sector should address the issue of sustainability. The purpose of this study is to analyze the digital accessibility of the cities awarded as European Capitals of Smart Tourism for their innovative, accessible and sustainable practices by the European Commission. Design/methodology/approach An analysis of the digital level of accessibility of 50 uniform resource locator (URL) of European cities was undertaken. The analysis followed the international evaluation requirements of the World Wide Web (W3C). Findings The results show that none of the official Web pages analyzed obtained 100% in relation to the digital accessibility requirements. The main factors that pose barriers to communication and interaction were identified. Practical implications The paper encourages smart tourism destinations to overcome the challenge of matching both dimensions of accessibility to obtain barrier-free information to ensure cities are inclusive and sustainable in line with Agenda 2030 (sustainable development goal [SDG] 11). Originality/value The concept of tourism for all receives special attention in the sector, and this notion is reflected in the UN SDGs. However, accessibility has not been extensively analyzed in relation to the cohesion between the digital and the physical dimension. Tourism research tends to focus on accessible experie</w:t>
      </w:r>
    </w:p>
    <w:p>
      <w:pPr/>
      <w:r>
        <w:rPr>
          <w:b/>
        </w:rPr>
        <w:t>POSSIBLE 2021:</w:t>
      </w:r>
      <w:r>
        <w:t xml:space="preserve"> PROVING THE IMPORTANCE OF SEA TOURISM FOR THE EUROPE'S ECONOMY — https://doi.org/10.32843/bses.64-18</w:t>
      </w:r>
    </w:p>
    <w:p>
      <w:pPr/>
      <w:r>
        <w:rPr>
          <w:b/>
        </w:rPr>
        <w:t>Shared claim-specific concepts:</w:t>
      </w:r>
      <w:r>
        <w:t xml:space="preserve"> purpose, real, tourism, economy; EU scope visible. This is a provisional connection, not an outcome finding.</w:t>
      </w:r>
    </w:p>
    <w:p>
      <w:pPr>
        <w:pStyle w:val="SourceNote"/>
      </w:pPr>
      <w:r>
        <w:rPr>
          <w:b/>
        </w:rPr>
        <w:t>Available abstract (not full text):</w:t>
      </w:r>
      <w:r>
        <w:t xml:space="preserve"> The article emphasizes that the dynamic development of maritime tourism is especially important for all industries and its importance is constantly growing. Where to direct such development, how to ensure the conditions for its sustainable development are the main issues for countries at the regional level. It is noted that the demand in the European maritime tourism market has specific development factors that need to be studied. The main areas in which maritime tourism contributes to the European economy are highlighted. Indirect effects of maritime tourism, which are manifested as a driving force in the development of other ancillary activities. Peculiarities of legislative regulation of maritime tourism in European countries with developed and transition economies are considered. Their features and examples are given. Resource-based and tourism-based models of maritime tourism development are described. Various classifications of the tourist market in general and the maritime tourism market in particular are presented and analyzed. It is emphasized that all classifications have their specific real purpose and purpose. For effective marketing management of tourist destinations it is necessary to identify and assess its potential. The question of the concept of "new market", which is of particular importance for the development of the maritime tourism industry. It is emphasiz</w:t>
      </w:r>
    </w:p>
    <w:p>
      <w:pPr/>
      <w:r>
        <w:rPr>
          <w:b/>
        </w:rPr>
        <w:t>POSSIBLE 2020:</w:t>
      </w:r>
      <w:r>
        <w:t xml:space="preserve"> Virtual reality and modern tourism — https://doi.org/10.1108/jtf-01-2020-0004</w:t>
      </w:r>
    </w:p>
    <w:p>
      <w:pPr/>
      <w:r>
        <w:rPr>
          <w:b/>
        </w:rPr>
        <w:t>Shared claim-specific concepts:</w:t>
      </w:r>
      <w:r>
        <w:t xml:space="preserve"> purpose, analyze, tourism; EU scope not established. This is a provisional connection, not an outcome finding.</w:t>
      </w:r>
    </w:p>
    <w:p>
      <w:pPr>
        <w:pStyle w:val="SourceNote"/>
      </w:pPr>
      <w:r>
        <w:rPr>
          <w:b/>
        </w:rPr>
        <w:t>Available abstract (not full text):</w:t>
      </w:r>
      <w:r>
        <w:t xml:space="preserve"> Purpose The purpose of this paper is to provide an insight as to how recent trends in virtual reality (VR) have changed the way tourism and hospitality industry communicates their offerings and meets the tourists’ needs. Design/methodology/approach The approach is based on systematic literature review, where the relations between focal concepts are given to analyze potential future developments concerning VR. Findings The paper identifies and analyzes how VR technology affected tourism and hospitality industry through three main touch points – future tourism planning and management, technology-based marketing of tourism destinations and VR potential in changing consumer requirements. These concepts were analyzed to identify changing forces and suggest potential paradigm shifts that tourism and hospitality suppliers and marketers need to consider. These included realistic virtual travel replacements, the importance of interactive experiences and innovation in future tourism systems. Originality/value While there has been increasingly larger number of discussions on how tourists and tourism and hospitality industry have been using information and communication technology recently, there is little evidence of scholars and practitioners applying such methods. This paper used systematic literature review to illustrate means in which VR could be ingrained into tourism and hospitality</w:t>
      </w:r>
    </w:p>
    <w:p>
      <w:pPr/>
      <w:r>
        <w:rPr>
          <w:b/>
        </w:rPr>
        <w:t>POSSIBLE 2020:</w:t>
      </w:r>
      <w:r>
        <w:t xml:space="preserve"> Aspects of Digitalization and Related Impact on Green Tourism in European Countries — https://doi.org/10.3390/info11110507</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The digital world requires the implementation of new technologies and customer-driven business transformation. As the tourism sector may experience unanticipated ways of developing new technologies due to the current global health crisis, the standard travel experience could be changed. The main aim of this study was to analyze the influence of digitalization and tourists’ preferences in terms of accommodation and economic well-being implying sustainability. This paper applied a regression analysis and principal component analysis to achieve the above objective. Research exposed the fact that tourists’ preferences towards green destinations and ecological accommodation establishments, as well as Internet use in travel planning, may have a significant influence on the sustainability of tourism. This study identified behavioral models of 30 European countries from the sustainable tourism and digitalization perspective and made recommendations on economic and social policy measures to ensure the sustainable nature of tourism activity.</w:t>
      </w:r>
    </w:p>
    <w:p>
      <w:pPr/>
      <w:r>
        <w:rPr>
          <w:b/>
        </w:rPr>
        <w:t>POSSIBLE 2020:</w:t>
      </w:r>
      <w:r>
        <w:t xml:space="preserve"> Innovative Tools for Tourism and Cultural Tourism Impact Assessment — https://doi.org/10.3390/su12187470</w:t>
      </w:r>
    </w:p>
    <w:p>
      <w:pPr/>
      <w:r>
        <w:rPr>
          <w:b/>
        </w:rPr>
        <w:t>Shared claim-specific concepts:</w:t>
      </w:r>
      <w:r>
        <w:t xml:space="preserve"> real, tourism, economy; EU scope visible. This is a provisional connection, not an outcome finding.</w:t>
      </w:r>
    </w:p>
    <w:p>
      <w:pPr>
        <w:pStyle w:val="SourceNote"/>
      </w:pPr>
      <w:r>
        <w:rPr>
          <w:b/>
        </w:rPr>
        <w:t>Available abstract (not full text):</w:t>
      </w:r>
      <w:r>
        <w:t xml:space="preserve"> The importance of data and evidence has increased considerably in policy planning, implementation, and evaluation. There is unprecedented availability of open and big data, and there are rapid developments in intelligence gathering and the application of analytical tools. While cultural heritage holds many tangible and intangible values for local communities and society in general, there is a knowledge gap regarding suitable methods and data sources to measure the impacts and develop data-driven policies of cultural tourism. In the tourism sector, rapid developments are particularly taking place around novel uses of mobile positioning data, web scraping, and open application programming interface (API) data, data on sharing, and collaborative economy and passenger data. Based on feedback from 15 European cultural tourism regions, recommendations are developed regarding the use of innovative tools and data sources in tourism management. In terms of potential analytical depth, it is especially advisable to explore the use of mobile positioning data. Yet, there are considerable barriers, especially in terms of privacy protection and ethics, in using such data. User-generated big data from social media, web searches, and website visits constitute another promising data source as it is often publicly available in real time and has low usage barriers. Due to the emergence of new plat</w:t>
      </w:r>
    </w:p>
    <w:p>
      <w:pPr/>
      <w:r>
        <w:rPr>
          <w:b/>
        </w:rPr>
        <w:t>POSSIBLE 2018:</w:t>
      </w:r>
      <w:r>
        <w:t xml:space="preserve"> EUROPEAN TOURISM MANAGEMENT COMPETITIVENESS AND PECULIARITIES — https://doi.org/10.31410/tmt.2018.473</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The scope of this research paper is to analyze the tourism sector and the tourism competitiveness in the frame of European Union (EU-28). The methodology of the paper is classic based on comparative analysis between EU-28 countries, using the analysis, the comparisons and the synthesis of available information.The main source of the data used is Eurostat database.The methodology of the paper is based on the data collected from numerous official, and semi-official published reports, research journals, newspaper reports, research articles, websites and works of the individual scholars : The Travel &amp; Tourism Competitiveness Report 2017 from World Economic Forum, Travel &amp; Tourism Economic Impact 2018 from World Travel &amp; Tourism Council.Finally, the paper concludes and aims recommendation and solution for tourism management in order to increase the European tourism efficiency and competitiveness facing worldwide major challenges regarding resources scarcity, climate change and world security.</w:t>
      </w:r>
    </w:p>
    <w:p>
      <w:pPr>
        <w:pStyle w:val="Heading2"/>
      </w:pPr>
      <w:r>
        <w:t>783.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decarbonizing, transportation, sector, greenhouse, gas, emissions;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Decarbonizing road freight transportation: recent advances and future trends — https://doi.org/10.1080/01605682.2024.2446655</w:t>
      </w:r>
    </w:p>
    <w:p>
      <w:pPr/>
      <w:r>
        <w:rPr>
          <w:b/>
        </w:rPr>
        <w:t>Shared claim-specific concepts:</w:t>
      </w:r>
      <w:r>
        <w:t xml:space="preserve"> decarbonizing, transportation, energy; EU scope not established. This is a provisional connection, not an outcome finding.</w:t>
      </w:r>
    </w:p>
    <w:p>
      <w:pPr>
        <w:pStyle w:val="SourceNote"/>
      </w:pPr>
      <w:r>
        <w:rPr>
          <w:b/>
        </w:rPr>
        <w:t>Available abstract (not full text):</w:t>
      </w:r>
      <w:r>
        <w:t xml:space="preserve"> This is a survey of decarbonization for road freight transportation. It offers a focused overview of planning models and presents a narrative that contextualizes the journey and evolution of decarbonization efforts. It first reports on recent advances in the field under the classification of operational tactical and strategic planning. It then identifies future trends in the areas of technology, infrastructure, market, behaviour, energy and regulations. The paper closes with a discussion on emerging models and presents a methodological outlook.</w:t>
      </w:r>
    </w:p>
    <w:p>
      <w:pPr/>
      <w:r>
        <w:rPr>
          <w:b/>
        </w:rPr>
        <w:t>POSSIBLE 2025:</w:t>
      </w:r>
      <w:r>
        <w:t xml:space="preserve"> The legal development of ENTSO-E as a tool for energy security and decarbonization of the European Union — https://doi.org/10.24144/2307-3322.2025.90.5.25</w:t>
      </w:r>
    </w:p>
    <w:p>
      <w:pPr/>
      <w:r>
        <w:rPr>
          <w:b/>
        </w:rPr>
        <w:t>Shared claim-specific concepts:</w:t>
      </w:r>
      <w:r>
        <w:t xml:space="preserve"> realize, vision, energy, system, within; EU scope visible. This is a provisional connection, not an outcome finding.</w:t>
      </w:r>
    </w:p>
    <w:p>
      <w:pPr>
        <w:pStyle w:val="SourceNote"/>
      </w:pPr>
      <w:r>
        <w:rPr>
          <w:b/>
        </w:rPr>
        <w:t>Available abstract (not full text):</w:t>
      </w:r>
      <w:r>
        <w:t xml:space="preserve"> The article examines the institutional and legal evolution of the European Network of Transmission System Operators for Electricity (ENTSO-E) within the broader framework of the European Union’s climate policy and its strategic vision of a climate-neutral Europe by 2050. It explores how key legislative instruments – including Regulation (EU) 2019/943, Directive (EU) 2019/944, the network codes, and the Third Energy Package – have progressively transformed ENTSO-E from a primarily technical coordination platform into a central institutional actor in the EU’s green energy transition. Particular attention is paid to the legal framework that governs the integration of renewable energy sources into the grid, the phase-out of fossil fuel-based generation, the development of advanced balancing mechanisms, and the expansion of regional coordination centers (RCCs). These developments reflect the EU’s commitment to a decarbonized, interconnected, and resilient energy system. The article further examines the impact of the legal principle of unbundling, which aims to ensure non-discriminatory access to energy networks and promote competitive electricity markets. In addition, the study addresses the external and geopolitical dimension of ENTSO-E’s role, notably the emergency synchronization of Ukraine and Moldova with the Continental European electricity grid in March 2022. This synchroniza</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sector, net, greenhouse, gas, emissions,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2024:</w:t>
      </w:r>
      <w:r>
        <w:t xml:space="preserve"> DECARBONIZING FREIGHT TRANSPORTATION IN BRAZIL: METHODOLOGIES, RESULTS AND PRACTICAL IMPLICATIONS — https://doi.org/10.26668/businessreview/2024.v9i10.4667</w:t>
      </w:r>
    </w:p>
    <w:p>
      <w:pPr/>
      <w:r>
        <w:rPr>
          <w:b/>
        </w:rPr>
        <w:t>Shared claim-specific concepts:</w:t>
      </w:r>
      <w:r>
        <w:t xml:space="preserve"> decarbonizing, transportation, ghg, emissions, two; EU scope not established. This is a provisional connection, not an outcome finding.</w:t>
      </w:r>
    </w:p>
    <w:p>
      <w:pPr>
        <w:pStyle w:val="SourceNote"/>
      </w:pPr>
      <w:r>
        <w:rPr>
          <w:b/>
        </w:rPr>
        <w:t>Available abstract (not full text):</w:t>
      </w:r>
      <w:r>
        <w:t xml:space="preserve"> Objective: The objective of this technological article is to present a practical tool for calculating CO2 emissions based on fuel consumption applied in a small road freight transport company. Theoretical Framework: There are 4 methods available in the literature for calculating CO2 emissions produced during cargo transport, which stand out for their applicability: (1) GHG Procol; (2) MNT; (3) DEFRA; and (4) GLEC. The authors (Leonardi &amp; Baumgartner, 2004; Lewis et al., 2016) have methodologies for calculating emissions from freight transport, which currently present significant variability in the approaches and databases recommended. The main methodologies in this area are based on two main foundations: (1) fuel-based methodologies; (2) activity-based methodologies. Method: The calculation methodology used is based on fuel consumption (bottom-up), which considered the characteristics of the target fleet, the number of vehicles and their technological phase, the actual intensity of fleet use in operation, and real fuel consumption. Results and Discussion: From this initial information, it was possible to obtain the volume of CO2 emissions specific to the fleet, considering vehicles using regular diesel and biodiesel (S10). The results indicated a fleet CO2 emission of 1,643 tons per year with the use of biodiesel (S10), representing a 10.5% reduction compared to the total CO2 e</w:t>
      </w:r>
    </w:p>
    <w:p>
      <w:pPr/>
      <w:r>
        <w:rPr>
          <w:b/>
        </w:rPr>
        <w:t>POSSIBLE 2024:</w:t>
      </w:r>
      <w:r>
        <w:t xml:space="preserve"> Decarbonization with induced technical change: Exploring the niche potential of hydrogen in heavy transportation — https://doi.org/10.1016/j.jclepro.2024.140743</w:t>
      </w:r>
    </w:p>
    <w:p>
      <w:pPr/>
      <w:r>
        <w:rPr>
          <w:b/>
        </w:rPr>
        <w:t>Shared claim-specific concepts:</w:t>
      </w:r>
      <w:r>
        <w:t xml:space="preserve"> transportation, sector, energy, one; EU scope visible. This is a provisional connection, not an outcome finding.</w:t>
      </w:r>
    </w:p>
    <w:p>
      <w:pPr>
        <w:pStyle w:val="SourceNote"/>
      </w:pPr>
      <w:r>
        <w:rPr>
          <w:b/>
        </w:rPr>
        <w:t>Available abstract (not full text):</w:t>
      </w:r>
      <w:r>
        <w:t xml:space="preserve"> Fuel cells and electric batteries are competing technologies for the energy transition in heavy transportation. We explore the conditions for the survival of a unique technology in the long term. Learning by doing suggests focusing on a single technology while differentiation and decreasing return to scale (cost convexity) favor diversification. Exogenous technical change also plays a role. The interaction between these factors is analyzed in a general model. It is proved that in absence of convexity and exogenous technical change, only one technology is used for the whole transition. We then apply this framework to analyze the competition between fuel-cell electric buses (FCEBs) and battery electric buses (BEB) in the European bus sector, considering both learning by doing and exogenous technical change. The model is calibrated and solved. It is shown that the existence of a niche for FCEBs critically depends on the speed at which cost reductions are achieved. The speed depends both on the size of the niche and the rate of learning by doing for FCEBs. Public policies to decentralize the socially optimal trajectory in terms of carbon tax and subsidies to learning by doing are derived.</w:t>
      </w:r>
    </w:p>
    <w:p>
      <w:pPr/>
      <w:r>
        <w:rPr>
          <w:b/>
        </w:rPr>
        <w:t>POSSIBLE 2024:</w:t>
      </w:r>
      <w:r>
        <w:t xml:space="preserve"> The Significance of Economic Complexity and Renewable Energy for Decarbonization in Eastern European Countries — https://doi.org/10.3390/en17215271</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Emerging states’ path to enhancing the welfare of their citizens has been strongly accompanied by environmental degradation; climate change effects often abrogate their economic results. This zero-sum game must change, and environmental concerns should be considered when the development of a country is discussed and assessed. In this sense, this study’s objective is to analyze the impact of economic complexity and renewable energy consumption in the presence of economic growth and urbanization in selected emerging European countries from 1995 to 2021. We used a multiple-methodologic approach to highlight the supportive effects of economic complexity and renewable energy consumption in mitigating carbon emissions. Furthermore, the effects of economic growth and urbanization were emphasized by applying the cointegration regression (CCR), fully modified OLS, and dynamic OLS (FMOLS–DOLS) approaches. Additionally, we used Driscoll–Kraay estimation regression to test the robustness of our results. The results reveal the beneficial role of renewable energy consumption and economic complexity in the decarbonization process of selected countries. Furthermore, the study highlighted the detrimental influence of urbanization and economic growth, which were feasible considering the emerging status of the countries included in the panel.</w:t>
      </w:r>
    </w:p>
    <w:p>
      <w:pPr>
        <w:pStyle w:val="Heading2"/>
      </w:pPr>
      <w:r>
        <w:t>784.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penetration, rates,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Multi-V2X: A Large Scale Multi-modal Multi-penetration-rate Dataset for Cooperative Perception — https://doi.org/10.48550/arxiv.2409.04980</w:t>
      </w:r>
    </w:p>
    <w:p>
      <w:pPr/>
      <w:r>
        <w:rPr>
          <w:b/>
        </w:rPr>
        <w:t>Shared claim-specific concepts:</w:t>
      </w:r>
      <w:r>
        <w:t xml:space="preserve"> penetration, rates, vehicles, potential; EU scope not established. This is a provisional connection, not an outcome finding.</w:t>
      </w:r>
    </w:p>
    <w:p>
      <w:pPr>
        <w:pStyle w:val="SourceNote"/>
      </w:pPr>
      <w:r>
        <w:rPr>
          <w:b/>
        </w:rPr>
        <w:t>Available abstract (not full text):</w:t>
      </w:r>
      <w:r>
        <w:t xml:space="preserve"> Cooperative perception through vehicle-to-everything (V2X) has garnered significant attention in recent years due to its potential to overcome occlusions and enhance long-distance perception. Great achievements have been made in both datasets and algorithms. However, existing real-world datasets are limited by the presence of few communicable agents, while synthetic datasets typically cover only vehicles. More importantly, the penetration rate of connected and autonomous vehicles (CAVs) , a critical factor for the deployment of cooperative perception technologies, has not been adequately addressed. To tackle these issues, we introduce Multi-V2X, a large-scale, multi-modal, multi-penetration-rate dataset for V2X perception. By co-simulating SUMO and CARLA, we equip a substantial number of cars and roadside units (RSUs) in simulated towns with sensor suites, and collect comprehensive sensing data. Datasets with specified CAV penetration rates can be obtained by masking some equipped cars as normal vehicles. In total, our Multi-V2X dataset comprises 549k RGB frames, 146k LiDAR frames, and 4,219k annotated 3D bounding boxes across six categories. The highest possible CAV penetration rate reaches 86.21%, with up to 31 agents in communication range, posing new challenges in selecting agents to collaborate with. We provide comprehensive benchmarks for cooperative 3D object detection t</w:t>
      </w:r>
    </w:p>
    <w:p>
      <w:pPr/>
      <w:r>
        <w:rPr>
          <w:b/>
        </w:rPr>
        <w:t>POSSIBLE 2024:</w:t>
      </w:r>
      <w:r>
        <w:t xml:space="preserve"> Socioeconomic Burden of Pulmonary Embolism in Europe: Shifting Priorities and Challenges for Novel Reperfusion Strategies — https://doi.org/10.1055/a-2505-8711</w:t>
      </w:r>
    </w:p>
    <w:p>
      <w:pPr/>
      <w:r>
        <w:rPr>
          <w:b/>
        </w:rPr>
        <w:t>Shared claim-specific concepts:</w:t>
      </w:r>
      <w:r>
        <w:t xml:space="preserve"> penetration, rates, among, different, potential; EU scope visible. This is a provisional connection, not an outcome finding.</w:t>
      </w:r>
    </w:p>
    <w:p>
      <w:pPr>
        <w:pStyle w:val="SourceNote"/>
      </w:pPr>
      <w:r>
        <w:rPr>
          <w:b/>
        </w:rPr>
        <w:t>Available abstract (not full text):</w:t>
      </w:r>
      <w:r>
        <w:t xml:space="preserve"> In-hospital case fatality related to acute pulmonary embolism (PE) has been falling since the beginning of this century. However, annual incidence rates continue to climb, and an increasing number of PE survivors need long-term follow-up, chronic anticoagulation treatment, and readmission(s) to the hospital. In European countries, median reimbursed hospital costs for acute PE are still moderate compared with the United States but can increase several-fold in patients with comorbidities and those necessitating potentially life-saving reperfusion treatment. The use of catheter-directed treatment (CDT) has constantly increased in the United States since the past decade, and it has now entered a rapid growth phase in Europe as well, estimated to reach an annual penetration rate of up to 31% among patients with intermediate-high- or high-risk PE by 2030. Ongoing randomised controlled trials are currently investigating the clinical efficacy and safety of these devices. In addition, they will deliver data permitting calculation of their cost-effectiveness in different health care reimbursement systems, by revealing the extent to which they can reduce complications and consequently the need for intensive care and the overall length of hospital stay. After discharge, key cost drivers are related to chronic cardiopulmonary diseases (other than PE itself) leading to frequent readmissions,</w:t>
      </w:r>
    </w:p>
    <w:p>
      <w:pPr/>
      <w:r>
        <w:rPr>
          <w:b/>
        </w:rPr>
        <w:t>POSSIBLE 2024:</w:t>
      </w:r>
      <w:r>
        <w:t xml:space="preserve"> A Survey on Penetration Path Planning in Automated Penetration Testing — https://doi.org/10.3390/app14188355</w:t>
      </w:r>
    </w:p>
    <w:p>
      <w:pPr/>
      <w:r>
        <w:rPr>
          <w:b/>
        </w:rPr>
        <w:t>Shared claim-specific concepts:</w:t>
      </w:r>
      <w:r>
        <w:t xml:space="preserve"> penetration, automated, identify, paths; EU scope not established. This is a provisional connection, not an outcome finding.</w:t>
      </w:r>
    </w:p>
    <w:p>
      <w:pPr>
        <w:pStyle w:val="SourceNote"/>
      </w:pPr>
      <w:r>
        <w:rPr>
          <w:b/>
        </w:rPr>
        <w:t>Available abstract (not full text):</w:t>
      </w:r>
      <w:r>
        <w:t xml:space="preserve"> Penetration Testing (PT) is an effective proactive security technique that simulates hacker attacks to identify vulnerabilities in networks or systems. However, traditional PT relies on specialized experience and costs extraordinary time and effort. With the advancement of artificial intelligence technologies, automated PT has emerged as a promising solution, attracting attention from researchers increasingly. In automated PT, penetration path planning is a core task that involves selecting the optimal attack paths to maximize the overall efficiency and success rate of the testing process. Recent years have seen significant progress in the field of penetration path planning, with diverse methods being proposed. This survey aims to comprehensively examine and summarize the research findings in this domain. Our work first outlines the background and challenges of penetration path planning and establishes the framework for research methods. It then provides a detailed analysis of existing studies from three key aspects: penetration path planning models, penetration path planning methods, and simulation environments. Finally, this survey offers insights into the future development trends of penetration path planning in PT. This paper aims to provide comprehensive references for academia and industry, promoting further research and application of automated PT path planning methods.</w:t>
      </w:r>
    </w:p>
    <w:p>
      <w:pPr/>
      <w:r>
        <w:rPr>
          <w:b/>
        </w:rPr>
        <w:t>POSSIBLE 2023:</w:t>
      </w:r>
      <w:r>
        <w:t xml:space="preserve"> Investigation into Factors Affecting Penetration Rate and Favorable Ground Types of Pipe Jacking — https://doi.org/10.2174/18748368-v17-2305300-2022-24</w:t>
      </w:r>
    </w:p>
    <w:p>
      <w:pPr/>
      <w:r>
        <w:rPr>
          <w:b/>
        </w:rPr>
        <w:t>Shared claim-specific concepts:</w:t>
      </w:r>
      <w:r>
        <w:t xml:space="preserve"> penetration, among, identify; EU scope not established. This is a provisional connection, not an outcome finding.</w:t>
      </w:r>
    </w:p>
    <w:p>
      <w:pPr>
        <w:pStyle w:val="SourceNote"/>
      </w:pPr>
      <w:r>
        <w:rPr>
          <w:b/>
        </w:rPr>
        <w:t>Available abstract (not full text):</w:t>
      </w:r>
      <w:r>
        <w:t xml:space="preserve"> Introduction: Improper assessment of the penetration rate (PR) of pipe jacking (PJ) may lead to serious schedule delays and cost overruns. In the current practice, PR is estimated on the basis of the experience of practitioners. This has resulted in predicted PR values that are not consistent with the actual ones. A guideline that can be used to reliably predict PR and account for the effects of the significantly controlling factors is not available. This negatively affects the estimated project time and cost. The problems stem from the many factors that affect PR such as the ground conditions, installation depth, machine type, operator experience, and pipe diameter. Little research has been made in this regard. So this research will focus on two main objectives; the first is to identify, categorize and rank the factors that affect PR, and the second is to investigate the common types of ground and PJ machines in Egypt and the Middle East to determine the favorable ground types for PJ machines. Methods: To determine the factors that affect the PR of PJ and their relative importance, interviews were made with 17 PJ experts in Egypt. Then, a questionnaire was sent to 149 PJ experts in Egypt and the Middle East. The obtained responses were analyzed and the relative importance of all factors was determined. Based on the interviews with experts and the questionnaire survey, the favo</w:t>
      </w:r>
    </w:p>
    <w:p>
      <w:pPr/>
      <w:r>
        <w:rPr>
          <w:b/>
        </w:rPr>
        <w:t>POSSIBLE 2022:</w:t>
      </w:r>
      <w:r>
        <w:t xml:space="preserve"> Impact of the Connected Vehicles Penetration Rate on the Speed Transition Matrices Accuracy — https://doi.org/10.1016/j.trpro.2022.09.029</w:t>
      </w:r>
    </w:p>
    <w:p>
      <w:pPr/>
      <w:r>
        <w:rPr>
          <w:b/>
        </w:rPr>
        <w:t>Shared claim-specific concepts:</w:t>
      </w:r>
      <w:r>
        <w:t xml:space="preserve"> penetration, between, vehicles, fully, estimate, traffic; EU scope not established. This is a provisional connection, not an outcome finding.</w:t>
      </w:r>
    </w:p>
    <w:p>
      <w:pPr>
        <w:pStyle w:val="SourceNote"/>
      </w:pPr>
      <w:r>
        <w:rPr>
          <w:b/>
        </w:rPr>
        <w:t>Available abstract (not full text):</w:t>
      </w:r>
      <w:r>
        <w:t xml:space="preserve"> The development of the Vehicle to Everything (V2X) communication technology can provide crucial data for traffic analysis on the microscopic level. Real-time data from Connected Vehicles (CVs) opens new research possibilities providing detailed insight into the actual traffic state. Speed Transition Matrices (STMs) can be used for this insight and can be created within a fully observable traffic environment. By introducing CVs into the traffic network, it is possible to obtain a partial observation of the traffic environment. This paper explores how the data collected from CVs can be used for the creation of STMs at an isolated intersection in a simulated environment. An emphasis is given on how the CVs penetration rate impacts the accuracy of the created STM. The results show that by increasing the CVs penetration rate, the STM estimate accuracy is also increased, although the relation between estimate accuracy and the penetration rate is not linear. Obtained results show that the error of STM estimation rapidly decreases in the lower CVs penetration rate range.</w:t>
      </w:r>
    </w:p>
    <w:p>
      <w:pPr/>
      <w:r>
        <w:rPr>
          <w:b/>
        </w:rPr>
        <w:t>POSSIBLE 2021:</w:t>
      </w:r>
      <w:r>
        <w:t xml:space="preserve"> The Broadband Penetration in Europe — https://doi.org/10.57017/jaes.v16.3(73).07</w:t>
      </w:r>
    </w:p>
    <w:p>
      <w:pPr/>
      <w:r>
        <w:rPr>
          <w:b/>
        </w:rPr>
        <w:t>Shared claim-specific concepts:</w:t>
      </w:r>
      <w:r>
        <w:t xml:space="preserve"> penetration, expected, different, estimate; EU scope visible. This is a provisional connection, not an outcome finding.</w:t>
      </w:r>
    </w:p>
    <w:p>
      <w:pPr>
        <w:pStyle w:val="SourceNote"/>
      </w:pPr>
      <w:r>
        <w:rPr>
          <w:b/>
        </w:rPr>
        <w:t>Available abstract (not full text):</w:t>
      </w:r>
      <w:r>
        <w:t xml:space="preserve"> In this article we estimate the determinants of broadband penetration in Europe. We use data from the European Innovation Scoreboard of the European Commission for 37 countries in the period 2010-2019. We apply Panel Data with Fixed Effects, Panel Data with Random Effects, WLS, OLS and Dynamic Panel. We found that the level of “Broadband Penetration” in Europe is positively associated to “Enterprises Providing ICT Training”, “Innovative Sales Share”, “Intellectual Assets”, “Knowledge-Intensive Service Exports”, “Turnover Share SMEs”, “Innovation Friendly Environment” and negatively associated with “Government procurement of advanced technology products”, “Sales Impact”, “Firm Investments”, “Opportunity-Driven Entrepreneurship”, “Most Cited Publications”, “Rule of Law”. In adjunct we perform a clusterization with k-Means algorithm optimized with the Silhouette Coefficient and we find the presence of three different clusters. Finally, we apply eight machine learning algorithms to predict the level of “Broadband Penetration” in Europe and we find that the Polynomial Regression algorithm is the best predictor and that the level of the variable is expected to increase of 10,4%.</w:t>
      </w:r>
    </w:p>
    <w:p>
      <w:pPr/>
      <w:r>
        <w:rPr>
          <w:b/>
        </w:rPr>
        <w:t>POSSIBLE 2021:</w:t>
      </w:r>
      <w:r>
        <w:t xml:space="preserve"> DEM study of particle scale and penetration rate on the installation mechanisms of screw piles in sand — https://doi.org/10.1016/j.compgeo.2021.104380</w:t>
      </w:r>
    </w:p>
    <w:p>
      <w:pPr/>
      <w:r>
        <w:rPr>
          <w:b/>
        </w:rPr>
        <w:t>Shared claim-specific concepts:</w:t>
      </w:r>
      <w:r>
        <w:t xml:space="preserve"> penetration, different, behaviour; EU scope not established. This is a provisional connection, not an outcome finding.</w:t>
      </w:r>
    </w:p>
    <w:p>
      <w:pPr>
        <w:pStyle w:val="SourceNote"/>
      </w:pPr>
      <w:r>
        <w:rPr>
          <w:b/>
        </w:rPr>
        <w:t>Available abstract (not full text):</w:t>
      </w:r>
      <w:r>
        <w:t xml:space="preserve"> Screw piles are efficient anchors to sustain large uplift loads and can be installed with low noise or vibration. Screw piles dimensions are currently increasing, renewing research interest to reduce the installation requirements (torque and crowd or vertical force). The Discrete Element Method (DEM) is an ideal technique to investigate the complex soil behaviour during screw pile installation. Different techniques such as particle upscaling or increase of pile penetration rate have been used to reduce the CPU time to more acceptable durations (e.g. few days or weeks). This paper investigates how such techniques can affect the accuracy of the results and change the installation mechanisms. Results show that maintaining a low particle scaling factor is essential to reproduce the correct mechanism at low pile advancement ratio (AR, defined as the vertical displacement per rotation divided by the helix pitch). The pile overflighting (AR ≤ 1) creates an upwards movement of particles, which in turn creates some tension in the pile. Smaller advancement ratios require smaller particles to accurately capture this effect. Results also show that the pile penetration rate must be maintained relatively low to avoid spurious inertial effects.</w:t>
      </w:r>
    </w:p>
    <w:p>
      <w:pPr/>
      <w:r>
        <w:rPr>
          <w:b/>
        </w:rPr>
        <w:t>POSSIBLE 2021:</w:t>
      </w:r>
      <w:r>
        <w:t xml:space="preserve"> Cosmetics Europe evaluation of 6 in silico skin penetration models — https://doi.org/10.1016/j.comtox.2021.100177</w:t>
      </w:r>
    </w:p>
    <w:p>
      <w:pPr/>
      <w:r>
        <w:rPr>
          <w:b/>
        </w:rPr>
        <w:t>Shared claim-specific concepts:</w:t>
      </w:r>
      <w:r>
        <w:t xml:space="preserve"> penetration, different, between; EU scope visible. This is a provisional connection, not an outcome finding.</w:t>
      </w:r>
    </w:p>
    <w:p>
      <w:pPr>
        <w:pStyle w:val="SourceNote"/>
      </w:pPr>
      <w:r>
        <w:rPr>
          <w:b/>
        </w:rPr>
        <w:t>Available abstract (not full text):</w:t>
      </w:r>
      <w:r>
        <w:t xml:space="preserve"> The ADME TF aims to develop in silico skin penetration models using in vitro human skin penetration data for 25 chemicals solubilized in wataer. Since there are widely differing opinions on different in silico models, we evaluated 3 open source (DermWin™, CDC and the University of Surrey models) and 3 commercial models (DSkin, SimCyp and TCAT). Simulation of cutaneous distribution used a finite dose exposure scenario. None of the models adequately predicted the amount of chemical that evaporated. This was important since the prediction of dermal delivery (DD) was improved when the evaporated amount was accounted for in the simulations. The ability to predict the amounts in skin layers varied between models, and the DD were generally over-predicted by 4 models and under-predicted by 1 model. Interestingly, measured partition and diffusion coefficients for the stratum corneum (SC) improved the DD prediction by one model from R2 = 0.23 to R2 = 0.57, while DD was predicted well by other models using QSAR values with higher R2 = 0.80. The effect of ethanol on DD was indicated by 5 of the models used, although they all over-predicted the DD. In conclusion, our evaluation highlighted important differences in 6 models and identified required improvement of in silico models.</w:t>
      </w:r>
    </w:p>
    <w:p>
      <w:pPr>
        <w:pStyle w:val="Heading2"/>
      </w:pPr>
      <w:r>
        <w:t>785.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2022:</w:t>
      </w:r>
      <w:r>
        <w:t xml:space="preserve"> The European Registry for Patients with Mechanical Circulatory Support of the European Association for Cardio-Thoracic Surgery: third report — https://doi.org/10.1093/ejcts/ezac032</w:t>
      </w:r>
    </w:p>
    <w:p>
      <w:pPr/>
      <w:r>
        <w:rPr>
          <w:b/>
        </w:rPr>
        <w:t>Shared claim-specific concepts:</w:t>
      </w:r>
      <w:r>
        <w:t xml:space="preserve"> third, range; EU scope visible. This is a provisional connection, not an outcome finding.</w:t>
      </w:r>
    </w:p>
    <w:p>
      <w:pPr>
        <w:pStyle w:val="SourceNote"/>
      </w:pPr>
      <w:r>
        <w:rPr>
          <w:b/>
        </w:rPr>
        <w:t>Available abstract (not full text):</w:t>
      </w:r>
      <w:r>
        <w:t xml:space="preserve">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permanent, land, use;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2021:</w:t>
      </w:r>
      <w:r>
        <w:t xml:space="preserve"> ERA5-Land: a state-of-the-art global reanalysis dataset for land applications — https://doi.org/10.5194/essd-13-4349-2021</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Abstract. Framed within the Copernicus Climate Change Service of the European Commission, the European Centre for Medium-Range Weather Forecasts (ECMWF) is producing an enhanced global dataset for the land component of the 5th generation of European ReAnalysis (ERA5), hereafter named as ERA5-Land. Once completed, the period covered will span from 1950 to present, with continuous updates to support land monitoring applications. ERA5-Land describes the evolution of the water and energy cycles over land in a consistent manner over the production period, enabling the characterisation of trends and anomalies. This is achieved through global high resolution numerical integrations of the ECMWF land surface model driven by the downscaled meteorological forcing from the ERA5 climate reanalysis, including an elevation correction for the thermodynamic near-surface state. ERA5-Land shares with ERA5 most of the parametrizations that guarantees the use of the state-of-the-art land surface modeling applied to Numerical Weather Prediction (NWP) models. A main advantage of ERA5-Land compared to ERA5 and the older ERA-Interim is the horizontal resolution, which is enhanced globally to 9 km compared to 31 km (ERA5) or 80 km (ERA-Interim), whereas the temporal resolution is hourly as in ERA5. Evaluation against independent in situ observations and global model or satellite-based reference datasets</w:t>
      </w:r>
    </w:p>
    <w:p>
      <w:pPr/>
      <w:r>
        <w:rPr>
          <w:b/>
        </w:rPr>
        <w:t>POSSIBLE 2021:</w:t>
      </w:r>
      <w:r>
        <w:t xml:space="preserve"> A new European land systems representation accounting for landscape characteristics — https://doi.org/10.1007/s10980-021-01227-5</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Abstract Context While land use change is the main driver of biodiversity loss, most biodiversity assessments either ignore it or use a simple land cover representation. Land cover representations lack the representation of land use and landscape characteristics relevant to biodiversity modeling. Objectives We developed a comprehensive and high-resolution representation of European land systems on a 1-km2 grid integrating important land use and landscape characteristics. Methods Combining the recent data on land cover and land use intensities, we applied an expert-based hierarchical classification approach and identified land systems that are common in Europe and meaningful for studying biodiversity. We tested the benefits of using this map as compared to land cover information to predict the distribution of bird species having different vulnerability to landscape and land use change. Results Next to landscapes dominated by one land cover, mosaic landscapes cover 14.5% of European terrestrial surface. When using the land system map, species distribution models demonstrate substantially higher predictive ability (up to 19% higher) as compared to models based on land cover maps. Our map consistently contributes more to the spatial distribution of the tested species than the use of land cover data (3.9 to 39.1% higher). Conclusions A land systems classification including essential</w:t>
      </w:r>
    </w:p>
    <w:p>
      <w:pPr/>
      <w:r>
        <w:rPr>
          <w:b/>
        </w:rPr>
        <w:t>POSSIBLE 2021:</w:t>
      </w:r>
      <w:r>
        <w:t xml:space="preserve"> Sentinel-2 Time Series Analysis for Identification of Underutilized Land in Europe — https://doi.org/10.3390/rs13234920</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Biomass and bioenergy play a central role in Europe’s Green Transition. Currently, biomass is representing half of the renewable energy sources used. While the role of renewables in the energy mix is undisputed, there have been many controversial discussions on the use of biomass for energy due to the “food versus fuel” debate. Using previously underutilized lands for bioenergy is one possibility to prevent this discussion. This study supports the attempts to increase biomass for bioenergy through the provision of improved methods to identify underutilized lands in Europe. We employ advanced analysis methods based on time series modelling using Sentinel-2 (S2) data from 2017 to 2019 in order to distinguish utilized from underutilized land in twelve study areas in different bio-geographical regions (BGR) across Europe. The calculated parameters of the computed model function combined with temporal statistics were used to train a random forest classifier (RF). The achieved overall accuracies (OA) per study area vary between 80.25 and 96.76%, with confidence intervals (CI) ranging between 1.77% and 6.28% at a 95% confidence level. All in all, nearly 500,000 ha of underutilized land potentially available for agricultural bioenergy production were identified in this study, with the greatest amount mapped in Eastern Europe.</w:t>
      </w:r>
    </w:p>
    <w:p>
      <w:pPr/>
      <w:r>
        <w:rPr>
          <w:b/>
        </w:rPr>
        <w:t>POSSIBLE 2021:</w:t>
      </w:r>
      <w:r>
        <w:t xml:space="preserve"> Large variability in response to projected climate and land‐use changes among European bumblebee species — https://doi.org/10.1111/gcb.15780</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Bumblebees (Bombus ssp.) are among the most important wild pollinators, but many species have suffered from range declines. Land-use change, agricultural intensification, and the associated loss of habitat have been identified as drivers of the observed dynamics, amplifying pressures from a changing climate. However, these drivers are still underrepresented in continental-scale species distribution modeling. Here, we project the potential distribution of 47 European bumblebee species in 2050 and 2080 from existing European-scale distribution maps, based on a set of climate and land-use futures simulated through a regional integrated assessment model and consistent with the RCP-SSP scenario framework. We compare projections including (1) dynamic climate and constant land use (CLIM); (2) constant climate and dynamic land use (LU); and (3) dynamic climate and dynamic land use (COMB) to disentangle the effects of land use and climate change on future habitat suitability, providing the first rigorous continental-scale assessment of linked climate-land-use futures for bumblebees. We find that direct climate impacts, although variable across species, dominate responses for most species, especially under high-end climate change scenarios (up to 99% range loss). Land-use impacts are highly variable across species and scenarios, ranging from severe losses (up to 75% loss) to considerable</w:t>
      </w:r>
    </w:p>
    <w:p>
      <w:pPr/>
      <w:r>
        <w:rPr>
          <w:b/>
        </w:rPr>
        <w:t>POSSIBLE 2020:</w:t>
      </w:r>
      <w:r>
        <w:t xml:space="preserve"> European Union Responses to the Covid-19 Pandemic: adaptability in times of Permanent Emergency — https://doi.org/10.1080/07036337.2020.1853120</w:t>
      </w:r>
    </w:p>
    <w:p>
      <w:pPr/>
      <w:r>
        <w:rPr>
          <w:b/>
        </w:rPr>
        <w:t>Shared claim-specific concepts:</w:t>
      </w:r>
      <w:r>
        <w:t xml:space="preserve"> permanent, across; EU scope visible. This is a provisional connection, not an outcome finding.</w:t>
      </w:r>
    </w:p>
    <w:p>
      <w:pPr>
        <w:pStyle w:val="SourceNote"/>
      </w:pPr>
      <w:r>
        <w:rPr>
          <w:b/>
        </w:rPr>
        <w:t>Available abstract (not full text):</w:t>
      </w:r>
      <w:r>
        <w:t xml:space="preserve"> Exploring the challenges of Covid-19 for the European Union (EU) during March-August 2020, this article argues that contrary to prior crises the EU has demonstrated a certain degree of adaptability to a ‘permanent’ emergency mode. This adaptability varies across policy areas under study. Inter-crisis learning has been higher in state aid and economic governance than in the area of Schengen. Discursive shifts co-exist and have been central to the areas of cybercrime, economic governance and climate change. Additionally, and despite the tensions, there are signs of renewed political commitment to the European project and an acceleration of decisions and initiatives that had been decided or discussed before the pandemic. Although de-politicization and politicization trends continue to co-exist, we observe politicization at the top with European elites perceiving the Covid-19 emergency as an existential threat for the EU. Finally, we argue that the EU’s adaptability and acceleration of prior trends do not necessarily involve a race that favor supranational tendencies.</w:t>
      </w:r>
    </w:p>
    <w:p>
      <w:pPr/>
      <w:r>
        <w:rPr>
          <w:b/>
        </w:rPr>
        <w:t>POSSIBLE 2020:</w:t>
      </w:r>
      <w:r>
        <w:t xml:space="preserve"> A classification of European agricultural land using an energy-based intensity indicator and detailed crop description — https://doi.org/10.1016/j.landurbplan.2020.103793</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With agricultural areas covering almost half of European land, proper management of agro-ecosystems is key to achieve the European Union’s environmental and climate objectives. This requires spatially explicit methods and indicators. We developed an approach for the classification of agricultural land by combining two main dimensions i) land cover, using detailed geo-spatialized census data covering 63 individual crops; ii) management intensity, measured as the anthropogenic energy required in the primary crop production. As a result we identified 10 main crop systems further classified into 30 ‘crop-management systems’ at a spatial resolution of 5 arcminutes. The resulting maps show the spatial patterns of agricultural management intensity across Europe, both in absolute terms (total energy input per hectare) and relative to the dominant crop system in the spatial unit of analysis. The use of multiple intensity dimensions provides new, more detailed insights on agricultural intensity by which areas that were previously classified as low-medium intensive - some permanent crops systems or irrigated arable land - appear now as highly intensive. An expert-based evaluation was carried out on the intensity maps and corroborated the obtained results. The generated maps can be used to support decision-making in designing more targeted, context-specific agricultural and territorial pol</w:t>
      </w:r>
    </w:p>
    <w:p>
      <w:pPr/>
      <w:r>
        <w:rPr>
          <w:b/>
        </w:rPr>
        <w:t>POSSIBLE 2019:</w:t>
      </w:r>
      <w:r>
        <w:t xml:space="preserve"> Developing stakeholder-driven scenarios on land sharing and land sparing – Insights from five European case studies — https://doi.org/10.1016/j.jenvman.2019.03.050</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Empirical research on land sharing and land sparing has been criticized because preferences of local stakeholders, socio-economic aspects, a bundle of ecosystem services and the local context were only rarely integrated. Using storylines and scenarios is a common approach to include land use drivers and local contexts or to cope with the uncertainties of future developments. The objective of the presented research is to develop comparable participatory regional land use scenarios for the year 2030 reflecting land sharing, land sparing and more intermediate developments across five different European landscapes (Austria, Germany, Switzerland, The Netherlands and Spain). In order to ensure methodological consistency among the five case studies, a hierarchical multi-scale scenario approach was developed, which consisted of i) the selection of a common global storyline to frame a common sphere of uncertainty for all case studies, ii) the definition of three contrasting qualitative European storylines (representing developments for land sharing, land sparing and a balanced storyline), and iii) the development of three explorative case study-specific land use scenarios with regional stakeholders in workshops. Land use transition rules defined by stakeholders were used to generate three different spatially-explicit scenarios for each case study by means of high-resolution land use map</w:t>
      </w:r>
    </w:p>
    <w:p>
      <w:pPr>
        <w:pStyle w:val="Heading2"/>
      </w:pPr>
      <w:r>
        <w:t>786.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787.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r>
        <w:rPr>
          <w:b/>
        </w:rPr>
        <w:t>POSSIBLE 2024:</w:t>
      </w:r>
      <w:r>
        <w:t xml:space="preserve"> Influence of social determinants of health in the evolution of the quality of life of older adults in Europe: A comparative analysis between men and women — https://doi.org/10.1057/s41599-024-02899-5</w:t>
      </w:r>
    </w:p>
    <w:p>
      <w:pPr/>
      <w:r>
        <w:rPr>
          <w:b/>
        </w:rPr>
        <w:t>Shared claim-specific concepts:</w:t>
      </w:r>
      <w:r>
        <w:t xml:space="preserve"> female, life, expectancy, men, approach; EU scope visible. This is a provisional connection, not an outcome finding.</w:t>
      </w:r>
    </w:p>
    <w:p>
      <w:pPr>
        <w:pStyle w:val="SourceNote"/>
      </w:pPr>
      <w:r>
        <w:rPr>
          <w:b/>
        </w:rPr>
        <w:t>Available abstract (not full text):</w:t>
      </w:r>
      <w:r>
        <w:t xml:space="preserve"> Abstract Population aging is a global phenomenon due to declining birth rates and increased life expectancy. This demographic shift poses a challenge to society, requiring adaptation of policies, economies, and healthcare systems to safeguard the well-being of older individuals. Health inequalities, influenced by social determinants such as education, economic status, and place of residence, impact this population group, with notable differences between men and women. Several studies have demonstrated that social determinants of health (SDH) affect the quality of life (QoL) of older individuals, especially women. In general, women report lower quality of life indicators, lower educational levels, and poorer health compared to men. This study aims to examine how social determinants of health can influence the quality of life of the population aged 50 or older in different European countries, from a sex perspective, through a longitudinal approach. The main SDHs associated with poorer QoL were female sex advanced age, economic hardship, educational level, and geographic location within Europe. Depression in women and men in Southern Europe was associated with a decrease in QoL scores.</w:t>
      </w:r>
    </w:p>
    <w:p>
      <w:pPr/>
      <w:r>
        <w:rPr>
          <w:b/>
        </w:rPr>
        <w:t>POSSIBLE 2023:</w:t>
      </w:r>
      <w:r>
        <w:t xml:space="preserve"> Stalling life expectancy trends in Europe and decomposition analysis of mortality data — https://doi.org/10.1093/eurpub/ckad160.919</w:t>
      </w:r>
    </w:p>
    <w:p>
      <w:pPr/>
      <w:r>
        <w:rPr>
          <w:b/>
        </w:rPr>
        <w:t>Shared claim-specific concepts:</w:t>
      </w:r>
      <w:r>
        <w:t xml:space="preserve"> life, expectancy, over, increase, two, similar; EU scope visible. This is a provisional connection, not an outcome finding.</w:t>
      </w:r>
    </w:p>
    <w:p>
      <w:pPr>
        <w:pStyle w:val="SourceNote"/>
      </w:pPr>
      <w:r>
        <w:rPr>
          <w:b/>
        </w:rPr>
        <w:t>Available abstract (not full text):</w:t>
      </w:r>
      <w:r>
        <w:t xml:space="preserve"> Abstract Background Life expectancy (LE) is an important population health metric over the life course. LE has increased significantly, over the past two centuries but has showed signs of slowing recently in Europe, the United Kingdom, and the United States. Several drivers have been suggested to be causing the slowdown, including slowing improvements in cardiovascular mortality. We set out to investigate trends in LE across Europe from 1990-2019, and how deaths from different causes have contributed to annual average change in LE across two time periods: 2007-2009 to 2012-2014 and 2012-2014 to 2017-2019. Methods Data were obtained from the Global Burden of Disease (GBD) Study 2019, which are in public domain. The GBD Study is a comprehensive global epidemiologic data resource employing standardized methodology for comparability. Joinpoint regression analysis was utilised to identify trends. The Arriaga decomposition method was applied to produce estimates of the contribution of different age groups and underlying causes of death to changes in LE at birth for the two periods. Results Overall, LE in Europe was 72.6 years in 1990- increasing to 78.3 years in 2019, with significant variations within EU countries. However, LE showed a slower pace from 2012 onwards in Europe- much slower in Western Europe, and more pronounced among females. LE in females fell from an annual increase</w:t>
      </w:r>
    </w:p>
    <w:p>
      <w:pPr/>
      <w:r>
        <w:rPr>
          <w:b/>
        </w:rPr>
        <w:t>POSSIBLE 2023:</w:t>
      </w:r>
      <w:r>
        <w:t xml:space="preserve"> Global Trends in Life Expectancy and Healthy Life Expectancy — https://doi.org/10.1093/acrefore/9780190632366.013.384</w:t>
      </w:r>
    </w:p>
    <w:p>
      <w:pPr/>
      <w:r>
        <w:rPr>
          <w:b/>
        </w:rPr>
        <w:t>Shared claim-specific concepts:</w:t>
      </w:r>
      <w:r>
        <w:t xml:space="preserve"> life, expectancy, likely, country, increase, see; EU scope visible. This is a provisional connection, not an outcome finding.</w:t>
      </w:r>
    </w:p>
    <w:p>
      <w:pPr>
        <w:pStyle w:val="SourceNote"/>
      </w:pPr>
      <w:r>
        <w:rPr>
          <w:b/>
        </w:rPr>
        <w:t>Available abstract (not full text):</w:t>
      </w:r>
      <w:r>
        <w:t xml:space="preserve"> Abstract In the known history of humanity, life expectancy scarcely exceeded 30 years, with half of newborns dying before age five, up to the 18th century. However, from the 18th century onward, major epidemics were combatted more efficiently, famines became less frequent, and life expectancy thus began to increase, first in Northwest Europe, then spreading to North America, Australia, Japan, and to the rest of Europe. The health transition reached Latin America, the rest of Asia, and Africa only in the 20th century. In 2015–2020, worldwide life expectancy at birth reached 72.5 years. However, differences remained large between regions and countries. The Japanese experienced the highest level at 84.4 years, thanks to their increasingly effective noncommunicable disease (NCD) control and an especially dramatic decrease in cardiovascular mortality. On average, life expectancy was 80.9 years in high income countries, 71.4 in middle income countries and 63.4 in low income countries. It was only 60 years in sub-Saharan Africa, with some countries barely exceeding 50. High mortality countries suffer a heavy burden from both infectious and NCDs. Due to increasing life expectancy, deaths shifting to older ages, and changing cause-of-death patterns, questions arise concerning the health of populations. The health expectancies made available mainly in high income countries are indicators</w:t>
      </w:r>
    </w:p>
    <w:p>
      <w:pPr/>
      <w:r>
        <w:rPr>
          <w:b/>
        </w:rPr>
        <w:t>POSSIBLE 2023:</w:t>
      </w:r>
      <w:r>
        <w:t xml:space="preserve"> LIFE STRATEGIES OF RUSSIAN AND EUROPEAN FEMALE STUDENTS: — https://doi.org/10.18316/rcd.v15i38.11034</w:t>
      </w:r>
    </w:p>
    <w:p>
      <w:pPr/>
      <w:r>
        <w:rPr>
          <w:b/>
        </w:rPr>
        <w:t>Shared claim-specific concepts:</w:t>
      </w:r>
      <w:r>
        <w:t xml:space="preserve"> female, life, men; EU scope visible. This is a provisional connection, not an outcome finding.</w:t>
      </w:r>
    </w:p>
    <w:p>
      <w:pPr>
        <w:pStyle w:val="SourceNote"/>
      </w:pPr>
      <w:r>
        <w:rPr>
          <w:b/>
        </w:rPr>
        <w:t>Available abstract (not full text):</w:t>
      </w:r>
      <w:r>
        <w:t xml:space="preserve"> Contemporary society provides people with various ways of personality development. Young people are most susceptible to changes that occur in economics, politics, and technology. Different types of life strategies are formed and realized by young women and men, and they eventually transform public consciousness in general. The article is devoted to the analysis of life strategies and scenarios of female students living in Russia and European countries. For this purpose, a series of in-depth interviews with girls was conducted, as well as a visual analysis of the accounts of young women on the social network Instagram. Today, the process of westernization is observable – the adoption of Western European structures, practices, and lifestyles by non-European societies and countries has become a significant cultural phenomenon. Thus, based on the data obtained, it is possible to define a life strategy as a system of ideas and guidelines of the individual, aimed at the conscious design of the future. It determines and directs the behavior of individuals, reflecting the idea of the future and life path. A life strategy includes not only orientations, but also ways to achieve and realize certain goals and expectations.</w:t>
      </w:r>
    </w:p>
    <w:p>
      <w:pPr/>
      <w:r>
        <w:rPr>
          <w:b/>
        </w:rPr>
        <w:t>POSSIBLE 2023:</w:t>
      </w:r>
      <w:r>
        <w:t xml:space="preserve"> Influence of Social Determinants of Health on the Quality of Life of Older Adults in Europe: A Sex Analysis — https://doi.org/10.21203/rs.3.rs-3401316/v1</w:t>
      </w:r>
    </w:p>
    <w:p>
      <w:pPr/>
      <w:r>
        <w:rPr>
          <w:b/>
        </w:rPr>
        <w:t>Shared claim-specific concepts:</w:t>
      </w:r>
      <w:r>
        <w:t xml:space="preserve"> female, life, over, men; EU scope visible. This is a provisional connection, not an outcome finding.</w:t>
      </w:r>
    </w:p>
    <w:p>
      <w:pPr>
        <w:pStyle w:val="SourceNote"/>
      </w:pPr>
      <w:r>
        <w:rPr>
          <w:b/>
        </w:rPr>
        <w:t>Available abstract (not full text):</w:t>
      </w:r>
      <w:r>
        <w:t xml:space="preserve"> Introduction: The global aging population poses challenges for society such as health inequalities among older persons and between genders. Objectives: To determine how Social Determinants of Health (SDH) influence the quality of life (QoL) of individuals over 50 years old in various European countries, taking a gender perspective in a longitudinal study. Materials and methods: Sample of 11,493 individuals from 13 European countries from Waves 5 (2013), 6 (2015), and 7 (2017) of the SHARE study. Instruments: CASP-12 (QoL), EURO-D (depression), SDH: gender, age, educational level, socioeconomic status, ethnicity, place of residence, and European region. Sociodemographic and clinical variables. Statistical analysis: Bivariate and multivariate mixed linear models. Results: The bivariate analysis showed higher economic hardship and lower education in women compared to men. The CASP-12 score was higher in men than in women. In the multivariate analysis, the variables associated with lower QoL scores among men and women from Wave 5 to Wave 7 were: (β:-0.196, 95% CI: -0.345; -0.047) vs (β:0.038, 95% CI: -0.122; 0.197); economic hardship; and the European region between South and North (β: 2.709, 95% CI: 2.403; 3.015) vs men (β: 2.224, 95% CI: 1.896; 2.551). Conclusions: The main SDH associated with poorer QoL were female gender, advanced age, economic hardship, educational level, and </w:t>
      </w:r>
    </w:p>
    <w:p>
      <w:pPr/>
      <w:r>
        <w:rPr>
          <w:b/>
        </w:rPr>
        <w:t>POSSIBLE 2023:</w:t>
      </w:r>
      <w:r>
        <w:t xml:space="preserve"> Gains in life expectancy from decreasing cardiovascular disease and cancer mortality – an analysis of 28 European countries 1995–2019 — https://doi.org/10.1007/s10654-023-01039-8</w:t>
      </w:r>
    </w:p>
    <w:p>
      <w:pPr/>
      <w:r>
        <w:rPr>
          <w:b/>
        </w:rPr>
        <w:t>Shared claim-specific concepts:</w:t>
      </w:r>
      <w:r>
        <w:t xml:space="preserve"> female, life, expectancy, over, men, country; EU scope visible. This is a provisional connection, not an outcome finding.</w:t>
      </w:r>
    </w:p>
    <w:p>
      <w:pPr>
        <w:pStyle w:val="SourceNote"/>
      </w:pPr>
      <w:r>
        <w:rPr>
          <w:b/>
        </w:rPr>
        <w:t>Available abstract (not full text):</w:t>
      </w:r>
      <w:r>
        <w:t xml:space="preserve"> BACKGROUND: Life expectancy (LE) is an indicator of societal progress among rapidly aging populations. In recent decades, the displacement of deaths from cardiovascular disease (CVD) and cancer have been key drivers in further extending LE on the continent, though improvements vary markedly by country, sex, and over time. This study provides a comparative overview of the age-specific contributions of CVD and cancer to increasing LE in the 27 European Union member states, plus the U.K. METHODS: Cause-by-age decompositions of national changes in LE were conducted for the years 1995-1999 and 2015-2019 based on the standard approach of multiple decrement life tables to quantify the relative impact over time. The contributions of CVD and cancer mortality changes to differences in LE were computed by sex and age for each of the 28 countries. We examine the difference between the member states before 2004 ("founding countries") and those which accessed the EU after 2004 ("A10 countries"). RESULTS: Among men, declines in CVD mortality in the founding countries of the EU were larger contributors to increasing LE over the last decades than malignant neoplasms: 2.26 years were gained by CVD declines versus 1.07 years for cancer, with 2.23 and 0.84 years gained in A10 countries, respectively. Among women in founding countries, 1.81 and 0.54 additional life years were attributable to CVD an</w:t>
      </w:r>
    </w:p>
    <w:p>
      <w:pPr/>
      <w:r>
        <w:rPr>
          <w:b/>
        </w:rPr>
        <w:t>POSSIBLE 2022:</w:t>
      </w:r>
      <w:r>
        <w:t xml:space="preserve"> Life expectancy changes since COVID-19 — https://doi.org/10.1038/s41562-022-01450-3</w:t>
      </w:r>
    </w:p>
    <w:p>
      <w:pPr/>
      <w:r>
        <w:rPr>
          <w:b/>
        </w:rPr>
        <w:t>Shared claim-specific concepts:</w:t>
      </w:r>
      <w:r>
        <w:t xml:space="preserve"> life, expectancy, over, chile; EU scope visible. This is a provisional connection, not an outcome finding.</w:t>
      </w:r>
    </w:p>
    <w:p>
      <w:pPr>
        <w:pStyle w:val="SourceNote"/>
      </w:pPr>
      <w:r>
        <w:rPr>
          <w:b/>
        </w:rPr>
        <w:t>Available abstract (not full text):</w:t>
      </w:r>
      <w:r>
        <w:t xml:space="preserve"> Abstract The COVID-19 pandemic triggered an unprecedented rise in mortality that translated into life expectancy losses around the world, with only a few exceptions. We estimate life expectancy changes in 29 countries since 2020, including most of Europe, the US and Chile, attribute them to mortality changes by age group, and compare them to historic life expectancy shocks. Our results show divergence in mortality impacts of the pandemic in 2021. While countries in Western Europe experienced bounce-backs from life expectancy losses of 2020, Eastern Europe and the US witnessed sustained and substantial life expectancy deficits. Life expectancy deficits among ages 60+ were strongly correlated with measures of vaccination uptake. In contrast to 2020, the age profile of excess mortality in 2021 was younger with those in under-80 age groups contributing more to life expectancy losses. However, even in 2021, registered COVID-19 deaths continued to account for most life expectancy losses. Research in context Evidence before this study The COVID-19 pandemic disrupted mortality trends around the world. Most high-income countries experienced life expectancy declines in 2020, and emerging evidence from low-to-middle income shows substantial losses in life expectancy with large regional variation. These analyses emphasise the impact of COVID-19 deaths and also highlight the effect of exces</w:t>
      </w:r>
    </w:p>
    <w:p>
      <w:pPr/>
      <w:r>
        <w:rPr>
          <w:b/>
        </w:rPr>
        <w:t>POSSIBLE 2022:</w:t>
      </w:r>
      <w:r>
        <w:t xml:space="preserve"> The Role of Parenthood for Life Satisfaction of Older Women and Men in Europe — https://doi.org/10.1007/s10902-022-00600-8</w:t>
      </w:r>
    </w:p>
    <w:p>
      <w:pPr/>
      <w:r>
        <w:rPr>
          <w:b/>
        </w:rPr>
        <w:t>Shared claim-specific concepts:</w:t>
      </w:r>
      <w:r>
        <w:t xml:space="preserve"> life, men, approach; EU scope visible. This is a provisional connection, not an outcome finding.</w:t>
      </w:r>
    </w:p>
    <w:p>
      <w:pPr>
        <w:pStyle w:val="SourceNote"/>
      </w:pPr>
      <w:r>
        <w:rPr>
          <w:b/>
        </w:rPr>
        <w:t>Available abstract (not full text):</w:t>
      </w:r>
      <w:r>
        <w:t xml:space="preserve"> Abstract Previous research has widely addressed the gap in well-being between parents and childless individuals. While cross-sectional studies have regularly reported lower levels of well-being for parents, recent longitudinal studies suggest a short-term positive effect with a back-to-baseline adaptation. Whether, why, and how parenthood may affect well-being in older age is, however, still largely unclear. In this paper, a holistic view of well-being developments across the process of aging is combined with a transition-centered, gender sensitive approach to analyze the effects of health decline on the self-reported life satisfaction of parents and childless individuals. Life satisfaction in older age is hypothesized to be influenced by the onset of and coping with health limitations, which themselves may differ by parental status and gender. Using group-specific growth curve analysis based on data from the Survey of Health, Ageing and Retirement in Europe (SHARE) and accounting for selection into parenthood, we demonstrate how the life satisfaction of men and women evolves in the later life depending on parental status. Results show that from age 50 onwards, parents’ life satisfaction develops somewhat less favorably compared to that of childless individuals, but this difference is not significant. However, fathers' health evolves more favorably while they react less negativ</w:t>
      </w:r>
    </w:p>
    <w:p>
      <w:pPr/>
      <w:r>
        <w:rPr>
          <w:b/>
        </w:rPr>
        <w:t>POSSIBLE 2021:</w:t>
      </w:r>
      <w:r>
        <w:t xml:space="preserve"> Inequality in life expectancies across Europe and the US — https://doi.org/10.1002/hec.4284</w:t>
      </w:r>
    </w:p>
    <w:p>
      <w:pPr/>
      <w:r>
        <w:rPr>
          <w:b/>
        </w:rPr>
        <w:t>Shared claim-specific concepts:</w:t>
      </w:r>
      <w:r>
        <w:t xml:space="preserve"> life, expectancy, advantage; EU scope visible. This is a provisional connection, not an outcome finding.</w:t>
      </w:r>
    </w:p>
    <w:p>
      <w:pPr>
        <w:pStyle w:val="SourceNote"/>
      </w:pPr>
      <w:r>
        <w:rPr>
          <w:b/>
        </w:rPr>
        <w:t>Available abstract (not full text):</w:t>
      </w:r>
      <w:r>
        <w:t xml:space="preserve"> We use harmonized household panel data from Europe and the US and a three-state survival model to provide comparable measurements of education and gender inequalities in total, healthy, and unhealthy life expectancies at age 50. Common across countries, the education advantage in total life expectancy is larger for males but the education advantage in (fewer) unhealthy years is larger for females. Counterfactual decompositions show that these results arise because the education advantage in conditional survival rates is relatively more important for males, while the education advantage in better health transitions is relatively more important for females. Across countries, the US stands out with the largest education gradient in healthy life expectancy.</w:t>
      </w:r>
    </w:p>
    <w:p>
      <w:pPr/>
      <w:r>
        <w:rPr>
          <w:b/>
        </w:rPr>
        <w:t>POSSIBLE 2021:</w:t>
      </w:r>
      <w:r>
        <w:t xml:space="preserve"> Quantifying impacts of the COVID-19 pandemic through life-expectancy losses: a population-level study of 29 countries — https://doi.org/10.1093/ije/dyab207</w:t>
      </w:r>
    </w:p>
    <w:p>
      <w:pPr/>
      <w:r>
        <w:rPr>
          <w:b/>
        </w:rPr>
        <w:t>Shared claim-specific concepts:</w:t>
      </w:r>
      <w:r>
        <w:t xml:space="preserve"> life, expectancy, chile; EU scope visible. This is a provisional connection, not an outcome finding.</w:t>
      </w:r>
    </w:p>
    <w:p>
      <w:pPr>
        <w:pStyle w:val="SourceNote"/>
      </w:pPr>
      <w:r>
        <w:rPr>
          <w:b/>
        </w:rPr>
        <w:t>Available abstract (not full text):</w:t>
      </w:r>
      <w:r>
        <w:t xml:space="preserve"> BACKGROUND: Variations in the age patterns and magnitudes of excess deaths, as well as differences in population sizes and age structures, make cross-national comparisons of the cumulative mortality impacts of the COVID-19 pandemic challenging. Life expectancy is a widely used indicator that provides a clear and cross-nationally comparable picture of the population-level impacts of the pandemic on mortality. METHODS: Life tables by sex were calculated for 29 countries, including most European countries, Chile and the USA, for 2015-2020. Life expectancy at birth and at age 60 years for 2020 were contextualized against recent trends between 2015 and 2019. Using decomposition techniques, we examined which specific age groups contributed to reductions in life expectancy in 2020 and to what extent reductions were attributable to official COVID-19 deaths. RESULTS: Life expectancy at birth declined from 2019 to 2020 in 27 out of 29 countries. Males in the USA and Lithuania experienced the largest losses in life expectancy at birth during 2020 (2.2 and 1.7 years, respectively), but reductions of more than an entire year were documented in 11 countries for males and 8 among females. Reductions were mostly attributable to increased mortality above age 60 years and to official COVID-19 deaths. CONCLUSIONS: The COVID-19 pandemic triggered significant mortality increases in 2020 of a magnit</w:t>
      </w:r>
    </w:p>
    <w:p>
      <w:pPr>
        <w:pStyle w:val="Heading2"/>
      </w:pPr>
      <w:r>
        <w:t>788.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2023:</w:t>
      </w:r>
      <w:r>
        <w:t xml:space="preserve"> A Comprehensive Evaluation of Factors Influencing Acceptance of Robotic Assistants in Field Construction Work — https://doi.org/10.1061/jmenea.meeng-5227</w:t>
      </w:r>
    </w:p>
    <w:p>
      <w:pPr/>
      <w:r>
        <w:rPr>
          <w:b/>
        </w:rPr>
        <w:t>Shared claim-specific concepts:</w:t>
      </w:r>
      <w:r>
        <w:t xml:space="preserve"> evaluate, key, field, human, work; EU scope not established. This is a provisional connection, not an outcome finding.</w:t>
      </w:r>
    </w:p>
    <w:p>
      <w:pPr>
        <w:pStyle w:val="SourceNote"/>
      </w:pPr>
      <w:r>
        <w:rPr>
          <w:b/>
        </w:rPr>
        <w:t>Available abstract (not full text):</w:t>
      </w:r>
      <w:r>
        <w:t xml:space="preserve"> The adoption of human–robot collaboration (HRC) in various forms is widely expected to help improve productivity, reduce human physical workload, and alleviate the issues created by a skilled labor shortage in the construction industry. One potential deterrent to adoption of such collaborative work methods often cited by industry stakeholders is resistance by workers stemming from their fear of losing their jobs or having to learn new approaches and methods of performing construction work. Although significant prior studies have used path analyses to statistically evaluate hypotheses about technology adoption models by estimating the relationships in the models, no research has specifically investigated the intention to work in HRC through such an approach. This study addresses this knowledge gap and empirically investigates the factors affecting construction personnel’s behavioral intention to accept HRC. HRC in this study is envisioned as robotic assistants performing the physically demanding repetitive work while construction personnel focus on cognitive tasks necessary to plan and supervise the work. An HRC adoption model based on the technology acceptance model (TAM) and innovation diffusion theory (IDT) is presented. This study expands a TAM-IDT model with new constructs such as job satisfaction and openness to training to explore an improved model that increases the unde</w:t>
      </w:r>
    </w:p>
    <w:p>
      <w:pPr/>
      <w:r>
        <w:rPr>
          <w:b/>
        </w:rPr>
        <w:t>POSSIBLE 2022:</w:t>
      </w:r>
      <w:r>
        <w:t xml:space="preserve"> Evaluating Research Trends Using Key Term Occurrences and Multivariate Mann-Kendall Test — https://doi.org/10.1109/isetc56213.2022.10010222</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pPr/>
      <w:r>
        <w:rPr>
          <w:b/>
        </w:rPr>
        <w:t>POSSIBLE 2022:</w:t>
      </w:r>
      <w:r>
        <w:t xml:space="preserve"> EVALUATING QUALITY OF GOVERNMENT REGULATORY ENFORCEMENT AND INSPECTION ACTIVITY FROM THE VIEWPOINT OF PRIVAT BUSINESS: KEY TRENDS — https://doi.org/10.5281/zenodo.7333284</w:t>
      </w:r>
    </w:p>
    <w:p>
      <w:pPr/>
      <w:r>
        <w:rPr>
          <w:b/>
        </w:rPr>
        <w:t>Shared claim-specific concepts:</w:t>
      </w:r>
      <w:r>
        <w:t xml:space="preserve"> evaluate, key, trends, regarding; EU scope not established. This is a provisional connection, not an outcome finding.</w:t>
      </w:r>
    </w:p>
    <w:p>
      <w:pPr>
        <w:pStyle w:val="SourceNote"/>
      </w:pPr>
      <w:r>
        <w:rPr>
          <w:b/>
        </w:rPr>
        <w:t>Available abstract (not full text):</w:t>
      </w:r>
      <w:r>
        <w:t xml:space="preserve">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pPr/>
      <w:r>
        <w:rPr>
          <w:b/>
        </w:rPr>
        <w:t>POSSIBLE 2022:</w:t>
      </w:r>
      <w:r>
        <w:t xml:space="preserve"> Human–robot collaboration and machine learning: A systematic review of recent research — https://doi.org/10.1016/j.rcim.2022.102432</w:t>
      </w:r>
    </w:p>
    <w:p>
      <w:pPr/>
      <w:r>
        <w:rPr>
          <w:b/>
        </w:rPr>
        <w:t>Shared claim-specific concepts:</w:t>
      </w:r>
      <w:r>
        <w:t xml:space="preserve"> key, trends, different, human, life; EU scope not established. This is a provisional connection, not an outcome finding.</w:t>
      </w:r>
    </w:p>
    <w:p>
      <w:pPr>
        <w:pStyle w:val="SourceNote"/>
      </w:pPr>
      <w:r>
        <w:rPr>
          <w:b/>
        </w:rPr>
        <w:t>Available abstract (not full text):</w:t>
      </w:r>
      <w:r>
        <w:t xml:space="preserve"> Technological progress increasingly envisions the use of robots interacting with people in everyday life. Human–robot collaboration (HRC) is the approach that explores the interaction between a human and a robot, during the completion of a common objective, at the cognitive and physical level. In HRC works, a cognitive model is typically built, which collects inputs from the environment and from the user, elaborates and translates these into information that can be used by the robot itself. Machine learning is a recent approach to build the cognitive model and behavioural block, with high potential in HRC. Consequently, this paper proposes a thorough literature review of the use of machine learning techniques in the context of human–robot collaboration. 45 key papers were selected and analysed, and a clustering of works based on the type of collaborative tasks, evaluation metrics and cognitive variables modelled is proposed. Then, a deep analysis on different families of machine learning algorithms and their properties, along with the sensing modalities used, is carried out. Among the observations, it is outlined the importance of the machine learning algorithms to incorporate time dependencies. The salient features of these works are then cross-analysed to show trends in HRC and give guidelines for future works, comparing them with other aspects of HRC not appeared in the revi</w:t>
      </w:r>
    </w:p>
    <w:p>
      <w:pPr/>
      <w:r>
        <w:rPr>
          <w:b/>
        </w:rPr>
        <w:t>POSSIBLE 2022:</w:t>
      </w:r>
      <w:r>
        <w:t xml:space="preserve"> A RAPID REVIEW ON ROBOTIC (EXOSKELETON) TO EVALUATE BALANCED, STANDING AND WALKING — https://doi.org/10.47750/pnr.2022.13.s06.383</w:t>
      </w:r>
    </w:p>
    <w:p>
      <w:pPr/>
      <w:r>
        <w:rPr>
          <w:b/>
        </w:rPr>
        <w:t>Shared claim-specific concepts:</w:t>
      </w:r>
      <w:r>
        <w:t xml:space="preserve"> evaluate, key, human; EU scope not established. This is a provisional connection, not an outcome finding.</w:t>
      </w:r>
    </w:p>
    <w:p>
      <w:pPr>
        <w:pStyle w:val="SourceNote"/>
      </w:pPr>
      <w:r>
        <w:rPr>
          <w:b/>
        </w:rPr>
        <w:t>Available abstract (not full text):</w:t>
      </w:r>
      <w:r>
        <w:t xml:space="preserve"> Balance evaluation during standing and walking is efficient chiefly in people with neural compensations. Rehabilitation robots, on the other hand, might make evaluation processes easier and increase their clinical usefulness. We analysed the possible use of robotic instruments for such assessments based on this overview. The uniqueness and presumed key benefits of utilising robots for assessment include their capacity to assess severely afflicted patients by offering assistance-when-needed, as well as their ability to give constant perturbations while standing and walking while recording the patient's reactions. We classify robotic devices based on three factors that are significant to their potential application in balance assessment: 1) the device's interaction with the human body; 2) on what surface the individual stands or walks when using the gadget, and 3) To what extent the wearable devices are. Also, robotic support was easy to use with no undesirable effects of skin abrasions or soreness.</w:t>
      </w:r>
    </w:p>
    <w:p>
      <w:pPr/>
      <w:r>
        <w:rPr>
          <w:b/>
        </w:rPr>
        <w:t>POSSIBLE 2022:</w:t>
      </w:r>
      <w:r>
        <w:t xml:space="preserve"> Educational Robotics: Evaluating the Role of Computational Thinking in Attaining 21st Century Skills — https://doi.org/10.1515/edu-2022-0174</w:t>
      </w:r>
    </w:p>
    <w:p>
      <w:pPr/>
      <w:r>
        <w:rPr>
          <w:b/>
        </w:rPr>
        <w:t>Shared claim-specific concepts:</w:t>
      </w:r>
      <w:r>
        <w:t xml:space="preserve"> key, field, robotics; EU scope not established. This is a provisional connection, not an outcome finding.</w:t>
      </w:r>
    </w:p>
    <w:p>
      <w:pPr>
        <w:pStyle w:val="SourceNote"/>
      </w:pPr>
      <w:r>
        <w:rPr>
          <w:b/>
        </w:rPr>
        <w:t>Available abstract (not full text):</w:t>
      </w:r>
      <w:r>
        <w:t xml:space="preserve"> Abstract Educational Robotics (ER) has gained prominence in the literature on Computational Thinking (CT) because of its modularity, a feature that potentially facilitates the development of abstract thinking through complex robotic parts. The field of robotics encompasses the characteristics of technology, intelligence, embodiment, and interaction, and these characteristics can serve as means of instruction for CT. Essential 21st Century Skills include decomposition, pattern recognition, abstraction, and the use of algorithms; which are fundamental to effective problem-solving skills. Although CT is believed to be the key to developing 21st Century Skills, its role in doing so is significantly underexplored. This paper investigates the influence of CT ability on students’ efficacy in imbibing 21st Century Skills. The study implemented a qualitative case study design, in which students of an Indonesian vocationaleducation school were engaged in ER activities. CT skills and the associated 21st Century Skills were evaluated through several phases of observation and interviews. The findings reveal that CT paves the way for the development of 21st Century Skills. Analysing the development of CT can be a major way in which individuals are empowered to take full advantage of the developments brought about by rapid changes in technology.</w:t>
      </w:r>
    </w:p>
    <w:p>
      <w:pPr/>
      <w:r>
        <w:rPr>
          <w:b/>
        </w:rPr>
        <w:t>POSSIBLE 2021:</w:t>
      </w:r>
      <w:r>
        <w:t xml:space="preserve"> Evaluating Trends and Issues in Distance Learning — https://doi.org/10.4018/978-1-7998-8047-9.ch098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pPr>
        <w:pStyle w:val="Heading2"/>
      </w:pPr>
      <w:r>
        <w:t>789.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2023:</w:t>
      </w:r>
      <w:r>
        <w:t xml:space="preserve"> A Comprehensive Evaluation of Factors Influencing Acceptance of Robotic Assistants in Field Construction Work — https://doi.org/10.1061/jmenea.meeng-5227</w:t>
      </w:r>
    </w:p>
    <w:p>
      <w:pPr/>
      <w:r>
        <w:rPr>
          <w:b/>
        </w:rPr>
        <w:t>Shared claim-specific concepts:</w:t>
      </w:r>
      <w:r>
        <w:t xml:space="preserve"> evaluate, key, field, human, work; EU scope not established. This is a provisional connection, not an outcome finding.</w:t>
      </w:r>
    </w:p>
    <w:p>
      <w:pPr>
        <w:pStyle w:val="SourceNote"/>
      </w:pPr>
      <w:r>
        <w:rPr>
          <w:b/>
        </w:rPr>
        <w:t>Available abstract (not full text):</w:t>
      </w:r>
      <w:r>
        <w:t xml:space="preserve"> The adoption of human–robot collaboration (HRC) in various forms is widely expected to help improve productivity, reduce human physical workload, and alleviate the issues created by a skilled labor shortage in the construction industry. One potential deterrent to adoption of such collaborative work methods often cited by industry stakeholders is resistance by workers stemming from their fear of losing their jobs or having to learn new approaches and methods of performing construction work. Although significant prior studies have used path analyses to statistically evaluate hypotheses about technology adoption models by estimating the relationships in the models, no research has specifically investigated the intention to work in HRC through such an approach. This study addresses this knowledge gap and empirically investigates the factors affecting construction personnel’s behavioral intention to accept HRC. HRC in this study is envisioned as robotic assistants performing the physically demanding repetitive work while construction personnel focus on cognitive tasks necessary to plan and supervise the work. An HRC adoption model based on the technology acceptance model (TAM) and innovation diffusion theory (IDT) is presented. This study expands a TAM-IDT model with new constructs such as job satisfaction and openness to training to explore an improved model that increases the unde</w:t>
      </w:r>
    </w:p>
    <w:p>
      <w:pPr/>
      <w:r>
        <w:rPr>
          <w:b/>
        </w:rPr>
        <w:t>POSSIBLE 2022:</w:t>
      </w:r>
      <w:r>
        <w:t xml:space="preserve"> Evaluating Research Trends Using Key Term Occurrences and Multivariate Mann-Kendall Test — https://doi.org/10.1109/isetc56213.2022.10010222</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pPr/>
      <w:r>
        <w:rPr>
          <w:b/>
        </w:rPr>
        <w:t>POSSIBLE 2022:</w:t>
      </w:r>
      <w:r>
        <w:t xml:space="preserve"> EVALUATING QUALITY OF GOVERNMENT REGULATORY ENFORCEMENT AND INSPECTION ACTIVITY FROM THE VIEWPOINT OF PRIVAT BUSINESS: KEY TRENDS — https://doi.org/10.5281/zenodo.7333284</w:t>
      </w:r>
    </w:p>
    <w:p>
      <w:pPr/>
      <w:r>
        <w:rPr>
          <w:b/>
        </w:rPr>
        <w:t>Shared claim-specific concepts:</w:t>
      </w:r>
      <w:r>
        <w:t xml:space="preserve"> evaluate, key, trends, regarding; EU scope not established. This is a provisional connection, not an outcome finding.</w:t>
      </w:r>
    </w:p>
    <w:p>
      <w:pPr>
        <w:pStyle w:val="SourceNote"/>
      </w:pPr>
      <w:r>
        <w:rPr>
          <w:b/>
        </w:rPr>
        <w:t>Available abstract (not full text):</w:t>
      </w:r>
      <w:r>
        <w:t xml:space="preserve">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pPr/>
      <w:r>
        <w:rPr>
          <w:b/>
        </w:rPr>
        <w:t>POSSIBLE 2022:</w:t>
      </w:r>
      <w:r>
        <w:t xml:space="preserve"> Human–robot collaboration and machine learning: A systematic review of recent research — https://doi.org/10.1016/j.rcim.2022.102432</w:t>
      </w:r>
    </w:p>
    <w:p>
      <w:pPr/>
      <w:r>
        <w:rPr>
          <w:b/>
        </w:rPr>
        <w:t>Shared claim-specific concepts:</w:t>
      </w:r>
      <w:r>
        <w:t xml:space="preserve"> key, trends, different, human, life; EU scope not established. This is a provisional connection, not an outcome finding.</w:t>
      </w:r>
    </w:p>
    <w:p>
      <w:pPr>
        <w:pStyle w:val="SourceNote"/>
      </w:pPr>
      <w:r>
        <w:rPr>
          <w:b/>
        </w:rPr>
        <w:t>Available abstract (not full text):</w:t>
      </w:r>
      <w:r>
        <w:t xml:space="preserve"> Technological progress increasingly envisions the use of robots interacting with people in everyday life. Human–robot collaboration (HRC) is the approach that explores the interaction between a human and a robot, during the completion of a common objective, at the cognitive and physical level. In HRC works, a cognitive model is typically built, which collects inputs from the environment and from the user, elaborates and translates these into information that can be used by the robot itself. Machine learning is a recent approach to build the cognitive model and behavioural block, with high potential in HRC. Consequently, this paper proposes a thorough literature review of the use of machine learning techniques in the context of human–robot collaboration. 45 key papers were selected and analysed, and a clustering of works based on the type of collaborative tasks, evaluation metrics and cognitive variables modelled is proposed. Then, a deep analysis on different families of machine learning algorithms and their properties, along with the sensing modalities used, is carried out. Among the observations, it is outlined the importance of the machine learning algorithms to incorporate time dependencies. The salient features of these works are then cross-analysed to show trends in HRC and give guidelines for future works, comparing them with other aspects of HRC not appeared in the revi</w:t>
      </w:r>
    </w:p>
    <w:p>
      <w:pPr/>
      <w:r>
        <w:rPr>
          <w:b/>
        </w:rPr>
        <w:t>POSSIBLE 2022:</w:t>
      </w:r>
      <w:r>
        <w:t xml:space="preserve"> A RAPID REVIEW ON ROBOTIC (EXOSKELETON) TO EVALUATE BALANCED, STANDING AND WALKING — https://doi.org/10.47750/pnr.2022.13.s06.383</w:t>
      </w:r>
    </w:p>
    <w:p>
      <w:pPr/>
      <w:r>
        <w:rPr>
          <w:b/>
        </w:rPr>
        <w:t>Shared claim-specific concepts:</w:t>
      </w:r>
      <w:r>
        <w:t xml:space="preserve"> evaluate, key, human; EU scope not established. This is a provisional connection, not an outcome finding.</w:t>
      </w:r>
    </w:p>
    <w:p>
      <w:pPr>
        <w:pStyle w:val="SourceNote"/>
      </w:pPr>
      <w:r>
        <w:rPr>
          <w:b/>
        </w:rPr>
        <w:t>Available abstract (not full text):</w:t>
      </w:r>
      <w:r>
        <w:t xml:space="preserve"> Balance evaluation during standing and walking is efficient chiefly in people with neural compensations. Rehabilitation robots, on the other hand, might make evaluation processes easier and increase their clinical usefulness. We analysed the possible use of robotic instruments for such assessments based on this overview. The uniqueness and presumed key benefits of utilising robots for assessment include their capacity to assess severely afflicted patients by offering assistance-when-needed, as well as their ability to give constant perturbations while standing and walking while recording the patient's reactions. We classify robotic devices based on three factors that are significant to their potential application in balance assessment: 1) the device's interaction with the human body; 2) on what surface the individual stands or walks when using the gadget, and 3) To what extent the wearable devices are. Also, robotic support was easy to use with no undesirable effects of skin abrasions or soreness.</w:t>
      </w:r>
    </w:p>
    <w:p>
      <w:pPr/>
      <w:r>
        <w:rPr>
          <w:b/>
        </w:rPr>
        <w:t>POSSIBLE 2022:</w:t>
      </w:r>
      <w:r>
        <w:t xml:space="preserve"> Educational Robotics: Evaluating the Role of Computational Thinking in Attaining 21st Century Skills — https://doi.org/10.1515/edu-2022-0174</w:t>
      </w:r>
    </w:p>
    <w:p>
      <w:pPr/>
      <w:r>
        <w:rPr>
          <w:b/>
        </w:rPr>
        <w:t>Shared claim-specific concepts:</w:t>
      </w:r>
      <w:r>
        <w:t xml:space="preserve"> key, field, robotics; EU scope not established. This is a provisional connection, not an outcome finding.</w:t>
      </w:r>
    </w:p>
    <w:p>
      <w:pPr>
        <w:pStyle w:val="SourceNote"/>
      </w:pPr>
      <w:r>
        <w:rPr>
          <w:b/>
        </w:rPr>
        <w:t>Available abstract (not full text):</w:t>
      </w:r>
      <w:r>
        <w:t xml:space="preserve"> Abstract Educational Robotics (ER) has gained prominence in the literature on Computational Thinking (CT) because of its modularity, a feature that potentially facilitates the development of abstract thinking through complex robotic parts. The field of robotics encompasses the characteristics of technology, intelligence, embodiment, and interaction, and these characteristics can serve as means of instruction for CT. Essential 21st Century Skills include decomposition, pattern recognition, abstraction, and the use of algorithms; which are fundamental to effective problem-solving skills. Although CT is believed to be the key to developing 21st Century Skills, its role in doing so is significantly underexplored. This paper investigates the influence of CT ability on students’ efficacy in imbibing 21st Century Skills. The study implemented a qualitative case study design, in which students of an Indonesian vocationaleducation school were engaged in ER activities. CT skills and the associated 21st Century Skills were evaluated through several phases of observation and interviews. The findings reveal that CT paves the way for the development of 21st Century Skills. Analysing the development of CT can be a major way in which individuals are empowered to take full advantage of the developments brought about by rapid changes in technology.</w:t>
      </w:r>
    </w:p>
    <w:p>
      <w:pPr/>
      <w:r>
        <w:rPr>
          <w:b/>
        </w:rPr>
        <w:t>POSSIBLE 2021:</w:t>
      </w:r>
      <w:r>
        <w:t xml:space="preserve"> Evaluating Trends and Issues in Distance Learning — https://doi.org/10.4018/978-1-7998-8047-9.ch098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pPr>
        <w:pStyle w:val="Heading2"/>
      </w:pPr>
      <w:r>
        <w:t>790.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2022:</w:t>
      </w:r>
      <w:r>
        <w:t xml:space="preserve"> The Governance Context for Adaptive Heritage Reuse: A Review and Typology of Fifteen European Countries — https://doi.org/10.1080/17567505.2022.2153201</w:t>
      </w:r>
    </w:p>
    <w:p>
      <w:pPr/>
      <w:r>
        <w:rPr>
          <w:b/>
        </w:rPr>
        <w:t>Shared claim-specific concepts:</w:t>
      </w:r>
      <w:r>
        <w:t xml:space="preserve"> governance, complex, engagement; EU scope visible. This is a provisional connection, not an outcome finding.</w:t>
      </w:r>
    </w:p>
    <w:p>
      <w:pPr>
        <w:pStyle w:val="SourceNote"/>
      </w:pPr>
      <w:r>
        <w:rPr>
          <w:b/>
        </w:rPr>
        <w:t>Available abstract (not full text):</w:t>
      </w:r>
      <w:r>
        <w:t xml:space="preserve"> Recent years have seen growing international interest in the practice of ‘adaptive reuse’ of heritage buildings, promoted as a financially more viable and environmentally sustainable way to achieve both regeneration and conservation. In parallel, adaptive reuse has emerged as an aim in national policy frameworks and EU governance. Much of the writing on adaptive reuse reflects its nature as a design practice and concentrates on the material form intervention may take. This paper has a different approach, considering the institutional factors that support adaptive reuse occurring, as part of a multi-faceted and complex conservation-planning assemblage, across fifteen European countries. Focusing on regulatory systems for heritage and planning, governance systems, human and financial resources and policies on civic engagement and participation, thematic analysis is used to generate a typology of approaches across the continent, grouping the countries considered into three clusters. The typology proposed is not fixed, but a way to conceptualise the similarities and differences in institutional and policy-contexts that facilitate or restrict adaptive reuse. It contributes to a more informed overview of the context for adaptive reuse and the possibilities of learning from different policy contexts.</w:t>
      </w:r>
    </w:p>
    <w:p>
      <w:pPr/>
      <w:r>
        <w:rPr>
          <w:b/>
        </w:rPr>
        <w:t>POSSIBLE 2021:</w:t>
      </w:r>
      <w:r>
        <w:t xml:space="preserve"> Ordering global governance complexes: The evolution of the governance complex for international civil aviation — https://doi.org/10.1007/s11558-020-09411-z</w:t>
      </w:r>
    </w:p>
    <w:p>
      <w:pPr/>
      <w:r>
        <w:rPr>
          <w:b/>
        </w:rPr>
        <w:t>Shared claim-specific concepts:</w:t>
      </w:r>
      <w:r>
        <w:t xml:space="preserve"> governance, complex, often, conflict; EU scope not established. This is a provisional connection, not an outcome finding.</w:t>
      </w:r>
    </w:p>
    <w:p>
      <w:pPr>
        <w:pStyle w:val="SourceNote"/>
      </w:pPr>
      <w:r>
        <w:rPr>
          <w:b/>
        </w:rPr>
        <w:t>Available abstract (not full text):</w:t>
      </w:r>
      <w:r>
        <w:t xml:space="preserve"> Many observers worry that growing numbers of international institutions with overlapping functions undermine governance effectiveness via duplication, inconsistency and conflict. Such pessimistic assessments may undervalue the mechanisms available to states and other political agents to reduce conflictual overlap and enhance inter-institutional synergy. Drawing on historical data I examine how states can mitigate conflict within Global Governance Complexes (GGCs) by dissolving or merging existing institutions or by re-configuring their mandates. I further explore how "order in complexity" can emerge through bottom-up processes of adaptation in lieu of state-led reform. My analysis supports three theoretical claims: (1) states frequently refashion governance complexes "top-down" in order to reduce conflictual overlap; (2) "top-down" restructuring and "bottom-up" adaptation present alternative mechanisms for ordering relations among component institutions of GGCs; (3) these twin mechanisms ensure that GGCs tend to (re)produce elements of order over time-albeit often temporarily. Rather than evolving towards ever-greater fragmentation and disorder, complex governance systems thus tend to fluctuate between greater or lesser integration and (dis)order.</w:t>
      </w:r>
    </w:p>
    <w:p>
      <w:pPr/>
      <w:r>
        <w:rPr>
          <w:b/>
        </w:rPr>
        <w:t>POSSIBLE 2021:</w:t>
      </w:r>
      <w:r>
        <w:t xml:space="preserve"> Offshore outsourcing of innovation by SMEs: a 4F perspective of governance — https://doi.org/10.1108/scm-09-2020-0486</w:t>
      </w:r>
    </w:p>
    <w:p>
      <w:pPr/>
      <w:r>
        <w:rPr>
          <w:b/>
        </w:rPr>
        <w:t>Shared claim-specific concepts:</w:t>
      </w:r>
      <w:r>
        <w:t xml:space="preserve"> governance, complex, offshore; EU scope visible. This is a provisional connection, not an outcome finding.</w:t>
      </w:r>
    </w:p>
    <w:p>
      <w:pPr>
        <w:pStyle w:val="SourceNote"/>
      </w:pPr>
      <w:r>
        <w:rPr>
          <w:b/>
        </w:rPr>
        <w:t>Available abstract (not full text):</w:t>
      </w:r>
      <w:r>
        <w:t xml:space="preserve"> Purpose This study aims to investigate how contract complexity and relational trust could impact offshore outsourcing innovation (OOI) performance of small and medium enterprises (SMEs). This study further examines the moderating effects of knowledge routines and joint actions on the relationships between contract complexity, as well as relational trust and OOI performance. Design/methodology/approach The empirical investigation extends transaction cost economics and the relational view of buyer-supplier dyads in the context of offshore outsourcing SMEs. To test the hypotheses, the authors collected and analysed survey data from 200 European manufacturing SMEs that have existing offshore supplier relationships. Findings The results suggest that both complex contracts and relational trust as governance structures positively affect SMEs’ OOI performance. Additionally, while both formal knowledge routines and joint actions help strengthen the relationship between complex contracts and OOI, they showed no significant moderating effect on the relationship between relational trust and OOI. Furthermore, based on the results, the authors also develop a governance framework covering four configurations – fit, firm, flexible and fragile (4F). Originality/value The 4F governance scenarios – fit, firm, flexible and fragile – introduced in this study emphasise the need for a combination of </w:t>
      </w:r>
    </w:p>
    <w:p>
      <w:pPr/>
      <w:r>
        <w:rPr>
          <w:b/>
        </w:rPr>
        <w:t>POSSIBLE 2020:</w:t>
      </w:r>
      <w:r>
        <w:t xml:space="preserve"> The Quality of Governance in Europe: A Guide for the Perplexed — https://openalex.org/W3128833016</w:t>
      </w:r>
    </w:p>
    <w:p>
      <w:pPr/>
      <w:r>
        <w:rPr>
          <w:b/>
        </w:rPr>
        <w:t>Shared claim-specific concepts:</w:t>
      </w:r>
      <w:r>
        <w:t xml:space="preserve"> observe, governance, complex; EU scope visible. This is a provisional connection, not an outcome finding.</w:t>
      </w:r>
    </w:p>
    <w:p>
      <w:pPr>
        <w:pStyle w:val="SourceNote"/>
      </w:pPr>
      <w:r>
        <w:rPr>
          <w:b/>
        </w:rPr>
        <w:t>Available abstract (not full text):</w:t>
      </w:r>
      <w:r>
        <w:t xml:space="preserve"> This paper investigates the quality of governance in the European geographical area for the period 1995–2019 employing the six World Governance Indicators (The World Bank, 2020): control of corruption, government effectiveness, political stability and absence of violence/terrorism, rule of law, regulatory quality, voice and accountability. With regard to EU membership, we partition countries into three blocks: Historical Members, Entrants, and Outsiders. We check systematic differences, static and dynamic, between the three blocks to verify whether EU membership makes a difference. Results highlight a complex scenario: while statically Historical Members outperform Entrants and Entrants outperform Outsiders on all six dimensions, dynamically we find club convergence in growth rates for all variables across the three blocks. Historical Members stand in a high equilibrium club, except for Greece. In a single case, we even observe absolute convergence for a low club of voice and accountability. Several Outsiders stand consistently either in the high or the low club, while Entrants vary widely in their performances. The remote determinants of governance’s quality are very difficult to identify because cultures, institutions and economies interact in complex and unexpected ways; moreover, natural experiments of EU memberships do not exist, so we cannot establish causal effects in th</w:t>
      </w:r>
    </w:p>
    <w:p>
      <w:pPr/>
      <w:r>
        <w:rPr>
          <w:b/>
        </w:rPr>
        <w:t>POSSIBLE 2019:</w:t>
      </w:r>
      <w:r>
        <w:t xml:space="preserve"> European Governance in Adult Education — https://doi.org/10.3384/rela.2000-7426.ojs844</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This article examines the working of complex intergovernmental policies that have brought about new opportunities and structures in European adult education since the 2008 global financial crisis. Drawing on political sociology, it restricts attention on the Renewed European Agenda for Adult Learning (2011), to examine its historical development, and how it bundles together various governance mechanisms, policy instruments, and social actors to govern the adult education policy domain through policy coordination. This points at regulatory politics as a distinctive quality of European governance in adult education. Then, through Social Network Analysis, it explores in depth one of its policy instrument (i.e., coordinated working groups/networks) and the form of network governance it creates. This analysis pinpoints at the comparative advantage of some organizations (i.e., the ministries of Latvia, Finland and Belgium), which partake in this form of network governance. This produces unpredictable contingency in EU policy coordination.</w:t>
      </w:r>
    </w:p>
    <w:p>
      <w:pPr/>
      <w:r>
        <w:rPr>
          <w:b/>
        </w:rPr>
        <w:t>POSSIBLE 2019:</w:t>
      </w:r>
      <w:r>
        <w:t xml:space="preserve"> The integrated offshore grid in Europe: Exploring challenges for regional energy governance — https://doi.org/10.1016/j.erss.2019.02.003</w:t>
      </w:r>
    </w:p>
    <w:p>
      <w:pPr/>
      <w:r>
        <w:rPr>
          <w:b/>
        </w:rPr>
        <w:t>Shared claim-specific concepts:</w:t>
      </w:r>
      <w:r>
        <w:t xml:space="preserve"> governance, offshore; EU scope visible. This is a provisional connection, not an outcome finding.</w:t>
      </w:r>
    </w:p>
    <w:p>
      <w:pPr>
        <w:pStyle w:val="SourceNote"/>
      </w:pPr>
      <w:r>
        <w:rPr>
          <w:b/>
        </w:rPr>
        <w:t>Available abstract (not full text):</w:t>
      </w:r>
      <w:r>
        <w:t xml:space="preserve"> The deployment of offshore wind and power transmission in the European North Sea is accelerating. Stakeholders advocate regional governance for the European grid expansion, which may evolve into a pan-European governance and is key to developing integrated, hybrid offshore projects. However, such projects are still scarce. We thus analyze the governance of the North Sea offshore grid expansion using the dimensions of level, implementation obligation, and implementation discretion. Our exploratory approach identifies five challenges. The challenges relate to 1) the interaction of the European and regional levels; 2) the interaction of the national and regional levels; 3) the participation of non-European Union countries; 4) the dependence of regional planning on national development plans, which consider national interests; and 5) the interaction of cost allocation and European financing for Projects of Common Interest. The recent Clean Energy Package proposal extensively reforms the regulation of the European power system. The Package is part of the Energy Union strategy and focuses on the energy and climate policies’ governance and the power system operation. Thus, regional governance of offshore expansion is largely unaltered, and our identified challenges remain unaddressed.</w:t>
      </w:r>
    </w:p>
    <w:p>
      <w:pPr/>
      <w:r>
        <w:rPr>
          <w:b/>
        </w:rPr>
        <w:t>POSSIBLE 2018:</w:t>
      </w:r>
      <w:r>
        <w:t xml:space="preserve"> Expansion planning of the North Sea offshore grid: Simulation of integrated governance constraints — https://doi.org/10.1016/j.eneco.2018.04.037</w:t>
      </w:r>
    </w:p>
    <w:p>
      <w:pPr/>
      <w:r>
        <w:rPr>
          <w:b/>
        </w:rPr>
        <w:t>Shared claim-specific concepts:</w:t>
      </w:r>
      <w:r>
        <w:t xml:space="preserve"> governance, offshore; EU scope visible. This is a provisional connection, not an outcome finding.</w:t>
      </w:r>
    </w:p>
    <w:p>
      <w:pPr>
        <w:pStyle w:val="SourceNote"/>
      </w:pPr>
      <w:r>
        <w:rPr>
          <w:b/>
        </w:rPr>
        <w:t>Available abstract (not full text):</w:t>
      </w:r>
      <w:r>
        <w:t xml:space="preserve"> The development of offshore transmission and wind power generation in the North Sea of Europe is advancing fast, but there are significant barriers to an integrated offshore grid in the region. This offshore grid is a multi-level, multi-actor system requiring a governance decision-making approach, but there is currently no proven governance framework for it, or for the expansion planning of the European power system in general. In addition, existing offshore expansion planning models do not endogenously include governance considerations, such as country vetoes to integrated lines. We develop a myopic Mixed-Integer Linear Programming model of offshore generation and transmission expansion planning to study the effect of integrated governance constraints. These constraints limit investments in integrated lines: non-conventional lines linking offshore wind farms to other countries or to other farms. Each constraint affects the system (including the main transmission corridors), transmission technologies and welfare distribution differently. We apply our model to a long-term case study of the 2030–2050 offshore expansion pathways using data from the e-Highway2050 project. Results confirm that the offshore grid is beneficial to society. Integrated governance constraints induce a modest loss of social welfare, but do not change significantly the existing welfare distribution asymmetr</w:t>
      </w:r>
    </w:p>
    <w:p>
      <w:pPr/>
      <w:r>
        <w:rPr>
          <w:b/>
        </w:rPr>
        <w:t>POSSIBLE 2018:</w:t>
      </w:r>
      <w:r>
        <w:t xml:space="preserve"> An overview of offshore wind energy resources in Europe under present and future climate — https://doi.org/10.1111/nyas.13924</w:t>
      </w:r>
    </w:p>
    <w:p>
      <w:pPr/>
      <w:r>
        <w:rPr>
          <w:b/>
        </w:rPr>
        <w:t>Shared claim-specific concepts:</w:t>
      </w:r>
      <w:r>
        <w:t xml:space="preserve"> offshore, conflict; EU scope visible. This is a provisional connection, not an outcome finding.</w:t>
      </w:r>
    </w:p>
    <w:p>
      <w:pPr>
        <w:pStyle w:val="SourceNote"/>
      </w:pPr>
      <w:r>
        <w:rPr>
          <w:b/>
        </w:rPr>
        <w:t>Available abstract (not full text):</w:t>
      </w:r>
      <w:r>
        <w:t xml:space="preserve"> Long-term sustainable development of European offshore wind energy requires knowledge of the best places for installing offshore wind farms. To achieve this, a good knowledge of wind resources is needed, as well as knowledge of international, European, and national regulations regarding conflict management, marine environment conservation, biodiversity protection, licensing processes, and support regimes. Such a multidisciplinary approach could help to identify areas where wind resources are abundant and where conflicts with other interests are scarce, support measures are greater, and licensing processes are streamlined. An overview of offshore wind power studies at present, and of their future projections for the 21st century, allows for determining the optimal European locations to install or maintain offshore wind farms. Only northern Europe, the northwest portion of the Iberian Peninsula, the Gulf of Lyon, the Strait of Gibraltar, and the northwest coast of Turkey show no change or increase in wind power, revealing these locations as the most suitable for installing and maintaining offshore wind farms in the future. The installation of wind farms is subject to restrictions established under international law, European law, and the domestic legal framework of each EU member state. Europe is moving toward streamlining of licensing procedures, reducing subsidies, and implemen</w:t>
      </w:r>
    </w:p>
    <w:p>
      <w:pPr>
        <w:pStyle w:val="Heading2"/>
      </w:pPr>
      <w:r>
        <w:t>791.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Zoonotic Threats: The (Re)emergence of Cercarial Dermatitis, Its Dynamics, and Impact in Europe — https://doi.org/10.3390/pathogens13040282</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Cercarial dermatitis (CD), or "Swimmer's itch" as it is also known, is a waterborne illness caused by a blood fluke from the family Schistosomatidae. It occurs when cercariae of trematode species that do not have humans as their definitive host accidentally penetrate human skin (in an aquatic environment) and trigger allergic symptoms at the site of contact. It is an emerging zoonosis that occurs through water and is often overlooked during differential diagnosis. Some of the factors contributing to the emergence of diseases like CD are related to global warming, which brings about climate change, water eutrophication, the colonization of ponds by snails susceptible to the parasite, and sunlight exposure in the summer, associated with migratory bird routes. Therefore, with the increase in tourism, especially at fluvial beaches, it is relevant to analyze the current epidemiological scenario of CD in European countries and the potential regions at risk.</w:t>
      </w:r>
    </w:p>
    <w:p>
      <w:pPr/>
      <w:r>
        <w:rPr>
          <w:b/>
        </w:rPr>
        <w:t>POSSIBLE 2023:</w:t>
      </w:r>
      <w:r>
        <w:t xml:space="preserve"> Tracking climate change and health in Europe — https://doi.org/10.1289/isee.2023.op-169</w:t>
      </w:r>
    </w:p>
    <w:p>
      <w:pPr/>
      <w:r>
        <w:rPr>
          <w:b/>
        </w:rPr>
        <w:t>Shared claim-specific concepts:</w:t>
      </w:r>
      <w:r>
        <w:t xml:space="preserve"> quantify, climate, developed; EU scope visible. This is a provisional connection, not an outcome finding.</w:t>
      </w:r>
    </w:p>
    <w:p>
      <w:pPr>
        <w:pStyle w:val="SourceNote"/>
      </w:pPr>
      <w:r>
        <w:rPr>
          <w:b/>
        </w:rPr>
        <w:t>Available abstract (not full text):</w:t>
      </w:r>
      <w:r>
        <w:t xml:space="preserve"> BACKGROUND AND AIM: Climate change impacts health through complex multidimensional pathways. However, whilst evidence and awareness of the health implications of climate change are increasing, there is a need for accessible information allowing effective communication of complex climate-health trends. Responding to this need in Europe, the Lancet Countdown in Europe (LCDE) developed indicators that monitor and quantify the health-climate change nexus since the 1950s. METHOD: 33 indicators act as summary measures representing the heterogenous climate-health relationships across (1) impact, exposure, and vulnerability; (2) adaption, planning and resilience; (3) mitigation actions and health co-benefits; (4) economics and finance; and (5) politics and governance. RESULTS: Health risks (1) for almost all indicators have been increasing; clinically relevant pollen seasons are starting 10-20 days earlier each year (1981-2020), the climatic suitability for climate-sensitive infectious diseases have been rapidly increasing (1951-2020), and heat exposure is estimated to have increased by 57% between the first and second half of the 21st century. Some encouraging trends for adaptation (2) could be observed. Yet, despite progress in the reduction of the carbon intensity of energy systems and phasing out coal for electricity generation, mitigation efforts remain inadequate to meet reductio</w:t>
      </w:r>
    </w:p>
    <w:p>
      <w:pPr/>
      <w:r>
        <w:rPr>
          <w:b/>
        </w:rPr>
        <w:t>POSSIBLE 2023:</w:t>
      </w:r>
      <w:r>
        <w:t xml:space="preserve"> Antimicrobial resistance in Germany and Europe – A systematic review on the increasing threat accelerated by climate change — https://doi.org/10.25646/11404</w:t>
      </w:r>
    </w:p>
    <w:p>
      <w:pPr/>
      <w:r>
        <w:rPr>
          <w:b/>
        </w:rPr>
        <w:t>Shared claim-specific concepts:</w:t>
      </w:r>
      <w:r>
        <w:t xml:space="preserve"> threat, climate; EU scope visible. This is a provisional connection, not an outcome finding.</w:t>
      </w:r>
    </w:p>
    <w:p>
      <w:pPr>
        <w:pStyle w:val="SourceNote"/>
      </w:pPr>
      <w:r>
        <w:rPr>
          <w:b/>
        </w:rPr>
        <w:t>Available abstract (not full text):</w:t>
      </w:r>
      <w:r>
        <w:t xml:space="preserve"> Background: Antimicrobial Resistance (AMR) is one of the top ten global public health threats facing humanity, alongside climate change. Here, we aim to summarise the effects of climate change (i.e. raise of temperature, change in humidity or precipitation) on spread of antibiotic resistance and on infections with antibiotic-resistant bacteria in Germany. Methods: We conducted a literature search with articles published between January 2012 and July 2022. Two authors screened titles, abstracts and full texts and extracted the data systematically. Results: From originally 2,389 titles, we identified six studies, which met our inclusion criteria. These studies show that an increase in temperature may lead to higher antibiotic resistance rates and an increased risk of colonisation as well as spread of pathogens. Furthermore, the number of healthcare-associated infections increases with increased temperature. Data indicate that higher antibiotic use is present in areas with warmer mean temperature. Conclusions: European data are scarce, but all studies identified point towards an increasing AMR burden due to climate change. However, further studies are needed to draw attention to the links between climatic factors and AMR and develop targeted preventive measures.</w:t>
      </w:r>
    </w:p>
    <w:p>
      <w:pPr/>
      <w:r>
        <w:rPr>
          <w:b/>
        </w:rPr>
        <w:t>POSSIBLE 2023:</w:t>
      </w:r>
      <w:r>
        <w:t xml:space="preserve"> The threat posed by the invasive fungal pathogen of pines Heterobasidion irregulare in Europe: observations and predictions — https://openalex.org/W7216753626</w:t>
      </w:r>
    </w:p>
    <w:p>
      <w:pPr/>
      <w:r>
        <w:rPr>
          <w:b/>
        </w:rPr>
        <w:t>Shared claim-specific concepts:</w:t>
      </w:r>
      <w:r>
        <w:t xml:space="preserve"> aimed, threat, forest, species, climate; EU scope visible. This is a provisional connection, not an outcome finding.</w:t>
      </w:r>
    </w:p>
    <w:p>
      <w:pPr>
        <w:pStyle w:val="SourceNote"/>
      </w:pPr>
      <w:r>
        <w:rPr>
          <w:b/>
        </w:rPr>
        <w:t>Available abstract (not full text):</w:t>
      </w:r>
      <w:r>
        <w:t xml:space="preserve"> Heterobasidion irregulare is a destructive fungal pathogen of pines native to North America and currently recommended for regulation by EPPO. This basidiomycete was introduced during WWII in central Italy, where the native congener H. annosum is also present. In this talk we review the findings that could help to predict the future trajectory of this alien fungal plant pathogen in Italy and in the European continent. While H. irregulare showed a greater sporulation potential, a faster growth rate in wood and a broader host range than the native H. annosum, precise predictions of future impacts of H. irregulare have been hampered by both the high fragmentation of conifer stands and the low incidence of H. annosum in central Italy. Population genetics studies allowed to predict that as the fragmentation of conifer stands decreases, the spread rate of H. irregulare will increase. Unexpectedly, experiments showed that the presence of the native H. annosum may accelerate and not slow down the spread of H. irregulare. Both results paint a troublesome scenario for areas in central and northern Europe characterized by large contiguous forest stands infested by H. annosum. Are these predicted scenarios likely to be true? In order to answer this question, we have studied the interaction between the two pathogens in central Italy. Field evidence shows not only that H. irregulare is truly </w:t>
      </w:r>
    </w:p>
    <w:p>
      <w:pPr/>
      <w:r>
        <w:rPr>
          <w:b/>
        </w:rPr>
        <w:t>POSSIBLE 2022:</w:t>
      </w:r>
      <w:r>
        <w:t xml:space="preserve"> Forest-based climate change mitigation and adaptation in Europe — https://doi.org/10.36333/fs14</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Quantifying the role of the large-scale circulation on European summer precipitation change — https://doi.org/10.1007/s00382-022-06250-z</w:t>
      </w:r>
    </w:p>
    <w:p>
      <w:pPr/>
      <w:r>
        <w:rPr>
          <w:b/>
        </w:rPr>
        <w:t>Shared claim-specific concepts:</w:t>
      </w:r>
      <w:r>
        <w:t xml:space="preserve"> quantify, three, climate, circulation; EU scope visible. This is a provisional connection, not an outcome finding.</w:t>
      </w:r>
    </w:p>
    <w:p>
      <w:pPr>
        <w:pStyle w:val="SourceNote"/>
      </w:pPr>
      <w:r>
        <w:rPr>
          <w:b/>
        </w:rPr>
        <w:t>Available abstract (not full text):</w:t>
      </w:r>
      <w:r>
        <w:t xml:space="preserve">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pPr/>
      <w:r>
        <w:rPr>
          <w:b/>
        </w:rPr>
        <w:t>POSSIBLE 2022:</w:t>
      </w:r>
      <w:r>
        <w:t xml:space="preserve"> A probabilistic climate change assessment for Europe — https://doi.org/10.1002/joc.7604</w:t>
      </w:r>
    </w:p>
    <w:p>
      <w:pPr/>
      <w:r>
        <w:rPr>
          <w:b/>
        </w:rPr>
        <w:t>Shared claim-specific concepts:</w:t>
      </w:r>
      <w:r>
        <w:t xml:space="preserve"> quantify, climate;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2022:</w:t>
      </w:r>
      <w:r>
        <w:t xml:space="preserve"> European and American chestnuts: An overview of the main threats and control efforts — https://doi.org/10.3389/fpls.2022.951844</w:t>
      </w:r>
    </w:p>
    <w:p>
      <w:pPr/>
      <w:r>
        <w:rPr>
          <w:b/>
        </w:rPr>
        <w:t>Shared claim-specific concepts:</w:t>
      </w:r>
      <w:r>
        <w:t xml:space="preserve"> level, tree, species, climate, developed; EU scope visible. This is a provisional connection, not an outcome finding.</w:t>
      </w:r>
    </w:p>
    <w:p>
      <w:pPr>
        <w:pStyle w:val="SourceNote"/>
      </w:pPr>
      <w:r>
        <w:rPr>
          <w:b/>
        </w:rPr>
        <w:t>Available abstract (not full text):</w:t>
      </w:r>
      <w:r>
        <w:t xml:space="preserve"> Chestnuts are multipurpose trees significant for the economy and wildlife. These trees are currently found around the globe, demonstrating their genetic adaptation to different environmental conditions. Several biotic and abiotic stresses have challenged these species, contributing to the decline of European chestnut production and the functional extinction of the American chestnut. Several efforts started over the last century to understand the cellular, molecular, and genetic interactions behind all chestnut biotic and abiotic interactions. Most efforts have been toward breeding for the primary diseases, chestnut blight and ink disease caused by the pathogens, Cryphonectria parasitica and Phytophthora cinnamomi , respectively. In Europe and North America, researchers have been using the Asian chestnut species, which co-evolved with the pathogens, to introgress resistance genes into the susceptible species. Breeding woody trees has several limitations which can be mostly related to the long life cycles of these species and the big genome landscapes. Consequently, it takes decades to improve traits of interest, such as resistance to pathogens. Currently, the availability of genome sequences and next-generation sequencing techniques may provide new tools to help overcome most of the problems tree breeding is still facing. This review summarizes European and American chestnut’s m</w:t>
      </w:r>
    </w:p>
    <w:p>
      <w:pPr/>
      <w:r>
        <w:rPr>
          <w:b/>
        </w:rPr>
        <w:t>POSSIBLE 2022:</w:t>
      </w:r>
      <w:r>
        <w:t xml:space="preserve"> European IoT Use in Homes: Opportunity or Threat to Households? — https://doi.org/10.3390/ijerph192114343</w:t>
      </w:r>
    </w:p>
    <w:p>
      <w:pPr/>
      <w:r>
        <w:rPr>
          <w:b/>
        </w:rPr>
        <w:t>Shared claim-specific concepts:</w:t>
      </w:r>
      <w:r>
        <w:t xml:space="preserve"> threat, level, three; EU scope visible. This is a provisional connection, not an outcome finding.</w:t>
      </w:r>
    </w:p>
    <w:p>
      <w:pPr>
        <w:pStyle w:val="SourceNote"/>
      </w:pPr>
      <w:r>
        <w:rPr>
          <w:b/>
        </w:rPr>
        <w:t>Available abstract (not full text):</w:t>
      </w:r>
      <w:r>
        <w:t xml:space="preserve"> The residential sector is characterized by new digital challenges. The Internet of Things (IoT) is a key-driver of innovation and operations management. This study aims to measure and assess IoT devices at the level of individuals, which are households, in European countries. For this scope, through the multi-criteria decision analysis (MCDA), we analyse data from Eurostat providing a mix of indicators allowing information to be aggregated at the level of individual Europeans and disaggregated by age group. The results highlight that only four countries (Netherlands, Denmark, Sweden and Malta) are classified as a high cluster in the examined scenarios. The 16-24 age group is the most involved in the uses of IoT devices, but the previous three northern European countries also show very high values for the 35-44 age group. IoT devices serve as a springboard for achieving a powerful propulsion toward technological innovation in the new business models, identifying opportunities and being a way to make many routine tasks more agile. Training programs and awareness campaigns are policy suggestions for the development of IoT devices favouring a cultural change on their use. However, there is an emerging need for studies that monitor environmental health impacts to prevent possible threats.</w:t>
      </w:r>
    </w:p>
    <w:p>
      <w:pPr>
        <w:pStyle w:val="Heading2"/>
      </w:pPr>
      <w:r>
        <w:t>792.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r>
        <w:rPr>
          <w:b/>
        </w:rPr>
        <w:t>POSSIBLE 2024:</w:t>
      </w:r>
      <w:r>
        <w:t xml:space="preserve"> Warm‐Season Drying Across Europe and Its Links to Atmospheric Circulation — https://doi.org/10.1029/2023ea003434</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Abstract We study drying trends across the central latitude strip of Europe (47.5–52.5°N and 2.5–27.5°E) during 1980–2019 and their links to atmospheric circulation. Daily differences between potential evapotranspiration and precipitation (PET–P) calculated from the E–OBS data are used to characterize dryness, and atmospheric circulation is represented by circulation types classified using daily sea level pressure patterns from the NCEP/NCAR reanalysis. Circulation types favoring dry conditions in vegetation season (April–September) are identified based on daily PET–P, and their temporal changes, seasonal variations, and links to trends in dryness in individual European regions are analyzed. In the early vegetation season (AMJ), drying trends are observed mainly in Western and Central Europe while in the late vegetation season (JAS), they are located predominantly in Eastern Europe. The dry circulation types include all anticyclonic types in all regions, as well as northeast to south (southwest in Eastern Europe) directional types. Trends of the dry circulation types correspond to those of dryness: the largest increase is found during AMJ in Western and Central Europe but during JAS in Eastern Europe. The results show that trends in dryness in the central latitude strip of Europe in the warm half‐year were associated with changes in atmospheric circulation, as the largest incre</w:t>
      </w:r>
    </w:p>
    <w:p>
      <w:pPr/>
      <w:r>
        <w:rPr>
          <w:b/>
        </w:rPr>
        <w:t>POSSIBLE 2024:</w:t>
      </w:r>
      <w:r>
        <w:t xml:space="preserve"> Atmospheric circulation associated with 3D heat wave types in Middle Europe — https://doi.org/10.5194/ems2024-343</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Heat waves are phenomena associated with large negative impacts on society and environment. We evaluate links between atmospheric circulation and three-dimensional (3D) heat wave types in Middle Europe (one of the PRUDENCE regions) over 1979–2022. Heat waves are classified according to their 3D structure of positive temperature anomalies in ERA5 into near-surface (HWG), lower-tropospheric (HWL), higher-tropospheric (HWH), and omnipresent (HWO) types. The Jenkinson–Collison classification is used to identify circulation types (CTs) with increased frequency during the individual heat wave types, and their climatological characteristics (including mean temperature anomaly, precipitation, and Climatic Water Balance index defined as potential evapotranspiration minus precipitation) are studied in station-based E-OBS data. We show that the surface temperature anomalies are largest during HWG (+7.1 °C), while HWL are the driest heat wave type according to mean daily precipitation (0.4 mm). At the same time, HWG types show the driest conditions before HW onset. In all heat wave types there is a large increase in the frequency of southern CTs compared to the June–September climatology, but differences among the heat wave types are found for other CTs. In HWG, the most frequent CT is U (undefined), corresponding to little pronounced pressure pattern over Middle Europe with no clear role </w:t>
      </w:r>
    </w:p>
    <w:p>
      <w:pPr/>
      <w:r>
        <w:rPr>
          <w:b/>
        </w:rPr>
        <w:t>POSSIBLE 2024:</w:t>
      </w:r>
      <w:r>
        <w:t xml:space="preserve"> The role of atmospheric circulation in explaining the summer extreme temperature trends over Europe — https://doi.org/10.5194/ems2024-1069</w:t>
      </w:r>
    </w:p>
    <w:p>
      <w:pPr/>
      <w:r>
        <w:rPr>
          <w:b/>
        </w:rPr>
        <w:t>Shared claim-specific concepts:</w:t>
      </w:r>
      <w:r>
        <w:t xml:space="preserve"> differences, atmospheric, circulation, different, historical, representative; EU scope visible. This is a provisional connection, not an outcome finding.</w:t>
      </w:r>
    </w:p>
    <w:p>
      <w:pPr>
        <w:pStyle w:val="SourceNote"/>
      </w:pPr>
      <w:r>
        <w:rPr>
          <w:b/>
        </w:rPr>
        <w:t>Available abstract (not full text):</w:t>
      </w:r>
      <w:r>
        <w:t xml:space="preserve">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pPr/>
      <w:r>
        <w:rPr>
          <w:b/>
        </w:rPr>
        <w:t>POSSIBLE 2023:</w:t>
      </w:r>
      <w:r>
        <w:t xml:space="preserve"> Role of Aerosols on Atmospheric Circulation in Regional Climate Experiments over Europe — https://doi.org/10.3390/atmos14030491</w:t>
      </w:r>
    </w:p>
    <w:p>
      <w:pPr/>
      <w:r>
        <w:rPr>
          <w:b/>
        </w:rPr>
        <w:t>Shared claim-specific concepts:</w:t>
      </w:r>
      <w:r>
        <w:t xml:space="preserve"> differences, atmospheric, circulation, different, concentration, forcing; EU scope visible. This is a provisional connection, not an outcome finding.</w:t>
      </w:r>
    </w:p>
    <w:p>
      <w:pPr>
        <w:pStyle w:val="SourceNote"/>
      </w:pPr>
      <w:r>
        <w:rPr>
          <w:b/>
        </w:rPr>
        <w:t>Available abstract (not full text):</w:t>
      </w:r>
      <w:r>
        <w:t xml:space="preserve">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pPr/>
      <w:r>
        <w:rPr>
          <w:b/>
        </w:rPr>
        <w:t>POSSIBLE 2023:</w:t>
      </w:r>
      <w:r>
        <w:t xml:space="preserve"> Trends in drought across Europe and their links to atmospheric circulation — https://doi.org/10.5194/egusphere-egu23-6124</w:t>
      </w:r>
    </w:p>
    <w:p>
      <w:pPr/>
      <w:r>
        <w:rPr>
          <w:b/>
        </w:rPr>
        <w:t>Shared claim-specific concepts:</w:t>
      </w:r>
      <w:r>
        <w:t xml:space="preserve"> atmospheric, circulation, sea, level, pressure, identified; EU scope visible. This is a provisional connection, not an outcome finding.</w:t>
      </w:r>
    </w:p>
    <w:p>
      <w:pPr>
        <w:pStyle w:val="SourceNote"/>
      </w:pPr>
      <w:r>
        <w:rPr>
          <w:b/>
        </w:rPr>
        <w:t>Available abstract (not full text):</w:t>
      </w:r>
      <w:r>
        <w:t xml:space="preserve"> We study trends in drought across the central latitude strip of Europe (defined as the region 47.5–52.5 °N and 2.5°W–32.5°E) during 1950–2019, and their links to atmospheric circulation. Drought characteristics are based on difference between potential evapotranspiration and precipitation in E–OBS data, and atmospheric circulation is characterized in terms of circulation types classified using daily sea level pressure patterns from the NCEP–NCAR reanalysis. Circulation types supporting drought in vegetation season (April–September) are identified, and we analyse changes in their occurrence since 1950, seasonal changes, and the connection with drought trends in individual European regions. We find that while in the early vegetation season, drought develops mainly in Central Europe, in the late vegetation season the most pronounced trends are shifted towards west. The circulation types supporting drought depend on regions and seasons, especially for directional types. The largest increase of the dry circulation types is observed in both seasons in Central Europe, and contributes to the pronounced drying.</w:t>
      </w:r>
    </w:p>
    <w:p>
      <w:pPr/>
      <w:r>
        <w:rPr>
          <w:b/>
        </w:rPr>
        <w:t>POSSIBLE 2023:</w:t>
      </w:r>
      <w:r>
        <w:t xml:space="preserve"> Links between major heat waves, drought, and atmospheric circulation in Central Europe — https://doi.org/10.5194/ems2023-430</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Heat waves and drought are phenomena associated with large negative impacts on society and the environment. Their common features include increasing frequency and intensity in recent decades in many regions of Europe, as well as the interconnectedness of the factors that contribute to their development. In this study, we compare the long-term changes in the characteristics of major heat waves and severe drought in Central Europe (during the vegetation period (April-September)), examine the temporal and causal relationships between the two phenomena, their spatial and temporal scales, and the connection with atmospheric circulation. Based on E-OBS (daily temperature and precipitation) data since 1950 for the vegetation period (April-September), drought is characterized by the difference between potential evapotranspiration and precipitation, while heat waves are defined as periods of large positive anomalies of daily temperatures from the mean annual cycle affecting a large area. Heat waves occurring in early/late vegetation period are referred as warm spells due to their lower absolute temperatures and possibly different circulation mechanisms. We use the Jenkinson classification of daily sea level pressure fields from the NCEP/NCAR reanalysis to describe the atmospheric circulation. Circulation types with significantly increased frequency during periods of major heat waves/war</w:t>
      </w:r>
    </w:p>
    <w:p>
      <w:pPr>
        <w:pStyle w:val="Heading2"/>
      </w:pPr>
      <w:r>
        <w:t>793.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2022:</w:t>
      </w:r>
      <w:r>
        <w:t xml:space="preserve"> Mobility in pandemic times: Exploring changes and long-term effects of COVID-19 on urban mobility behavior — https://doi.org/10.1016/j.trip.2022.100668</w:t>
      </w:r>
    </w:p>
    <w:p>
      <w:pPr/>
      <w:r>
        <w:rPr>
          <w:b/>
        </w:rPr>
        <w:t>Shared claim-specific concepts:</w:t>
      </w:r>
      <w:r>
        <w:t xml:space="preserve"> contrast, changing, mobility, travel; EU scope not established. This is a provisional connection, not an outcome finding.</w:t>
      </w:r>
    </w:p>
    <w:p>
      <w:pPr>
        <w:pStyle w:val="SourceNote"/>
      </w:pPr>
      <w:r>
        <w:rPr>
          <w:b/>
        </w:rPr>
        <w:t>Available abstract (not full text):</w:t>
      </w:r>
      <w:r>
        <w:t xml:space="preserve"> The COVID-19 pandemic marked a global disruption of unprecedented scale which was closely associated with human mobility. Since mobility acts as a facilitator for spreading the virus, individuals were forced to reconsider their respective behaviors. Despite numerous studies having detected behavioral changes during the first lockdown period (spring 2020), there is a lack of longitudinal perspectives that can provide insights into the intra-pandemic dynamics and potential long-term effects. This article investigates COVID-19-induced mobility-behavioral transformations by analyzing travel patterns of Berlin residents during a 20-month pandemic period and comparing them to the pre-pandemic situation. Based on quantitative analysis of almost 800,000 recorded trips, our longitudinal examination revealed individuals having reduced average monthly travel distances by ∼20%, trip frequencies by ∼11%, and having switched to individual modes. Public transportation has suffered a continual regression, with trip frequencies experiencing a relative long-term reduction of ∼50%, and a respective decrease of traveled distances by ∼43%. In contrast, the bicycle (rather than the car) was the central beneficiary, indicated by bicycle-related trip frequencies experiencing a relative long-term increase of ∼53%, and travel distances increasing by ∼117%. Comparing behavioral responses to three pandemi</w:t>
      </w:r>
    </w:p>
    <w:p>
      <w:pPr/>
      <w:r>
        <w:rPr>
          <w:b/>
        </w:rPr>
        <w:t>POSSIBLE 2021:</w:t>
      </w:r>
      <w:r>
        <w:t xml:space="preserve"> The changing map of international student mobility — https://doi.org/10.46786/ac21.7444</w:t>
      </w:r>
    </w:p>
    <w:p>
      <w:pPr/>
      <w:r>
        <w:rPr>
          <w:b/>
        </w:rPr>
        <w:t>Shared claim-specific concepts:</w:t>
      </w:r>
      <w:r>
        <w:t xml:space="preserve"> changing, ideas, mobility; EU scope not established. This is a provisional connection, not an outcome finding.</w:t>
      </w:r>
    </w:p>
    <w:p>
      <w:pPr>
        <w:pStyle w:val="SourceNote"/>
      </w:pPr>
      <w:r>
        <w:rPr>
          <w:b/>
        </w:rPr>
        <w:t>Available abstract (not full text):</w:t>
      </w:r>
      <w:r>
        <w:t xml:space="preserve"> This article presents fifteen essays following a prompt on the changing map of international student mobility through three disruptions, namely Brexit, America First and COVID-19. These essays written by postgraduate students at Beijing Normal University were collected during the Spring semester of 2020 and edited by Stephanie Hollings and Zhang Man under the supervision of Professor Michael Peters. The fifteen texts, written in the midst of the COVID-19 pandemic, highlight the many factors and faces of the changing map of international student mobility from fifteen different perspectives. The world map is a key aspect of these essays as it is not only important as a geographical concept but as a discourse of knowledge, power, identity and ideas that will be reflected in each student’s interpretation of international student mobility. Each student draws on their own diverse background and lived experiences, some as Chinese students and some as international students in China, to give light to these disruptions through the eyes of ‘globally mobile’ students, making an important contribution to global discussions on international student mobility. These students, reflecting on being in the midst of a pandemic spreading across the world map, imagine the future post-COVID-19 and how that will interplay with the other two major student mobility disruptions of recent years (Brexit an</w:t>
      </w:r>
    </w:p>
    <w:p>
      <w:pPr/>
      <w:r>
        <w:rPr>
          <w:b/>
        </w:rPr>
        <w:t>POSSIBLE 2020:</w:t>
      </w:r>
      <w:r>
        <w:t xml:space="preserve"> How ideas matter in public policy: a review of concepts, mechanisms, and methods — https://doi.org/10.4000/irpp.1343</w:t>
      </w:r>
    </w:p>
    <w:p>
      <w:pPr/>
      <w:r>
        <w:rPr>
          <w:b/>
        </w:rPr>
        <w:t>Shared claim-specific concepts:</w:t>
      </w:r>
      <w:r>
        <w:t xml:space="preserve"> ideas, decision-making, processes, approaches; EU scope not established. This is a provisional connection, not an outcome finding.</w:t>
      </w:r>
    </w:p>
    <w:p>
      <w:pPr>
        <w:pStyle w:val="SourceNote"/>
      </w:pPr>
      <w:r>
        <w:rPr>
          <w:b/>
        </w:rPr>
        <w:t>Available abstract (not full text):</w:t>
      </w:r>
      <w:r>
        <w:t xml:space="preserve"> The recent ideational turn in political science and public administration implies that ideas matter. Ideas are an essential explanatory concept for understanding policy changes and decision-making processes. The aim of the paper is to specify how ideas matter as a variable in public policy research, providing students and scholars of public policy with a stock take of the current state-of-the-art literature on ideas in political science and public administration. The paper first identifies three approaches to ideas as a variable in the policy process. It then discusses where ideas come from and the dynamics and drivers of ideational change to shed light on the ideational mechanisms underpinning policy processes. Furthermore, it taps into different research methods that can be used to study ideas. Finally, the paper concludes with five lessons for future research endeavours on the study of ideas in public policy.</w:t>
      </w:r>
    </w:p>
    <w:p>
      <w:pPr/>
      <w:r>
        <w:rPr>
          <w:b/>
        </w:rPr>
        <w:t>POSSIBLE 2020:</w:t>
      </w:r>
      <w:r>
        <w:t xml:space="preserve"> Smart Roads: An Overview of What Future Mobility Will Look Like — https://doi.org/10.3390/infrastructures5120107</w:t>
      </w:r>
    </w:p>
    <w:p>
      <w:pPr/>
      <w:r>
        <w:rPr>
          <w:b/>
        </w:rPr>
        <w:t>Shared claim-specific concepts:</w:t>
      </w:r>
      <w:r>
        <w:t xml:space="preserve"> mobility, look, like; EU scope not established. This is a provisional connection, not an outcome finding.</w:t>
      </w:r>
    </w:p>
    <w:p>
      <w:pPr>
        <w:pStyle w:val="SourceNote"/>
      </w:pPr>
      <w:r>
        <w:rPr>
          <w:b/>
        </w:rPr>
        <w:t>Available abstract (not full text):</w:t>
      </w:r>
      <w:r>
        <w:t xml:space="preserve"> Transport engineering has recently undergone several significant changes and innovations, one of which is the appearance and spread of autonomous vehicles; with this technology becoming more common and ordinary by the day, it is now necessary to implement some systems and contexts to facilitate autonomous vehicle operations. Consequently, a different perspective is now arising when dealing with road infrastructures, aiming to simplify and improve efficiency and maintenance of the existing roads, increase the life cycle of newly built ones, and minimize the economic and financial impact at the same time. Roadway pavements are one of the primary factors affecting vehicle operations; over time, this distinctive aspect has gone through various mechanical and physical changes due to the adoption of new materials or design methods. Consequently, to the spread of autonomous vehicles, scientific research has begun to study and develop systems to make road pavements and platforms not exclusively aimed at bearing loads, but rather at considering them as a means of communication and information exchange, if not even as a source of energy. This new approach introduces the so-called “Smart Roads,” i.e., road infrastructures capable of communicating with vehicles and self-monitoring fundamental perspectives concerning driverless vehicles and the roadway platform life cycle. This paper examin</w:t>
      </w:r>
    </w:p>
    <w:p>
      <w:pPr/>
      <w:r>
        <w:rPr>
          <w:b/>
        </w:rPr>
        <w:t>POSSIBLE 2020:</w:t>
      </w:r>
      <w:r>
        <w:t xml:space="preserve"> Changing Mobility Lifestyle — https://doi.org/10.4018/ijepr.20210401.oa6</w:t>
      </w:r>
    </w:p>
    <w:p>
      <w:pPr/>
      <w:r>
        <w:rPr>
          <w:b/>
        </w:rPr>
        <w:t>Shared claim-specific concepts:</w:t>
      </w:r>
      <w:r>
        <w:t xml:space="preserve"> changing, mobility, service, about; EU scope not established. This is a provisional connection, not an outcome finding.</w:t>
      </w:r>
    </w:p>
    <w:p>
      <w:pPr>
        <w:pStyle w:val="SourceNote"/>
      </w:pPr>
      <w:r>
        <w:rPr>
          <w:b/>
        </w:rPr>
        <w:t>Available abstract (not full text):</w:t>
      </w:r>
      <w:r>
        <w:t xml:space="preserve"> The article is focused on a detailed micro-study describing changes in the behaviour of the authors in three months before and during the COVID-19 pandemic. The study is based on data from Google Location Service. Despite the fact it evaluates only three people and the study cannot be sufficiently representative, it is a unique example of possible data processing at such a level of accuracy. The most significant changes in the behaviour of authors before and during the COVID-19 quarantine are described and interpreted in detail. Another purpose of the article is to point out the possibilities of analytical processing of Google Location while being aware of personal data protection issues. The authors recognize that by visualizing the real motion data, one partially discloses their privacy, but one considers it very valuable to show how detailed data Google collects about the population and how such data can be used effectively.</w:t>
      </w:r>
    </w:p>
    <w:p>
      <w:pPr/>
      <w:r>
        <w:rPr>
          <w:b/>
        </w:rPr>
        <w:t>POSSIBLE 2020:</w:t>
      </w:r>
      <w:r>
        <w:t xml:space="preserve"> Millionaire mobility and the sale of citizenship — https://doi.org/10.1080/1369183x.2020.1758554</w:t>
      </w:r>
    </w:p>
    <w:p>
      <w:pPr/>
      <w:r>
        <w:rPr>
          <w:b/>
        </w:rPr>
        <w:t>Shared claim-specific concepts:</w:t>
      </w:r>
      <w:r>
        <w:t xml:space="preserve"> contrast, mobility; EU scope not established. This is a provisional connection, not an outcome finding.</w:t>
      </w:r>
    </w:p>
    <w:p>
      <w:pPr>
        <w:pStyle w:val="SourceNote"/>
      </w:pPr>
      <w:r>
        <w:rPr>
          <w:b/>
        </w:rPr>
        <w:t>Available abstract (not full text):</w:t>
      </w:r>
      <w:r>
        <w:t xml:space="preserve"> Why do wealthy people purchase citizenship in peripheral countries? This article investigates the demand for citizenship by investment programmes, which enable naturalisation based on a donation or financial investment. Extending research on long-distance naturalisation among the middle class and on residence by investment programmes, I examine the motives of the wealthy using citizenship by investment options. Based on over one hundred interviews with rich naturalisers and intermediaries in the citizenship industry, I find that mobility, both in the present and as a future hedge, is a strong driver, followed by business advantages. Often it is privileges in third countries – not the place granting the citizenship – that are sought. In contrast to middle-class strategic naturalisers, quality of life, education options, and job prospects were not important, though navigating geopolitical barriers and risks were. Many naturalisers were not compensating for the failures of their citizenship at birth, but manoeuvering within a world of state competition. Finally, some individuals inverted the citizenship hierarchy and downgraded from ‘first tier’ memberships when, after years of living abroad, their nationality became a liability. The conclusion elaborates on the duplex structure of intra-state and inter-state inequality that channels demand, and the implications for citizenship mo</w:t>
      </w:r>
    </w:p>
    <w:p>
      <w:pPr/>
      <w:r>
        <w:rPr>
          <w:b/>
        </w:rPr>
        <w:t>POSSIBLE 2020:</w:t>
      </w:r>
      <w:r>
        <w:t xml:space="preserve"> The Politics of Mobility: Study Abroad in an Era of Climate Change — https://openalex.org/W3029188850</w:t>
      </w:r>
    </w:p>
    <w:p>
      <w:pPr/>
      <w:r>
        <w:rPr>
          <w:b/>
        </w:rPr>
        <w:t>Shared claim-specific concepts:</w:t>
      </w:r>
      <w:r>
        <w:t xml:space="preserve"> mobility, types, travel, about, exist; EU scope not established. This is a provisional connection, not an outcome finding.</w:t>
      </w:r>
    </w:p>
    <w:p>
      <w:pPr>
        <w:pStyle w:val="SourceNote"/>
      </w:pPr>
      <w:r>
        <w:rPr>
          <w:b/>
        </w:rPr>
        <w:t>Available abstract (not full text):</w:t>
      </w:r>
      <w:r>
        <w:t xml:space="preserve"> This paper explores the fundamental tension between mobility and the environmental consequences of the transportation that allows for that movement, zeroing in on the paradox of studying abroad in order to learn about climate or environmental sciences. With this, I consider what makes students feel justified in participating in such programs, whether the perceived benefits of these experiences outweigh the environmental costs, and how these programs play into the larger discourse of sustainability and tourism. By framing travel —air travel in particular— as technology embedded with political and cultural ideals, I analyze how and why concepts of mobility influence student choices, as well as how these tensions are navigated by its participants. Through exploring the history and objectives of these types of travel-intensive programs in conjunction with the historical purposes of travel and study abroad, considering the climate impact of air travel, and relating concepts of “Academic Flying” to study abroad, I question why students feel entitled to the privilege of embarking on such an environmentally detrimental journey, and whether such programs should even exist. My research culminates in surveying over 200 School for International Training (SIT) and School for Field Studies (SFS) study abroad alumni about how the climate impact of their travel abroad impacted their decision t</w:t>
      </w:r>
    </w:p>
    <w:p>
      <w:pPr/>
      <w:r>
        <w:rPr>
          <w:b/>
        </w:rPr>
        <w:t>POSSIBLE 2020:</w:t>
      </w:r>
      <w:r>
        <w:t xml:space="preserve"> Changing environments — https://doi.org/10.4324/9781003041573-16</w:t>
      </w:r>
    </w:p>
    <w:p>
      <w:pPr/>
      <w:r>
        <w:rPr>
          <w:b/>
        </w:rPr>
        <w:t>Shared claim-specific concepts:</w:t>
      </w:r>
      <w:r>
        <w:t xml:space="preserve"> changing, mobility, look; EU scope not established. This is a provisional connection, not an outcome finding.</w:t>
      </w:r>
    </w:p>
    <w:p>
      <w:pPr>
        <w:pStyle w:val="SourceNote"/>
      </w:pPr>
      <w:r>
        <w:rPr>
          <w:b/>
        </w:rPr>
        <w:t>Available abstract (not full text):</w:t>
      </w:r>
      <w:r>
        <w:t xml:space="preserve"> This chapter begins Elements of (re)connection, learning and mobility are evident in the experiences of Murilo – the 15-year-old Brazilian boy whose reflections on solar irrigators and other technologies. It seeks to add complexity and to look otherwise (and elsewhere) at children’s changing environments, this does not mean that issues of (re)connection, learning and mobility are usurped by other issues. The chapter includes but extends beyond these kinds of concerns to prompt reflection upon what else matters in, and what else is constitutive of, the many ways in which childhoods–natures might relate. It highlights, this might mean unpicking assumptions that children are separate from and therefore ‘relate with’ the environment. The chapter explores how it might be possible to consider the complexity of environmental issues through the concept of the nexus. It looks at forms of action by children – contrasting forms of (globalised) protest with the apparently banal experimentation that took place at Murilo’s school.</w:t>
      </w:r>
    </w:p>
    <w:p>
      <w:pPr/>
      <w:r>
        <w:rPr>
          <w:b/>
        </w:rPr>
        <w:t>POSSIBLE 2019:</w:t>
      </w:r>
      <w:r>
        <w:t xml:space="preserve"> The Ability of Preschoolers to Use Ideas About Other’s Knowledge and the Ways of Changing It — https://doi.org/10.17759/cpse.2019080206</w:t>
      </w:r>
    </w:p>
    <w:p>
      <w:pPr/>
      <w:r>
        <w:rPr>
          <w:b/>
        </w:rPr>
        <w:t>Shared claim-specific concepts:</w:t>
      </w:r>
      <w:r>
        <w:t xml:space="preserve"> contrast, changing, ideas, thinking, about; EU scope not established. This is a provisional connection, not an outcome finding.</w:t>
      </w:r>
    </w:p>
    <w:p>
      <w:pPr>
        <w:pStyle w:val="SourceNote"/>
      </w:pPr>
      <w:r>
        <w:rPr>
          <w:b/>
        </w:rPr>
        <w:t>Available abstract (not full text):</w:t>
      </w:r>
      <w:r>
        <w:t xml:space="preserve"> The article deals with the problem of the ability to use ideas about other’s knowledge and the ways of changing it, the ability to de-center thinking in the process of communication in the example of understanding deception in typically developing preschoolers and preschoolers with mental retardation. The recognition of deception is considered as a cognitive function, taking into account the specific techniques of the implementation of the mental model. Empirical sample of research: 72 children of pre-school age from 5 to 6 years. Contrast samples show the specificity of the lack of social interaction tools based on the mental model. Analyzed that in a game with deceit, a child is required to use signs to anticipate events that made it known about the nascent action of another person. In children with mental retardation in a game with deceptive action, shown a situational mode of action without taking into account the model of a mental interaction partner due to the lack of ability to decentration. The data reflects the relationship between the cognitive level of development and the level of the mental model in the process of forming the basis of social cognition and social experience in the early stages of ontogenesis.</w:t>
      </w:r>
    </w:p>
    <w:p>
      <w:pPr/>
      <w:r>
        <w:rPr>
          <w:b/>
        </w:rPr>
        <w:t>POSSIBLE 2019:</w:t>
      </w:r>
      <w:r>
        <w:t xml:space="preserve"> Transformations: Change from Learning to Growth — https://doi.org/10.4324/9780429400803-14</w:t>
      </w:r>
    </w:p>
    <w:p>
      <w:pPr/>
      <w:r>
        <w:rPr>
          <w:b/>
        </w:rPr>
        <w:t>Shared claim-specific concepts:</w:t>
      </w:r>
      <w:r>
        <w:t xml:space="preserve"> contrast, ideas, practice; EU scope not established. This is a provisional connection, not an outcome finding.</w:t>
      </w:r>
    </w:p>
    <w:p>
      <w:pPr>
        <w:pStyle w:val="SourceNote"/>
      </w:pPr>
      <w:r>
        <w:rPr>
          <w:b/>
        </w:rPr>
        <w:t>Available abstract (not full text):</w:t>
      </w:r>
      <w:r>
        <w:t xml:space="preserve"> Wilfred Bion differentiates between different modes of transformation, in particular between “transference” and “transformations in hallucinosis”. There are very different views of Transformations and Wilfred Bion’s later works – very strong views. By contrast, “Transformation in hallucinosis” is evacuative rather than explorative, and rivalrous rather than in “intercourse” with the world. This chapter introduces two concepts: transformation and invariance. The theory of transformations and its development does not relate to the main body of psychoanalytic theory, but to the practice of psychoanalytic observation. Psychoanalytic theories, patient’s or analyst’s statements are representations of an emotional experience. Bion differentiates between the process of transformation and the end product. Although the transference has a “repetitive quality”, it contains a crucial element of enquiry and discovery. Sigmund Freud’s ideas on the superego changed and became increasingly complex in the development of new ideas.</w:t>
      </w:r>
    </w:p>
    <w:p>
      <w:pPr/>
      <w:r>
        <w:rPr>
          <w:b/>
        </w:rPr>
        <w:t>POSSIBLE 2018:</w:t>
      </w:r>
      <w:r>
        <w:t xml:space="preserve"> Arctic and Antarctic Sea Ice Change: Contrasts, Commonalities, and Causes — https://doi.org/10.1146/annurev-marine-010816-060610</w:t>
      </w:r>
    </w:p>
    <w:p>
      <w:pPr/>
      <w:r>
        <w:rPr>
          <w:b/>
        </w:rPr>
        <w:t>Shared claim-specific concepts:</w:t>
      </w:r>
      <w:r>
        <w:t xml:space="preserve"> contrast, largely, processes; EU scope not established. This is a provisional connection, not an outcome finding.</w:t>
      </w:r>
    </w:p>
    <w:p>
      <w:pPr>
        <w:pStyle w:val="SourceNote"/>
      </w:pPr>
      <w:r>
        <w:rPr>
          <w:b/>
        </w:rPr>
        <w:t>Available abstract (not full text):</w:t>
      </w:r>
      <w:r>
        <w:t xml:space="preserve"> Arctic sea ice has declined precipitously in both extent and thickness over the past four decades; by contrast, Antarctic sea ice has shown little overall change, but this masks large regional variability. Climate models have not captured these changes. But these differences do not represent a paradox. The processes governing, and impacts of, natural variability and human-induced changes differ markedly at the poles largely because of the ways in which differences in geography control the properties of and interactions among the atmosphere, ice, and ocean. The impact of natural variability on the ice cover is large at both poles, so modeled ice trends are not entirely inconsistent with contributions from both natural variability and anthropogenic forcing. Despite this concurrence, the coupling of natural climate variability, climate feedbacks, and sea ice is not well understood, and significant biases remain in model representations of the ice cover and the processes that drive it.</w:t>
      </w:r>
    </w:p>
    <w:p>
      <w:pPr>
        <w:pStyle w:val="Heading2"/>
      </w:pPr>
      <w:r>
        <w:t>794.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2025:</w:t>
      </w:r>
      <w:r>
        <w:t xml:space="preserve"> Capital efficiency and organizational performance: A dynamic panel analysis of Weighted Average Cost of Capital (WACC) and ROA in Indonesia’s healthcare sector — https://doi.org/10.31940/jasafint.v8i1.26-40</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The healthcare sector in Indonesia faces challenges in managing capital efficiency and organizational performance due to high operational costs and the need for continuous investment in health technology and infrastructure. As a key driver of economic growth, especially post-COVID-19, optimal capital management is crucial for sustaining operations and creating stakeholder value. This study examines the relationship between the Weighted Average Cost of Capital (WACC) and Return on Assets (ROA) in Indonesia’s healthcare sector using a quantitative dynamic panel analysis approach. Financial data from healthcare companies listed on the Indonesia Stock Exchange were analyzed using the Generalized Method of Moments (GMM). The findings indicate that WACC negatively affects ROA, but the relationship is not statistically significant. Leverage, measured through the Debt to Asset Ratio and Debt to Equity Ratio, strengthens this relationship positively. Meanwhile, cash holdings and firm size have a negative moderating effect, whereas Net Working Capital (NWC) reinforces the relationship positively. These results highlight the importance of effective debt and liquidity management in optimizing profitability in the healthcare sector. The study contributes theoretically to capital efficiency discussions and offers practical insights for industry stakeholders, including decision-makers and inv</w:t>
      </w:r>
    </w:p>
    <w:p>
      <w:pPr/>
      <w:r>
        <w:rPr>
          <w:b/>
        </w:rPr>
        <w:t>POSSIBLE 2025:</w:t>
      </w:r>
      <w:r>
        <w:t xml:space="preserve"> Sustainability and Capital Costs: The Impact of ESG Performance, Efficiency, and Firm Characteristics on WACC — https://doi.org/10.4108/eai.30-7-2025.2360573</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ESG practices being widely promoted with the objectives of increasing sustainability-related transparency, demonstrating stronger performance, and reduce perceived risk. This study examines the relationship between ESG score and DEA into cost of capital as a critical indicator in assessing company p</w:t>
      </w:r>
    </w:p>
    <w:p>
      <w:pPr/>
      <w:r>
        <w:rPr>
          <w:b/>
        </w:rPr>
        <w:t>POSSIBLE 2025:</w:t>
      </w:r>
      <w:r>
        <w:t xml:space="preserve"> Implementation of the WACC Notice and challenges in determining the VHCN risk premium — https://openalex.org/W7124128098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In 2019, the European Commission published the WACC Notice that sets out a methodology for estimating the weighted average costs of capital (WACC) used by national regulatory authorities in the cost regulation of the telecommunication sector. The Notice is explicitly limited to legacy infrastructure and does not address Very High Capacity Networks. The Commission's Recommendation on the regulatory promotion of gigabit connectivity advises that NRAs may apply a VHCN risk premium in addition to the applicable WACC, but provides less methodological guidance for its calculation. This paper provides an overview of current regulatory practices for determining the WACC for both legacy networks and VHCNs in Europe. It examines the implementation of the WACC Notice across Member States, assessing its impact and identifying notable deviations from the prescribed methodology. It further examines Member States' approaches to determining a risk premium for VHCN investments. The analysis draws on an extensive literature review and interviews with five national regulatory authorities. Findings indicate that the WACC Notice has largely standardised the methodology for calculating the regulated WACC for legacy infrastructure, although differences remain in the frequency of WACC updates. Overall, WACC values across Member States have declined since the Notice's introduction. Several NRAs adjuste</w:t>
      </w:r>
    </w:p>
    <w:p>
      <w:pPr/>
      <w:r>
        <w:rPr>
          <w:b/>
        </w:rPr>
        <w:t>POSSIBLE 2025:</w:t>
      </w:r>
      <w:r>
        <w:t xml:space="preserve"> Ser ISE impacta o WACC e o endividamento? — https://doi.org/10.9790/487x-2707010109</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Background: This article aims to evaluate the impact of adherence to the Corporate Sustainability Index (ISE) on the weighted average cost of capital (WACC) and debt (DE) of Brazilian companies listed on B3 (Brasil, Bolsa, Balcão). Materials and Methods: Data were collected from 332 publicly traded non-financial Brazilian companies, 85 of which belonged to the ISE for at least one year, in the period from 2010 to 2023. A descriptive and quantitative research was developed, based on secondary data, which were subjected to robust OLS regressions using unbalanced panel data. Results: In the analysis of the results, the regression model for WACC showed good explanatory capacity (R² of 57.85%), indicating that sustainable companies tend to have a lower cost of capital, a result in line with the Stakeholder, Signaling and Agency theories, which highlight the reduction in risk perceived by investors and the improvement in corporate governance. The debt model, with high explanatory power (R² of 92.13%), revealed that companies in the ISE have a higher level of debt, a result contrary to the second hypothesis of the study, but consistent with the Trade-Off Theory, suggesting that sustainable companies have greater access to credit because they are seen as less risky. Conclusion: It was found that companies belonging to the ISE have a reduction in their weighted average cost of capital. </w:t>
      </w:r>
    </w:p>
    <w:p>
      <w:pPr/>
      <w:r>
        <w:rPr>
          <w:b/>
        </w:rPr>
        <w:t>POSSIBLE 2024:</w:t>
      </w:r>
      <w:r>
        <w:t xml:space="preserve"> The Influence of Environmental, Social, and Governance Disclosure on Capital Structure: An Investigation of Leverage and WACC — https://doi.org/10.3390/jrfm17120570</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This paper seeks to examine the extent to which environmental, social, and governance (ESG) disclosure affects capital structure and cost of capital for non-financial Fortune 500 firms. With a sample period from 2007 to 2022 and a system (Generalized Method of Moments) GMM estimation method, we investigate the linkage between ESG disclosure scores and both leverage and the weighted average cost of capital (WACC). Thus, we find that firms with stronger ESG performance have higher ESG disclosure and lower leverage ratios and WACC, highlighting that firms with good ESG outcomes have better equity financing facilities and are perceived to be less risky. We also find the moderation effect where the effects of ESG disclosure depend on the level of ESG disclosure. The empirical results thus show that the environmental and social factors have significant influences on leverage and WACC than the governance factors. Furthermore, we show that firm size affects these relationships in that larger firms are more affected by the variables. These findings extend the literature on ESG, and provide relevant information for corporate financial managers, investors, and policymakers about the financial effects of ESG disclosure. This paper therefore provides evidence of the relevance of ESG factors in decisions on capital structure and cost of capital especially for large firms.</w:t>
      </w:r>
    </w:p>
    <w:p>
      <w:pPr/>
      <w:r>
        <w:rPr>
          <w:b/>
        </w:rPr>
        <w:t>POSSIBLE 2024:</w:t>
      </w:r>
      <w:r>
        <w:t xml:space="preserve"> An analysis of the effect of employee tenure on WACC — https://doi.org/10.1080/01559982.2024.2352671</w:t>
      </w:r>
    </w:p>
    <w:p>
      <w:pPr/>
      <w:r>
        <w:rPr>
          <w:b/>
        </w:rPr>
        <w:t>Shared claim-specific concepts:</w:t>
      </w:r>
      <w:r>
        <w:t xml:space="preserve"> show, capital, wacc, based; EU scope not established. This is a provisional connection, not an outcome finding.</w:t>
      </w:r>
    </w:p>
    <w:p>
      <w:pPr>
        <w:pStyle w:val="SourceNote"/>
      </w:pPr>
      <w:r>
        <w:rPr>
          <w:b/>
        </w:rPr>
        <w:t>Available abstract (not full text):</w:t>
      </w:r>
      <w:r>
        <w:t xml:space="preserve"> No international accounting policy exists to mandate that firms must report employee/workforce-level human capital information on a structured basis. Thus, the link between employee/workforce human capital and firm risk is not demonstrated in the literature. South Korea is a rare instance where human capital information, such as employee tenure is disclosed on Annual Reports as a rule. Therefore, we invoke resource-based theory, a human resource policy assertion, and a business ethics/sustainability inference to show whether capital providers differentiate between firms that are able/unable to retain employees, thus adjusting WACC accordingly. Using OLS regression analysis, from 2011-2020, empirical results show that firms with the ability to retain employees enjoy economically significantly lower levels of WACC. The results infer that equity/debt providers associate workforce tenure and firm risk/returns expectations. Empirical results also show that capital providers are nuanced when impounding employment information into risk/return assessments, based on incrementally different associations for investment-grade/non-investment-grade firms. The study contributes to the literature by providing evidence that management should develop strategies to retain employees to enjoy economic advantages. Because structured employee/workforce human capital information is rare internationall</w:t>
      </w:r>
    </w:p>
    <w:p>
      <w:pPr/>
      <w:r>
        <w:rPr>
          <w:b/>
        </w:rPr>
        <w:t>POSSIBLE 2024:</w:t>
      </w:r>
      <w:r>
        <w:t xml:space="preserve"> The relationship between the application of corporate sustainability policy and the weighted average cost of capital: examples of European countries — https://doi.org/10.29119/1641-3466.2024.202.8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Purpose: This publication aims to verify whether Van Horne coefficient model affects company growth, as expressed by the WACC. Design/methodology/approach: The study was conducted on a group of nonfinancial companies listed on: the Warsaw Stock Exchange (WIG index), The Frankfurt Stock Exchange (DAX index), The Paris Stock Exchange (CAC index) and the Stockholm Stock Exchange (OMX Stockholm index) from 01/01/2000 - 31/12/2021. Van Horne's SGR model was used as an indicator of the sustainable growth of the firm. The analysis related to WACC and condition assessment of analysed companies is presented as OLS and panel models parameter estimations. The study was carried out using cross-sectional regression analysis and panel data. Several models were estimated using the OLS method, including different sets of independent variables. Findings: In the analysis, it was found that the VSGR coefficient has a negative impact on the WACC for companies from all the analysed markets, i.e. the better the implementation of the company's sustainable development policy measured by the VSGR index, the lower the WACC of the company may record. These results were also not confirmed in panel studies with fixed effects, which allows us to conclude that these relationships are very weak. Research limitations/implications: Further research should expand the analysis of firms by size and stage of develo</w:t>
      </w:r>
    </w:p>
    <w:p>
      <w:pPr/>
      <w:r>
        <w:rPr>
          <w:b/>
        </w:rPr>
        <w:t>POSSIBLE 2023:</w:t>
      </w:r>
      <w:r>
        <w:t xml:space="preserve"> A novel approach to calculate weighted average cost of capital (WACC) considering debt and firm's cash flow durations — https://doi.org/10.1002/mde.4042</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Abstract This paper presents a novel approach to calculate the weighted average cost of capital (WACC) but considering additional relevant variables to be applied to a specific cash flow, free cash flow to firm (FCFF), or capital cash flow (CCF), in order to value an asset. The analytical expressions deduced for this approach, one for each case, are based not only on the ratio debt to the value of the asset and the cost of debt and equity, as in the usual expression, but also includes the debt and firm's cash flow durations. The proposed novel approach to cost of capital has key advantages in comparison to the usual expression for WACC: It is an analytical expression that could be applied to whatever kind of debt or capital structure, not only perpetual debt or permanent capital structure. It is a single discount rate, and for its calculation, it is not necessary to recalculate financial factors involved, which makes easier its application. The additional financial variables involved, debt and firm's cash flow duration, allow to obtain better results for the right discount rate and for the value of an asset in the sense that the discount rate for the asset effectively will permit to reach the required level for the profitability for the investor and to cover the cost of debt.</w:t>
      </w:r>
    </w:p>
    <w:p>
      <w:pPr/>
      <w:r>
        <w:rPr>
          <w:b/>
        </w:rPr>
        <w:t>POSSIBLE 2023:</w:t>
      </w:r>
      <w:r>
        <w:t xml:space="preserve"> Application of WACC in Automobile Enterprises — https://doi.org/10.54254/2754-1169/40/20231997</w:t>
      </w:r>
    </w:p>
    <w:p>
      <w:pPr/>
      <w:r>
        <w:rPr>
          <w:b/>
        </w:rPr>
        <w:t>Shared claim-specific concepts:</w:t>
      </w:r>
      <w:r>
        <w:t xml:space="preserve"> wacc, energy, based, production; EU scope not established. This is a provisional connection, not an outcome finding.</w:t>
      </w:r>
    </w:p>
    <w:p>
      <w:pPr>
        <w:pStyle w:val="SourceNote"/>
      </w:pPr>
      <w:r>
        <w:rPr>
          <w:b/>
        </w:rPr>
        <w:t>Available abstract (not full text):</w:t>
      </w:r>
      <w:r>
        <w:t xml:space="preserve"> With the global promotion of energy conservation and emission reduction in recent years, some new energy vehicle enterprises are emerging in the market. To avoid potential risks in the new energy vehicle market with over-investment, the paper selects Tesla, BYD, and Toyota as examples, and uses CAPM and WACC to calculate and analyze the risks of three automobile enterprises based on the financial data in 2022. The result shows that Tesla owned the largest WACC and risks due to the calculation, and Toyota had the smallest WACC and risks. According to the analysis of data combined with the market situation of three companies, the author finds unique risks for each enterprise and provides a feasible direction for the development of three enterprises. It shows that the development of electric vehicles, guarantee of production, good product quality, and reasonable allocation of funds can help automobile enterprises avoid risks in the future.</w:t>
      </w:r>
    </w:p>
    <w:p>
      <w:pPr/>
      <w:r>
        <w:rPr>
          <w:b/>
        </w:rPr>
        <w:t>POSSIBLE 2022:</w:t>
      </w:r>
      <w:r>
        <w:t xml:space="preserve"> An Improved Spatiotemporal Weighted Mean Temperature Model over Europe Based on the Nonlinear Least Squares Estimation Method — https://doi.org/10.3390/rs14153609</w:t>
      </w:r>
    </w:p>
    <w:p>
      <w:pPr/>
      <w:r>
        <w:rPr>
          <w:b/>
        </w:rPr>
        <w:t>Shared claim-specific concepts:</w:t>
      </w:r>
      <w:r>
        <w:t xml:space="preserve"> weighted, average, based, respectively; EU scope visible. This is a provisional connection, not an outcome finding.</w:t>
      </w:r>
    </w:p>
    <w:p>
      <w:pPr>
        <w:pStyle w:val="SourceNote"/>
      </w:pPr>
      <w:r>
        <w:rPr>
          <w:b/>
        </w:rPr>
        <w:t>Available abstract (not full text):</w:t>
      </w:r>
      <w:r>
        <w:t xml:space="preserve"> Weighted average temperature (Tm) plays a crucial role in global navigation satellite system (GNSS) precipitable water vapor (PWV) retrieval. Aiming at the poor applicability of the existing Tm models in Europe, in the article, we used observations from 48 radiosonde stations over Europe from 2014 to 2020 to establish a weighted average temperature model in Europe (ETm) by the nonlinear least squares estimation method. The ETm model takes into account factors such as ground temperature, water vapor pressure, latitude, and their annual variation, semiannual variation and diurnal variation. Taking the Tm obtained from the radiosonde data by the integration method in 2021 as the reference value, the accuracy of the ETm model was evaluated and compared with the commonly used Bevis model, ETmPoly model, and GPT2w model. The results of the 48 modeled stations showed that the mean bias and root mean square (RMS) values of the ETm model were 0.06 and 2.85 K, respectively, which were 21.7%, 11.5%, and 31.8% higher than the Bevis, ETmPoly, and GPT2w-1 (1° × 1° resolution) models, respectively. In addition, the radiosonde data of 12 non-modeling stations over Europe in 2021 were selected to participate in the model accuracy validation. The mean bias and RMS values of the ETm model were –0.07 and 2.87 K, respectively. Compared with the Bevis, ETmPoly, and GPT2w-1 models, the accuracy (in t</w:t>
      </w:r>
    </w:p>
    <w:p>
      <w:pPr/>
      <w:r>
        <w:rPr>
          <w:b/>
        </w:rPr>
        <w:t>POSSIBLE 2022:</w:t>
      </w:r>
      <w:r>
        <w:t xml:space="preserve"> Political Imaginaries of the Weighted Average Cost of Capital: A Conceptual Analysis — https://doi.org/10.3384/vs.2001-5992.2021.8.2.5-36</w:t>
      </w:r>
    </w:p>
    <w:p>
      <w:pPr/>
      <w:r>
        <w:rPr>
          <w:b/>
        </w:rPr>
        <w:t>Shared claim-specific concepts:</w:t>
      </w:r>
      <w:r>
        <w:t xml:space="preserve"> weighted, average, capital, produced, minimum; EU scope not established. This is a provisional connection, not an outcome finding.</w:t>
      </w:r>
    </w:p>
    <w:p>
      <w:pPr>
        <w:pStyle w:val="SourceNote"/>
      </w:pPr>
      <w:r>
        <w:rPr>
          <w:b/>
        </w:rPr>
        <w:t>Available abstract (not full text):</w:t>
      </w:r>
      <w:r>
        <w:t xml:space="preserve"> This article analyzes the formulation of the “weighted average cost of capital” in the manuals of two of the most influential associations of financial analysts. It focuses on the use of the formula as the discount rate to determine the “fundamental value” of listed companies using the “discounted cash flows” method, a cornerstone of the definition of “shareholder value” used in the finance industry worldwide. It shows that the choice of variables and their mathematical relations in the formula mobilize multiple, partly independent and contradictory epistemologies and ontologies. This multiplicity is assembled along political imaginaries concerning the relation between particular notions of the maximizing investor, the efficient markets and the sovereign state. The figure of the investor is considered the only legitimate agent to claim the “free” cash flows of the company, the efficient markets are considered the source of truthful representation of value, and the state is supposed to guarantee both the fair play between investors and a minimum revenue for money owners, to be extracted from the rest of society through the tax system. The formula thus legitimizes and renders self-evident power relations that sustain the global inequalities produced by the finance industry.</w:t>
      </w:r>
    </w:p>
    <w:p>
      <w:pPr>
        <w:pStyle w:val="Heading2"/>
      </w:pPr>
      <w:r>
        <w:t>795.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Many Plant Species in Europe Have Limited Capacity to Track Climate Change — https://doi.org/10.1111/ddi.70115</w:t>
      </w:r>
    </w:p>
    <w:p>
      <w:pPr/>
      <w:r>
        <w:rPr>
          <w:b/>
        </w:rPr>
        <w:t>Shared claim-specific concepts:</w:t>
      </w:r>
      <w:r>
        <w:t xml:space="preserve"> climate, distribution, many, species, result, range;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2024:</w:t>
      </w:r>
      <w:r>
        <w:t xml:space="preserve"> Climate change and human rights: how a landmark legal victory in Europe could affect NZ — https://doi.org/10.64628/aa.w393n9fmr</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Does Climate Change and Energy Consumption Affect the Food Security of European Union Countries? Empirical Evidence from a Panel Study — https://doi.org/10.3390/en17133237</w:t>
      </w:r>
    </w:p>
    <w:p>
      <w:pPr/>
      <w:r>
        <w:rPr>
          <w:b/>
        </w:rPr>
        <w:t>Shared claim-specific concepts:</w:t>
      </w:r>
      <w:r>
        <w:t xml:space="preserve"> climate, affect, increased; EU scope visible. This is a provisional connection, not an outcome finding.</w:t>
      </w:r>
    </w:p>
    <w:p>
      <w:pPr>
        <w:pStyle w:val="SourceNote"/>
      </w:pPr>
      <w:r>
        <w:rPr>
          <w:b/>
        </w:rPr>
        <w:t>Available abstract (not full text):</w:t>
      </w:r>
      <w:r>
        <w:t xml:space="preserve"> This study aims to provide empirical evidence on whether using renewable and non-renewable energy, CO₂ emissions and the resulting changes in temperature and precipitation can alter cereal yields in European Union countries. To this end, a panel data set covering 1992-2021 has been used to analyse the impact of climate change and economic factors on cereal production in European Union countries. The study employed various analytical techniques to understand better the relationship between climate change, energy consumption, and economic growth. These included using annual average temperature and rainfall to measure climate change and energy consumption and economic growth to analyse the economic aspects. To achieve the objective, feasible generalised least squares (FGLS) models with robust standard errors and bootstrap and a quantile regression (QR) model with marginal analysis were employed. The Westerlund cointegration test confirmed the presence of cointegration between cereal production and climate variables, economic growth, and energy consumption. The results indicate that increases in temperature and precipitation may contribute to increased cereal production in European Union countries. In contrast, energy consumption, including renewable energy and CO₂ emissions, may have a nonlinear effect on cereal production. Quantile regression analysis suggests climate change may </w:t>
      </w:r>
    </w:p>
    <w:p>
      <w:pPr/>
      <w:r>
        <w:rPr>
          <w:b/>
        </w:rPr>
        <w:t>POSSIBLE 2024:</w:t>
      </w:r>
      <w:r>
        <w:t xml:space="preserve"> Will climate change affect the proportion of melanistic northern vipers Vipera berus in a western European population with an exceptionally high rate of melanism? — https://doi.org/10.33256/hb168.2931</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Environmental Investments and Climate Change: How Environmental Protection Expenditure and Gross Domestic Product Affect Emissions in the European Union — https://doi.org/10.13044/j.sdewes.d12.0528</w:t>
      </w:r>
    </w:p>
    <w:p>
      <w:pPr/>
      <w:r>
        <w:rPr>
          <w:b/>
        </w:rPr>
        <w:t>Shared claim-specific concepts:</w:t>
      </w:r>
      <w:r>
        <w:t xml:space="preserve"> climate, affect, many, increased; EU scope visible. This is a provisional connection, not an outcome finding.</w:t>
      </w:r>
    </w:p>
    <w:p>
      <w:pPr>
        <w:pStyle w:val="SourceNote"/>
      </w:pPr>
      <w:r>
        <w:rPr>
          <w:b/>
        </w:rPr>
        <w:t>Available abstract (not full text):</w:t>
      </w:r>
      <w:r>
        <w:t xml:space="preserve"> This study analyses the relationships between economic development, environmental investments, and greenhouse gas emissions in the European Union for the period 2008-2022. Using correlation and regression analysis of data from Eurostat, the study assesses the impact of environmental protection expenditure and gross domestic product on greenhouse gas emissions. The results reveal a stable upward trend in environmental protection expenditure, especially in recent years, reflecting the European Union's growing commitment to sustainable development. At the same time, greenhouse gas emissions show an overall downward trend, with the sharpest decline between 2019 and 2020, likely due to the impact of the coronavirus disease pandemic. The correlation analysis confirms a significant inverse relationship between environmental investments and emissions, demonstrating the positive effect of "green" spending on reducing the carbon footprint. An important observation is that in many years, environmental expenditure grows at a faster rate than the European Union's gross domestic product, emphasizing the increased commitment to environmental issues even in conditions of economic growth. The regression analysis shows a strong relationship between the predictors (gross domestic product and environmental expenditure) and greenhouse gas emissions. Despite the expectation that economic growth woul</w:t>
      </w:r>
    </w:p>
    <w:p>
      <w:pPr/>
      <w:r>
        <w:rPr>
          <w:b/>
        </w:rPr>
        <w:t>POSSIBLE 2024:</w:t>
      </w:r>
      <w:r>
        <w:t xml:space="preserve"> Evaluating the expansion of African species into Europe driven by climate change — https://doi.org/10.1111/ddi.13840</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Aim Ongoing climate change is presently influencing the distribution ranges of numerous species, with both range expansions and latitudinal shifts being observed. In southern Europe, a biogeographical border that separates African and European biota, while at the same time acting as a migration bridge for many species, these changes are of particular relevance. This study aimed to analyse the responses of nine typically African birds to climate change to provide information on the ongoing and future occupation of Europe by these species. Location Western Palearctic and surrounding areas. Methods To this end, the distributions of the species in their native ranges were modelled, both in the present and in future climate scenarios, using their current breeding ranges and a set of topographic and climatic variables. The climatic favourability for the nine species was then combined using fuzzy logic. Results The results showed that southern Europe is highly favourable for our set of African birds, except for Rüppell's Vulture, and future forecasts indicated that this favourability would increase further north, again excluding the African Vulture. Main conclusions If the climate continues to warm, further arrivals of individuals are to be expected, increasing the possibility that self‐sustaining populations may become established in southern Europe. Furthermore, new African</w:t>
      </w:r>
    </w:p>
    <w:p>
      <w:pPr>
        <w:pStyle w:val="Heading2"/>
      </w:pPr>
      <w:r>
        <w:t>796.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2024:</w:t>
      </w:r>
      <w:r>
        <w:t xml:space="preserve"> Triple Collocation-Based Uncertainty Analysis and Data Fusion of Multi-Source Evapotranspiration Data Across China — https://doi.org/10.3390/atmos15121410</w:t>
      </w:r>
    </w:p>
    <w:p>
      <w:pPr/>
      <w:r>
        <w:rPr>
          <w:b/>
        </w:rPr>
        <w:t>Shared claim-specific concepts:</w:t>
      </w:r>
      <w:r>
        <w:t xml:space="preserve"> best, data, fusion, individual, nearly; EU scope visible. This is a provisional connection, not an outcome finding.</w:t>
      </w:r>
    </w:p>
    <w:p>
      <w:pPr>
        <w:pStyle w:val="SourceNote"/>
      </w:pPr>
      <w:r>
        <w:rPr>
          <w:b/>
        </w:rPr>
        <w:t>Available abstract (not full text):</w:t>
      </w:r>
      <w:r>
        <w:t xml:space="preserve"> Accurate estimation of evapotranspiration (ET) is critical for understanding land-atmospheric interactions. Despite the advancement in ET measurement, a single ET estimate still suffers from inherent uncertainties. Data fusion provides a viable option for improving ET estimation by leveraging the strengths of individual ET products, especially the triple collocation (TC) method, which has a prominent advantage in not relying on the availability of “ground truth” data. In this work, we proposed a framework for uncertainty analysis and data fusion based on the extended TC (ETC) and multiple TC (MTC) variants. Three different sources of ET products, i.e., the Global Land Evaporation and Amsterdam Model (GLEAM), the fifth generation of European Reanalysis-Land (ERA5-Land), and the complementary relationship model (CR), were selected as the TC triplet. The analyses were conducted based on different climate zones and land cover types across China. Results show that ETC presents outstanding performance as most areas conform to the zero-error correlations assumption, while nearly half of the areas violate this assumption when using MTC. In addition, the ETC method derives a lower root mean square error (RMSE) and higher correlation coefficient (Corr) than the MTC one over most climate zones and land cover types. Among the ET products, GLEAM performs the best, while CR performs the wors</w:t>
      </w:r>
    </w:p>
    <w:p>
      <w:pPr/>
      <w:r>
        <w:rPr>
          <w:b/>
        </w:rPr>
        <w:t>POSSIBLE 2024:</w:t>
      </w:r>
      <w:r>
        <w:t xml:space="preserve"> Fusion of Soccer and Sipa and Tumbang Lata Skills in Developing a Recreational Game — https://doi.org/10.36948/ijfmr.2024.v06i03.23700</w:t>
      </w:r>
    </w:p>
    <w:p>
      <w:pPr/>
      <w:r>
        <w:rPr>
          <w:b/>
        </w:rPr>
        <w:t>Shared claim-specific concepts:</w:t>
      </w:r>
      <w:r>
        <w:t xml:space="preserve"> best, fusion, used; EU scope not established. This is a provisional connection, not an outcome finding.</w:t>
      </w:r>
    </w:p>
    <w:p>
      <w:pPr>
        <w:pStyle w:val="SourceNote"/>
      </w:pPr>
      <w:r>
        <w:rPr>
          <w:b/>
        </w:rPr>
        <w:t>Available abstract (not full text):</w:t>
      </w:r>
      <w:r>
        <w:t xml:space="preserve"> Traditional games are seen as the best platform for "promoting peace, harmony, goodwill and camaraderie" in various Philippine communities especially since today’s generation is different, most kids are stuck on their phones, iPods, and PSPs while sitting in a corner. This study highlighted a newly developed game derived from the two (2) recreational games, Sipa and Tumba Lata called Patada Lata. A game development approach that blends personalization and innovation, customized to the specific requirements of various groups. The respondents were 5 coaches of each sport (soccer and futsal) and teachers from Mindanao State University- General Santos City. The descriptive qualitative design was used following the Successive Approximation Model in deriving the development of the recreational game. A researcher-made interview guide question was utilized to obtain the feedback, comments, and suggestions of the validators, experts, and the student's experiences in playing Patada Lata. Based on the results of the study, positive feedback on the feasibility and adaptability of the game was received from participants. It is concluded that Patada Lata is playable, valid, and suitable and is highly accepted by the respondents. It recommends massive implementation to further normalize the mechanics of the recreational game Patada Lata.</w:t>
      </w:r>
    </w:p>
    <w:p>
      <w:pPr/>
      <w:r>
        <w:rPr>
          <w:b/>
        </w:rPr>
        <w:t>POSSIBLE 2023:</w:t>
      </w:r>
      <w:r>
        <w:t xml:space="preserve"> Ionospheric irregularity reconstruction using multisource data fusion via deep learning — https://doi.org/10.5194/acp-23-13413-2023</w:t>
      </w:r>
    </w:p>
    <w:p>
      <w:pPr/>
      <w:r>
        <w:rPr>
          <w:b/>
        </w:rPr>
        <w:t>Shared claim-specific concepts:</w:t>
      </w:r>
      <w:r>
        <w:t xml:space="preserve"> data, fusion, used, observations; EU scope not established. This is a provisional connection, not an outcome finding.</w:t>
      </w:r>
    </w:p>
    <w:p>
      <w:pPr>
        <w:pStyle w:val="SourceNote"/>
      </w:pPr>
      <w:r>
        <w:rPr>
          <w:b/>
        </w:rPr>
        <w:t>Available abstract (not full text):</w:t>
      </w:r>
      <w:r>
        <w:t xml:space="preserve"> Abstract. The ionospheric sporadic E (Es) layer is the intense plasma irregularities between 80 and 130 km in altitude, which is generally unpredictable. Reconstructing the morphology of sporadic E layer is not only essential for understanding the nature of ionospheric irregularities and many other atmospheric coupling systems, but also useful to solve a broad range of demands for reliable radio communication of many sectors reliant on ionosphere-dependent decision-making. Despite the efforts of many empirical and theoretical models, a predictive algorithm with both high accuracy and high efficiency is still lacking. Here we introduce a new approach for Sporadic E Layer Forecast using Artificial Neural Networks (SELF-ANN). The prediction engine is trained by fusing observational data from multiple sources, including high-resolution ERA5 reanalysis dataset, COSMIC RO measurements, and integrated data from OMNI. The results show that the model can effectively reconstruct the morphology of the ionospheric E layer with intraseasonal variability by learning complex patterns. The model obtains good performance and generalization capability by applying multiple evaluation criteria. The random forest algorithm used for preliminary pro- cessing shows that local time, altitude, longitude, and latitude are significantly essential for forecasting the E-layer region. Extensive evaluations b</w:t>
      </w:r>
    </w:p>
    <w:p>
      <w:pPr/>
      <w:r>
        <w:rPr>
          <w:b/>
        </w:rPr>
        <w:t>POSSIBLE 2022:</w:t>
      </w:r>
      <w:r>
        <w:t xml:space="preserve"> The Determinants of Internet User Skills in Europe — https://doi.org/10.20944/preprints202205.0263.v1</w:t>
      </w:r>
    </w:p>
    <w:p>
      <w:pPr/>
      <w:r>
        <w:rPr>
          <w:b/>
        </w:rPr>
        <w:t>Shared claim-specific concepts:</w:t>
      </w:r>
      <w:r>
        <w:t xml:space="preserve"> best, obtained, data; EU scope visible. This is a provisional connection, not an outcome finding.</w:t>
      </w:r>
    </w:p>
    <w:p>
      <w:pPr>
        <w:pStyle w:val="SourceNote"/>
      </w:pPr>
      <w:r>
        <w:rPr>
          <w:b/>
        </w:rPr>
        <w:t>Available abstract (not full text):</w:t>
      </w:r>
      <w:r>
        <w:t xml:space="preserve"> The following article indicates the determinants of “Internet User Skills” among European countries based on the application of the database deriving from the DESI-Index. The data were analyzed using the following econometric models, namely: Panel Data with Fixed Effects, Panel Data with Random Effects, Pooled OLS, WLS, WLS corrected for heteroskedasticity. The Elbow method and the Silouette coefficient method were compared for the optimization of the number of clusters obtained by the k-Means algorithm. The result shows the presence of 5 clusters. A network analysis was carried out using the Euclidean distance with the result of identifying two network structures between some analyzed countries. subsequently a comparison was made between six different machine learning algorithms for the prediction of the future value of the variable of interest. The result shows that the best predictor algorithm is Gradient Boosted Tree Regression with an expected value of the predicted variable increasing by a value of 1.75%. Later a further comparison was made by comparing 6 algorithms with the increased data. The result shows that the best predictor is Simple Regression Tree. The interest variable is predicted to decrease by an amount equal to -6.099%. Statistical errors improve on average by 32.43% in the transition between the original data and the increased data.</w:t>
      </w:r>
    </w:p>
    <w:p>
      <w:pPr/>
      <w:r>
        <w:rPr>
          <w:b/>
        </w:rPr>
        <w:t>POSSIBLE 2022:</w:t>
      </w:r>
      <w:r>
        <w:t xml:space="preserve"> A Review of Multisensor Data Fusion Solutions in Smart Manufacturing: Systems and Trends — https://doi.org/10.3390/s22051734</w:t>
      </w:r>
    </w:p>
    <w:p>
      <w:pPr/>
      <w:r>
        <w:rPr>
          <w:b/>
        </w:rPr>
        <w:t>Shared claim-specific concepts:</w:t>
      </w:r>
      <w:r>
        <w:t xml:space="preserve"> data, fusion, used; EU scope not established. This is a provisional connection, not an outcome finding.</w:t>
      </w:r>
    </w:p>
    <w:p>
      <w:pPr>
        <w:pStyle w:val="SourceNote"/>
      </w:pPr>
      <w:r>
        <w:rPr>
          <w:b/>
        </w:rPr>
        <w:t>Available abstract (not full text):</w:t>
      </w:r>
      <w:r>
        <w:t xml:space="preserve"> Manufacturing companies increasingly become "smarter" as a result of the Industry 4.0 revolution. Multiple sensors are used for industrial monitoring of machines and workers in order to detect events and consequently improve the manufacturing processes, lower the respective costs, and increase safety. Multisensor systems produce big amounts of heterogeneous data. Data fusion techniques address the issue of multimodality by combining data from different sources and improving the results of monitoring systems. The current paper presents a detailed review of state-of-the-art data fusion solutions, on data storage and indexing from various types of sensors, feature engineering, and multimodal data integration. The review aims to serve as a guide for the early stages of an analytic pipeline of manufacturing prognosis. The reviewed literature showed that in fusion and in preprocessing, the methods chosen to be applied in this sector are beyond the state-of-the-art. Existing weaknesses and gaps that lead to future research goals were also identified.</w:t>
      </w:r>
    </w:p>
    <w:p>
      <w:pPr/>
      <w:r>
        <w:rPr>
          <w:b/>
        </w:rPr>
        <w:t>POSSIBLE 2021:</w:t>
      </w:r>
      <w:r>
        <w:t xml:space="preserve"> Sensitivity of Skill Score Metric to Validate Lagrangian Simulations in Coastal Areas: Recommendations for Search and Rescue Applications — https://doi.org/10.3389/fmars.2021.630388</w:t>
      </w:r>
    </w:p>
    <w:p>
      <w:pPr/>
      <w:r>
        <w:rPr>
          <w:b/>
        </w:rPr>
        <w:t>Shared claim-specific concepts:</w:t>
      </w:r>
      <w:r>
        <w:t xml:space="preserve"> best, skill, obtained, used, observations; EU scope not established. This is a provisional connection, not an outcome finding.</w:t>
      </w:r>
    </w:p>
    <w:p>
      <w:pPr>
        <w:pStyle w:val="SourceNote"/>
      </w:pPr>
      <w:r>
        <w:rPr>
          <w:b/>
        </w:rPr>
        <w:t>Available abstract (not full text):</w:t>
      </w:r>
      <w:r>
        <w:t xml:space="preserve"> Search and rescue (SAR) modeling applications, mostly based on Lagrangian tracking particle algorithms, rely on the accuracy of met-ocean forecast models. Skill assessment methods are therefore required to evaluate the performance of ocean models in predicting particle trajectories. The Skill Score (SS), based on the Normalized Cumulative Lagrangian Separation (NCLS) distance between simulated and satellite-tracked drifter trajectories, is a commonly used metric. However, its applicability in coastal areas, where most of the SAR incidents occur, is difficult and sometimes unfeasible, because of the high variability that characterizes the coastal dynamics and the lack of drifter observations. In this study, we assess the performance of four models available in the Ibiza Channel (Western Mediterranean Sea) and evaluate the applicability of the SS in such coastal risk-prone regions seeking for a functional implementation in the context of SAR operations. We analyze the SS sensitivity to different forecast horizons and examine the best way to quantify the average model performance, to avoid biased conclusions. Our results show that the SS increases with forecast time in most cases. At short forecast times (i.e., 6 h), the SS exhibits a much higher variability due to the short trajectory lengths observed compared to the separation distance obtained at timescales not properly resolve</w:t>
      </w:r>
    </w:p>
    <w:p>
      <w:pPr/>
      <w:r>
        <w:rPr>
          <w:b/>
        </w:rPr>
        <w:t>POSSIBLE 2021:</w:t>
      </w:r>
      <w:r>
        <w:t xml:space="preserve"> Information Quality Assessment for Data Fusion Systems — https://doi.org/10.3390/data6060060</w:t>
      </w:r>
    </w:p>
    <w:p>
      <w:pPr/>
      <w:r>
        <w:rPr>
          <w:b/>
        </w:rPr>
        <w:t>Shared claim-specific concepts:</w:t>
      </w:r>
      <w:r>
        <w:t xml:space="preserve"> data, fusion, used; EU scope not established. This is a provisional connection, not an outcome finding.</w:t>
      </w:r>
    </w:p>
    <w:p>
      <w:pPr>
        <w:pStyle w:val="SourceNote"/>
      </w:pPr>
      <w:r>
        <w:rPr>
          <w:b/>
        </w:rPr>
        <w:t>Available abstract (not full text):</w:t>
      </w:r>
      <w:r>
        <w:t xml:space="preserve"> This paper provides a comprehensive description of the current literature on data fusion, with an emphasis on Information Quality (IQ) and performance evaluation. This literature review highlights recent studies that reveal existing gaps, the need to find a synergy between data fusion and IQ, several research issues, and the challenges and pitfalls in this field. First, the main models, frameworks, architectures, algorithms, solutions, problems, and requirements are analyzed. Second, a general data fusion engineering process is presented to show how complex it is to design a framework for a specific application. Third, an IQ approach, as well as the different methodologies and frameworks used to assess IQ in information systems are addressed; in addition, data fusion systems are presented along with their related criteria. Furthermore, information on the context in data fusion systems and its IQ assessment are discussed. Subsequently, the issue of data fusion systems’ performance is reviewed. Finally, some key aspects and concluding remarks are outlined, and some future lines of work are gathered.</w:t>
      </w:r>
    </w:p>
    <w:p>
      <w:pPr/>
      <w:r>
        <w:rPr>
          <w:b/>
        </w:rPr>
        <w:t>POSSIBLE 2021:</w:t>
      </w:r>
      <w:r>
        <w:t xml:space="preserve"> Fusion of wildlife tracking and satellite geomagnetic data for the study of animal migration — https://doi.org/10.1186/s40462-021-00268-4</w:t>
      </w:r>
    </w:p>
    <w:p>
      <w:pPr/>
      <w:r>
        <w:rPr>
          <w:b/>
        </w:rPr>
        <w:t>Shared claim-specific concepts:</w:t>
      </w:r>
      <w:r>
        <w:t xml:space="preserve"> obtained, data, fusion, used, days; EU scope visible. This is a provisional connection, not an outcome finding.</w:t>
      </w:r>
    </w:p>
    <w:p>
      <w:pPr>
        <w:pStyle w:val="SourceNote"/>
      </w:pPr>
      <w:r>
        <w:rPr>
          <w:b/>
        </w:rPr>
        <w:t>Available abstract (not full text):</w:t>
      </w:r>
      <w:r>
        <w:t xml:space="preserve"> BACKGROUND: Migratory animals use information from the Earth's magnetic field on their journeys. Geomagnetic navigation has been observed across many taxa, but how animals use geomagnetic information to find their way is still relatively unknown. Most migration studies use a static representation of geomagnetic field and do not consider its temporal variation. However, short-term temporal perturbations may affect how animals respond - to understand this phenomenon, we need to obtain fine resolution accurate geomagnetic measurements at the location and time of the animal. Satellite geomagnetic measurements provide a potential to create such accurate measurements, yet have not been used yet for exploration of animal migration. METHODS: We develop a new tool for data fusion of satellite geomagnetic data (from the European Space Agency's Swarm constellation) with animal tracking data using a spatio-temporal interpolation approach. We assess accuracy of the fusion through a comparison with calibrated terrestrial measurements from the International Real-time Magnetic Observatory Network (INTERMAGNET). We fit a generalized linear model (GLM) to assess how the absolute error of annotated geomagnetic intensity varies with interpolation parameters and with the local geomagnetic disturbance. RESULTS: We find that the average absolute error of intensity is - 21.6 nT (95% CI [- 22.26555, - </w:t>
      </w:r>
    </w:p>
    <w:p>
      <w:pPr>
        <w:pStyle w:val="Heading2"/>
      </w:pPr>
      <w:r>
        <w:t>797.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2025:</w:t>
      </w:r>
      <w:r>
        <w:t xml:space="preserve"> An Iterative and Participatory Method for Mapping Inuit Knowledge of the Ice and Ocean in Nunatsiavut — https://doi.org/10.1007/s10745-025-00631-8</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In 2019 and 2021, we held participatory mapping workshops in Nain, Hopedale, Postville, Makkovik, and Rigolet (Nunatsiavut, Canada) to document Labrador Inuit’s knowledge of the sea ice and ocean environment. We provide an overview of the iterative and adaptable methodological approach we used to support collaborative and transcultural marine research, emphasizing participants’ experiences during the process. The participatory mapping method created a space that encouraged participants to recall journeys across different times and places. Sharing these journeys provided essential contextual details connecting social and cultural values to the marine environment, while also conveying information about ice and ocean conditions. This approach resulted in collecting spatial and qualitative narrative data related to the marine environment that reflected local climate patterns and snapshots of unusual events or conditions observed at specific times and locations. We highlight that maps mainly facilitate knowledge-sharing rather than generating knowledge itself. This is evident in how Inuit participants interacted with the maps as objects that evoked memories and prompted movement across land-, sea-, and ice-scapes.</w:t>
      </w:r>
    </w:p>
    <w:p>
      <w:pPr/>
      <w:r>
        <w:rPr>
          <w:b/>
        </w:rPr>
        <w:t>POSSIBLE 2024:</w:t>
      </w:r>
      <w:r>
        <w:t xml:space="preserve"> Sustainable transitions in age-friendly communities in Europe: a participatory approach — https://doi.org/10.14311/app.2024.46.0001</w:t>
      </w:r>
    </w:p>
    <w:p>
      <w:pPr/>
      <w:r>
        <w:rPr>
          <w:b/>
        </w:rPr>
        <w:t>Shared claim-specific concepts:</w:t>
      </w:r>
      <w:r>
        <w:t xml:space="preserve"> participatory, approach, involving, stakeholders, environmental, potential; EU scope visible. This is a provisional connection, not an outcome finding.</w:t>
      </w:r>
    </w:p>
    <w:p>
      <w:pPr>
        <w:pStyle w:val="SourceNote"/>
      </w:pPr>
      <w:r>
        <w:rPr>
          <w:b/>
        </w:rPr>
        <w:t>Available abstract (not full text):</w:t>
      </w:r>
      <w:r>
        <w:t xml:space="preserve">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pPr/>
      <w:r>
        <w:rPr>
          <w:b/>
        </w:rPr>
        <w:t>POSSIBLE 2024:</w:t>
      </w:r>
      <w:r>
        <w:t xml:space="preserve"> Participatory approach for specifying user requirements for maritime border surveillance system — https://doi.org/10.54941/ahfe1005558</w:t>
      </w:r>
    </w:p>
    <w:p>
      <w:pPr/>
      <w:r>
        <w:rPr>
          <w:b/>
        </w:rPr>
        <w:t>Shared claim-specific concepts:</w:t>
      </w:r>
      <w:r>
        <w:t xml:space="preserve"> participatory, iterative, approach, users; EU scope visible. This is a provisional connection, not an outcome finding.</w:t>
      </w:r>
    </w:p>
    <w:p>
      <w:pPr>
        <w:pStyle w:val="SourceNote"/>
      </w:pPr>
      <w:r>
        <w:rPr>
          <w:b/>
        </w:rPr>
        <w:t>Available abstract (not full text):</w:t>
      </w:r>
      <w:r>
        <w:t xml:space="preserve"> Maritime safety and security in European waters constitute of organizationally multi-layered activities, also including cooperation, coordination and information exchange between numerous civilian and military authorities and European agencies. Risks and threats at sea are multifaceted with increasing complexity over time and managing them requires increased collaboration at various levels for achieving comprehensive situational awareness and operational efficiency. A multitasking platform integrating new sensing capabilities from coastal, low-altitude and high-altitude platforms with different external data sources and exploiting novel AI supported risk assessment and visualization capabilities may support national authorities in reaching these objectives. This paper reports a user requirements development process for such a system implementing participatory, iterative design approach. Security-critical development context may severely constrain requirements process in a multi-stakeholder environment. However, in-depth interaction between users and developers does ensure consistent, holistic, and unambiguous requirements process, thus increasing technology acceptance and project success.</w:t>
      </w:r>
    </w:p>
    <w:p>
      <w:pPr/>
      <w:r>
        <w:rPr>
          <w:b/>
        </w:rPr>
        <w:t>POSSIBLE 2024:</w:t>
      </w:r>
      <w:r>
        <w:t xml:space="preserve"> Sea Level Rise in Europe: Knowledge gaps identified through a participatory approach — https://doi.org/10.5194/sp-3-slre1-3-2024</w:t>
      </w:r>
    </w:p>
    <w:p>
      <w:pPr/>
      <w:r>
        <w:rPr>
          <w:b/>
        </w:rPr>
        <w:t>Shared claim-specific concepts:</w:t>
      </w:r>
      <w:r>
        <w:t xml:space="preserve"> participatory, approach, four, regional, users, understanding; EU scope visible. This is a provisional connection, not an outcome finding.</w:t>
      </w:r>
    </w:p>
    <w:p>
      <w:pPr>
        <w:pStyle w:val="SourceNote"/>
      </w:pPr>
      <w:r>
        <w:rPr>
          <w:b/>
        </w:rPr>
        <w:t>Available abstract (not full text):</w:t>
      </w:r>
      <w:r>
        <w:t xml:space="preserve"> Abstract. The Intergovernmental Panel on Climate Change (IPCC) plays a pivotal role in delivering information and knowledge on sea level rise (SLR), a global threat impacting coastlines worldwide. However, considerable disparities still persist in Europe in understanding and applying sea level science, evaluating its repercussions, and devising effective adaptation strategies. These are influenced by local factors such as diverse environments, socioeconomic conditions, policy contexts, and diversity in stakeholder involvement, producing in turn varying knowledge gaps and information needs across European sea basins. In this context, this paper presents the findings of a comprehensive scoping process carried out by the European Knowledge Hub on Sea Level Rise (KH-SLR) to define the outline of the first KH-SLR Assessment Report. It consists of the analysis of stakeholder responses to an online survey and insights shared during four regional workshops, aiming to pinpoint critical gaps in available information on SLR and its potential consequences in European basins, both from a scientific and policy perspective. The analysis was divided into three categories: i) SLR science and information, ii) SLR impacts, and iii) SLR adaptation policies and decision-making. Regarding SLR science and information, many respondents found that significant gaps exist in regional SLR projections and </w:t>
      </w:r>
    </w:p>
    <w:p>
      <w:pPr/>
      <w:r>
        <w:rPr>
          <w:b/>
        </w:rPr>
        <w:t>POSSIBLE 2024:</w:t>
      </w:r>
      <w:r>
        <w:t xml:space="preserve"> Participatory approaches to developing sustainable futures: a global perspective — https://openalex.org/W7214139289</w:t>
      </w:r>
    </w:p>
    <w:p>
      <w:pPr/>
      <w:r>
        <w:rPr>
          <w:b/>
        </w:rPr>
        <w:t>Shared claim-specific concepts:</w:t>
      </w:r>
      <w:r>
        <w:t xml:space="preserve"> participatory, approach, potential; EU scope not established. This is a provisional connection, not an outcome finding.</w:t>
      </w:r>
    </w:p>
    <w:p>
      <w:pPr>
        <w:pStyle w:val="SourceNote"/>
      </w:pPr>
      <w:r>
        <w:rPr>
          <w:b/>
        </w:rPr>
        <w:t>Available abstract (not full text):</w:t>
      </w:r>
      <w:r>
        <w:t xml:space="preserve"> This chapter provides a brief overview of the use of participatory processes for developing sustainable futures around the world, with a particular focus on the emergence of participatory methods in the late 1960s and early 1970s. It also reflects on the diversity of current participatory methods. The influences and perspectives of CoOPLAGE in the light of the global context are reflected on, including how its underlying methods stem from a cybernetic, complex systems and engaged political approach. The chapter concludes with potential evolutions and innovations of CoOPLAGE, such as opportunities for integration of emerging technologies and more creative envisioning methods</w:t>
      </w:r>
    </w:p>
    <w:p>
      <w:pPr/>
      <w:r>
        <w:rPr>
          <w:b/>
        </w:rPr>
        <w:t>POSSIBLE 2024:</w:t>
      </w:r>
      <w:r>
        <w:t xml:space="preserve"> Participatory Budgeting as an Inclusive Placemaking Driver: Different European and American Practices — https://doi.org/10.1163/9789004691919_005</w:t>
      </w:r>
    </w:p>
    <w:p>
      <w:pPr/>
      <w:r>
        <w:rPr>
          <w:b/>
        </w:rPr>
        <w:t>Shared claim-specific concepts:</w:t>
      </w:r>
      <w:r>
        <w:t xml:space="preserve"> participatory, four, understanding, considered; EU scope visible. This is a provisional connection, not an outcome finding.</w:t>
      </w:r>
    </w:p>
    <w:p>
      <w:pPr>
        <w:pStyle w:val="SourceNote"/>
      </w:pPr>
      <w:r>
        <w:rPr>
          <w:b/>
        </w:rPr>
        <w:t>Available abstract (not full text):</w:t>
      </w:r>
      <w:r>
        <w:t xml:space="preserve"> Participatory budgeting (PB) is a paradigm that empowers residents to directly decide how a portion of the public budget is spent.Specifically, residents deliberate over spending priorities and vote over how the budget should be allocated to different public projects.As such it is a mechanism of top-down transfer of decisions on the part of budgetary expenditure to citizens.In recent years, PB has become a central topic of discussion and an important field of innovation for those involved in local development, considered one of the most successful democratic innovations of the last 25 years.Participatory budgeting contributes significantly to participatory democracy, inclusiveness processes and placemaking, but some factors limit the scale of these aspects.However, a relatively simple idea -that "ordinary citizens" should have a direct say in public budgets that impact them -has travelled the world by the most unexpected routes and landed in unlikely sites.There is no precise model for PB programmes.While there are similar tenets and institutional mechanisms, PB programmes are structured in response to each city or state's particular political, social and economic environment.Therefore, it is necessary to consider to what extent PB strengthens the discussed processes, whether it allows reaching new, inactive groups of citizens and includes them in the decision-making process re</w:t>
      </w:r>
    </w:p>
    <w:p>
      <w:pPr/>
      <w:r>
        <w:rPr>
          <w:b/>
        </w:rPr>
        <w:t>POSSIBLE 2023:</w:t>
      </w:r>
      <w:r>
        <w:t xml:space="preserve"> Participatory curriculum development: The case of EUTOPIA , a European university alliance — https://doi.org/10.1002/curj.243</w:t>
      </w:r>
    </w:p>
    <w:p>
      <w:pPr/>
      <w:r>
        <w:rPr>
          <w:b/>
        </w:rPr>
        <w:t>Shared claim-specific concepts:</w:t>
      </w:r>
      <w:r>
        <w:t xml:space="preserve"> participatory, approach, involving; EU scope visible. This is a provisional connection, not an outcome finding.</w:t>
      </w:r>
    </w:p>
    <w:p>
      <w:pPr>
        <w:pStyle w:val="SourceNote"/>
      </w:pPr>
      <w:r>
        <w:rPr>
          <w:b/>
        </w:rPr>
        <w:t>Available abstract (not full text):</w:t>
      </w:r>
      <w:r>
        <w:t xml:space="preserve"> Abstract This paper reports on a model for participatory curriculum development that builds on a ‘connected learning communities’ (CLC) approach. We describe and analyse the trajectory of six CLC‐cases using a framework informed by Social Practice Theory (SPT). The activities we report on took place during the first pilot year (2020–2021) of a transnational University Alliance involving six European universities. Data were drawn from document analysis, direct observations and ongoing dialogue with students and staff involved in the CLCs. Our findings illustrate the affordances of building on existing practice for curriculum development in international contexts and point out the importance of well‐equipped collaborative environments that encourage critical analysis and active experimentation. We found that the CLC model and SPT framework are helpful contributions in the field of curriculum development and argue that connected curriculum‐making approaches help shape versatile environments that can effectively transform and enhance educational provisions, experiences and outcomes.</w:t>
      </w:r>
    </w:p>
    <w:p>
      <w:pPr>
        <w:pStyle w:val="Heading2"/>
      </w:pPr>
      <w:r>
        <w:t>798.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2024:</w:t>
      </w:r>
      <w:r>
        <w:t xml:space="preserve"> Immigration and Occupational Shortage in Western European Countries — https://openalex.org/W7200861707</w:t>
      </w:r>
    </w:p>
    <w:p>
      <w:pPr/>
      <w:r>
        <w:rPr>
          <w:b/>
        </w:rPr>
        <w:t>Shared claim-specific concepts:</w:t>
      </w:r>
      <w:r>
        <w:t xml:space="preserve"> occupational, over, increase, occupations; EU scope visible. This is a provisional connection, not an outcome finding.</w:t>
      </w:r>
    </w:p>
    <w:p>
      <w:pPr>
        <w:pStyle w:val="SourceNote"/>
      </w:pPr>
      <w:r>
        <w:rPr>
          <w:b/>
        </w:rPr>
        <w:t>Available abstract (not full text):</w:t>
      </w:r>
      <w:r>
        <w:t xml:space="preserve"> In Western European countries where immigration rates are rising and labour shortages persist, the former could potentially serve as a solution to the latter. We examine the impact of an exogenous increase in migrant workers on occupational shortages in 14 Western European countries over the period 2006- 2018. We construct an occupational shortage indicator that includes five components representing supply and demand for each country and occupation at the 2-digit level each year. In our model, which assesses the influence of the migrant share on the occupational shortage index and identifies occupations facing shortages, we show that immigration flows reduce occupational shortages, with a more pronounced effect observed for migrants from non-EU countries. By recognising the contribution of migrants to addressing occupational shortages, policymakers can implement more effective strategies for managing migration flows and harnessing the potential of migrant workers not only in the EU but globally. Note:</w:t>
      </w:r>
    </w:p>
    <w:p>
      <w:pPr/>
      <w:r>
        <w:rPr>
          <w:b/>
        </w:rPr>
        <w:t>POSSIBLE 2024:</w:t>
      </w:r>
      <w:r>
        <w:t xml:space="preserve"> Positions of the Leading European Parties on the Eve of the European Parliament Elections 2024 — https://doi.org/10.31857/s0201708324030069</w:t>
      </w:r>
    </w:p>
    <w:p>
      <w:pPr/>
      <w:r>
        <w:rPr>
          <w:b/>
        </w:rPr>
        <w:t>Shared claim-specific concepts:</w:t>
      </w:r>
      <w:r>
        <w:t xml:space="preserve"> demonstrates, main, over, next, increasing, well; EU scope visible. This is a provisional connection, not an outcome finding.</w:t>
      </w:r>
    </w:p>
    <w:p>
      <w:pPr>
        <w:pStyle w:val="SourceNote"/>
      </w:pPr>
      <w:r>
        <w:rPr>
          <w:b/>
        </w:rPr>
        <w:t>Available abstract (not full text):</w:t>
      </w:r>
      <w:r>
        <w:t xml:space="preserve"> The article analyses the main trends in the transformation of the party and political system of the European Union on the eve of the next elections to the European Parliament in June 2024. The article examines the main events of recent years that had the main impact on the process of this transformation. New trends in the change of this system were noted, which included strengthening the popularity and influence of Eurosceptic parties, increasing internal tension concerning relations between old and new members of the European Union. The research demonstrates that following the results of the national parliamentary elections held over the past five years in almost all EU member states, the influence of the leading political parties, which for many years occupied dominant positions in the executive and representative authorities of these countries, has significantly decreased. The phenomenon of increasing representation of women in the bodies of the EU and its member states and its impact on their formation is considered. The influence of changes in the social structure of the European community and their impact on the electoral preferences of Europeans is analysed. The preelection positions of all leading European parties that currently have their factions in the European Parliament are presented, including their election manifestos and candidacies for the post of the President</w:t>
      </w:r>
    </w:p>
    <w:p>
      <w:pPr/>
      <w:r>
        <w:rPr>
          <w:b/>
        </w:rPr>
        <w:t>POSSIBLE 2024:</w:t>
      </w:r>
      <w:r>
        <w:t xml:space="preserve"> The Struggle over Law in Europe — https://doi.org/10.4324/9781003302094</w:t>
      </w:r>
    </w:p>
    <w:p>
      <w:pPr/>
      <w:r>
        <w:rPr>
          <w:b/>
        </w:rPr>
        <w:t>Shared claim-specific concepts:</w:t>
      </w:r>
      <w:r>
        <w:t xml:space="preserve"> over, next, well;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2023:</w:t>
      </w:r>
      <w:r>
        <w:t xml:space="preserve"> Feeding Next‐Generation Nanomedicines to Europe: Regulatory and Quality Challenges — https://doi.org/10.1002/adhm.202301956</w:t>
      </w:r>
    </w:p>
    <w:p>
      <w:pPr/>
      <w:r>
        <w:rPr>
          <w:b/>
        </w:rPr>
        <w:t>Shared claim-specific concepts:</w:t>
      </w:r>
      <w:r>
        <w:t xml:space="preserve"> over, next, scientific, innovation; EU scope visible. This is a provisional connection, not an outcome finding.</w:t>
      </w:r>
    </w:p>
    <w:p>
      <w:pPr>
        <w:pStyle w:val="SourceNote"/>
      </w:pPr>
      <w:r>
        <w:rPr>
          <w:b/>
        </w:rPr>
        <w:t>Available abstract (not full text):</w:t>
      </w:r>
      <w:r>
        <w:t xml:space="preserve"> New and innovative nanomedicines have been developed and marketed over the past half-century, revolutionizing the prognosis of many human diseases. Although a univocal regulatory definition is not yet available worldwide, the term "nanomedicines" generally identifies medicinal products that use nanotechnology in their design or production. Due to the intrinsic high structural complexity of these products, the scientific and regulatory communities are reflecting on how to revise the regulatory framework to provide a more appropriate benefit/risk balance to authorize them on the market, considering the impact of their peculiar physicochemical features in the evaluation of efficacy and safety patterns. Herein, a critical perspective is provided on the current open issues regarding regulatory qualification and physicochemical characterization of nanosystems considering the current European regulatory framework on nanomedicine products. Practicable paths for improving their quality assurance and predicting their fate in vivo are also argued. Strengthening the multilevel alliance among academic institutions, industrial stakeholders, and regulatory authorities seems strategic to support innovation by standard approaches (e.g., qualification, characterization, risk assessment), and to expand current knowledge, also benefiting from the new opportunities offered by artificial intelligenc</w:t>
      </w:r>
    </w:p>
    <w:p>
      <w:pPr/>
      <w:r>
        <w:rPr>
          <w:b/>
        </w:rPr>
        <w:t>POSSIBLE 2022:</w:t>
      </w:r>
      <w:r>
        <w:t xml:space="preserve"> Occupational Therapists and COVID-19 Pandemic: An Observational Survey in Europe — https://doi.org/10.15453/2168-6408.1923</w:t>
      </w:r>
    </w:p>
    <w:p>
      <w:pPr/>
      <w:r>
        <w:rPr>
          <w:b/>
        </w:rPr>
        <w:t>Shared claim-specific concepts:</w:t>
      </w:r>
      <w:r>
        <w:t xml:space="preserve"> main, occupational, professionals, well, health; EU scope visible. This is a provisional connection, not an outcome finding.</w:t>
      </w:r>
    </w:p>
    <w:p>
      <w:pPr>
        <w:pStyle w:val="SourceNote"/>
      </w:pPr>
      <w:r>
        <w:rPr>
          <w:b/>
        </w:rPr>
        <w:t>Available abstract (not full text):</w:t>
      </w:r>
      <w:r>
        <w:t xml:space="preserve"> Background: The COVID-19 pandemic has resulted in a health care emergency in Europe since the first wave in 2020. Several challenges have arisen for occupational therapists, as well as all the health care professionals. The aim of this study was to determine what occupational therapists have changed to adapt their therapeutic processes for this catastrophic situation. Method: An online survey was developed and sent in conjunction with the Council of Occupational Therapy for European Countries (COTEC) to European national associations of occupational therapists. Results: The study was based on a sample of 65 occupational therapists who worked with people with COVID-19. More than half of the occupational therapists (54.8%) had changed departments. The main needs patients expressed (n = 136) during hospitalization were to have social contacts (30.9%), and the main clinical complaints (n = 144) were motor impairment and fatigue (35.4%) and depression (25.7%). The most frequently reported goal (n = 141) was recovery of physical performance and fatigue management (32.6%). Among the emotions mentioned by occupational therapists, negative emotions (76%) were the most common. Conclusion: European occupational therapists demonstrated flexibility and resilience to deal with clinical and organizational challenges during the COVID-19 emergency.</w:t>
      </w:r>
    </w:p>
    <w:p>
      <w:pPr/>
      <w:r>
        <w:rPr>
          <w:b/>
        </w:rPr>
        <w:t>POSSIBLE 2022:</w:t>
      </w:r>
      <w:r>
        <w:t xml:space="preserve"> Occupational COPD —The most under‐recognized occupational lung disease? — https://doi.org/10.1111/resp.14272</w:t>
      </w:r>
    </w:p>
    <w:p>
      <w:pPr/>
      <w:r>
        <w:rPr>
          <w:b/>
        </w:rPr>
        <w:t>Shared claim-specific concepts:</w:t>
      </w:r>
      <w:r>
        <w:t xml:space="preserve"> main, occupational, health, providing; EU scope not established. This is a provisional connection, not an outcome finding.</w:t>
      </w:r>
    </w:p>
    <w:p>
      <w:pPr>
        <w:pStyle w:val="SourceNote"/>
      </w:pPr>
      <w:r>
        <w:rPr>
          <w:b/>
        </w:rPr>
        <w:t>Available abstract (not full text):</w:t>
      </w:r>
      <w:r>
        <w:t xml:space="preserve"> Chronic obstructive pulmonary disease (COPD) is caused by exposure to noxious particles and gases. Smoking is the main risk factor, but other factors are also associated with COPD. Occupational exposure to vapours, gases, dusts and fumes contributes to the development and progression of COPD, accounting for a population attributable fraction of 14%. Workplace pollutants, in particular inorganic dust, can initiate airway damage and inflammation, which are the hallmarks of COPD pathogenesis. Occupational COPD is still underdiagnosed, mainly due to the challenges of assessing the occupational component of the disease in clinical settings, especially if other risk factors are present. There is a need for specific education and training for clinicians, and research with a focus on evaluating the role of occupational exposure in causing COPD. Early diagnosis and identification of occupational causes is very important to prevent further decline in lung function and to reduce the health and socio-economic burden of COPD. Establishing details of the occupational history by general practitioners or respiratory physicians could help to define the occupational burden of COPD for individual patients, providing the first useful interventions (smoking cessation, best therapeutic management, etc.). Once patients are diagnosed with occupational COPD, there is a wide international variation in a</w:t>
      </w:r>
    </w:p>
    <w:p>
      <w:pPr/>
      <w:r>
        <w:rPr>
          <w:b/>
        </w:rPr>
        <w:t>POSSIBLE 2022:</w:t>
      </w:r>
      <w:r>
        <w:t xml:space="preserve"> European and American chestnuts: An overview of the main threats and control efforts — https://doi.org/10.3389/fpls.2022.951844</w:t>
      </w:r>
    </w:p>
    <w:p>
      <w:pPr/>
      <w:r>
        <w:rPr>
          <w:b/>
        </w:rPr>
        <w:t>Shared claim-specific concepts:</w:t>
      </w:r>
      <w:r>
        <w:t xml:space="preserve"> main, over, importance, significant; EU scope visible. This is a provisional connection, not an outcome finding.</w:t>
      </w:r>
    </w:p>
    <w:p>
      <w:pPr>
        <w:pStyle w:val="SourceNote"/>
      </w:pPr>
      <w:r>
        <w:rPr>
          <w:b/>
        </w:rPr>
        <w:t>Available abstract (not full text):</w:t>
      </w:r>
      <w:r>
        <w:t xml:space="preserve"> Chestnuts are multipurpose trees significant for the economy and wildlife. These trees are currently found around the globe, demonstrating their genetic adaptation to different environmental conditions. Several biotic and abiotic stresses have challenged these species, contributing to the decline of European chestnut production and the functional extinction of the American chestnut. Several efforts started over the last century to understand the cellular, molecular, and genetic interactions behind all chestnut biotic and abiotic interactions. Most efforts have been toward breeding for the primary diseases, chestnut blight and ink disease caused by the pathogens, Cryphonectria parasitica and Phytophthora cinnamomi , respectively. In Europe and North America, researchers have been using the Asian chestnut species, which co-evolved with the pathogens, to introgress resistance genes into the susceptible species. Breeding woody trees has several limitations which can be mostly related to the long life cycles of these species and the big genome landscapes. Consequently, it takes decades to improve traits of interest, such as resistance to pathogens. Currently, the availability of genome sequences and next-generation sequencing techniques may provide new tools to help overcome most of the problems tree breeding is still facing. This review summarizes European and American chestnut’s m</w:t>
      </w:r>
    </w:p>
    <w:p>
      <w:pPr/>
      <w:r>
        <w:rPr>
          <w:b/>
        </w:rPr>
        <w:t>POSSIBLE 2022:</w:t>
      </w:r>
      <w:r>
        <w:t xml:space="preserve"> Scenarios for vocational education and training in Europe in the 21st century — https://doi.org/10.1556/063.2021.00116</w:t>
      </w:r>
    </w:p>
    <w:p>
      <w:pPr/>
      <w:r>
        <w:rPr>
          <w:b/>
        </w:rPr>
        <w:t>Shared claim-specific concepts:</w:t>
      </w:r>
      <w:r>
        <w:t xml:space="preserve"> demonstrates, main, over, next; EU scope visible. This is a provisional connection, not an outcome finding.</w:t>
      </w:r>
    </w:p>
    <w:p>
      <w:pPr>
        <w:pStyle w:val="SourceNote"/>
      </w:pPr>
      <w:r>
        <w:rPr>
          <w:b/>
        </w:rPr>
        <w:t>Available abstract (not full text):</w:t>
      </w:r>
      <w:r>
        <w:t xml:space="preserve"> Abstract Building on the findings of Cedefop’s research project ‘The changing nature and role of VET in Europe’ (2015–18), this article outlines the development and transformation of European VET over the last two decades. Exploring change from epistemological-pedagogical, institutional and socio-economic perspectives, the research not only illustrates the stability and path dependence of national VET systems (and how this sustains overall VET-diversity in Europe), it also demonstrates how the combination of incremental change and major societal and economic shocks shift the orientation of VET. This mapping and analysis of the past is used to outline possible scenarios for the future of vocational education and training in Europe. Three main scenarios - pluralistic, distinctive and special-purpose VET - illustrate the different directions VET can take in the next two decades and the challenges and opportunities involved in this. The final part of the article discusses the potential use of the scenario-approach and how this is taken forward in Cedefop’s follow-up project on the Future of VET (2019–2022).</w:t>
      </w:r>
    </w:p>
    <w:p>
      <w:pPr/>
      <w:r>
        <w:rPr>
          <w:b/>
        </w:rPr>
        <w:t>POSSIBLE 2021:</w:t>
      </w:r>
      <w:r>
        <w:t xml:space="preserve"> Occupational Exposure to Diisocyanates in the European Union — https://doi.org/10.1093/annweh/wxab021</w:t>
      </w:r>
    </w:p>
    <w:p>
      <w:pPr/>
      <w:r>
        <w:rPr>
          <w:b/>
        </w:rPr>
        <w:t>Shared claim-specific concepts:</w:t>
      </w:r>
      <w:r>
        <w:t xml:space="preserve"> main, occupational, health; EU scope visible. This is a provisional connection, not an outcome finding.</w:t>
      </w:r>
    </w:p>
    <w:p>
      <w:pPr>
        <w:pStyle w:val="SourceNote"/>
      </w:pPr>
      <w:r>
        <w:rPr>
          <w:b/>
        </w:rPr>
        <w:t>Available abstract (not full text):</w:t>
      </w:r>
      <w:r>
        <w:t xml:space="preserve"> OBJECTIVES: Diisocyanates are a chemical group that are widely used at workplaces in many sectors. They are also potent skin- and respiratory sensitizers. Exposure to diisocyanates is a main cause of occupational asthma in the European Union. To reduce occupational exposure to diisocyanates and consequently the cases of diisocyanate-induced asthma, a restriction on diisocyanates was recently adopted under the REACH Regulation in the European Union. METHODS: A comprehensive evaluation of the data on occupational exposure to the most important diisocyanates at workplaces was made and is reported here. The diisocyanates considered are methylene diphenyl diisocyanate (MDI), toluene diisocyanate (TDI), and hexamethylene diisocyanate (HDI), accounting for more than 95% of the market volume in the EU. The exposure assessment is based on data from Chemical Safety Reports (CSRs) of REACH Registration Dossiers, workplace air monitoring data from Germany, from the UK Health and Safety Executive (HSE), and literature data relevant for the EU, and the USA. RESULTS: Occupational exposure to diisocyanates is particularly relevant in: (i) C.A.S.E. applications (Coatings, Adhesives, Sealants, Elastomers), (ii) production of polyurethanes (PUs) (e.g. slab-stock foam), (iii) handling of partly uncured PU products (e.g. cutting, demoulding, spray application of foam), and (iv) when diisocyanates/P</w:t>
      </w:r>
    </w:p>
    <w:p>
      <w:pPr>
        <w:pStyle w:val="Heading2"/>
      </w:pPr>
      <w:r>
        <w:t>799.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2024:</w:t>
      </w:r>
      <w:r>
        <w:t xml:space="preserve"> EU Railways: Contribution to Decarbonisation Solution — https://doi.org/10.31857/s0201708324020062</w:t>
      </w:r>
    </w:p>
    <w:p>
      <w:pPr/>
      <w:r>
        <w:rPr>
          <w:b/>
        </w:rPr>
        <w:t>Shared claim-specific concepts:</w:t>
      </w:r>
      <w:r>
        <w:t xml:space="preserve"> analyses, decarbonisation, passenger, increase, greenhouse; EU scope visible. This is a provisional connection, not an outcome finding.</w:t>
      </w:r>
    </w:p>
    <w:p>
      <w:pPr>
        <w:pStyle w:val="SourceNote"/>
      </w:pPr>
      <w:r>
        <w:rPr>
          <w:b/>
        </w:rPr>
        <w:t>Available abstract (not full text):</w:t>
      </w:r>
      <w:r>
        <w:t xml:space="preserve"> The EU transport system is entering the next phase of fundamental transformation. The railways are becoming one of the key tools for implementing the Green Deal and solving ecological problems for the period up to 2050. A range of documents aimed at advancing the realisation of the Trans-European Transport Network (TEN-T) was adopted at the Union level in recent years. Transfer a large proportion of transport from road and aviation to rail, multimodal transportation, advanced construction and modernisation of high-speed railway lines (HSR) are the priorities of the policy. This article has a twofold objective. First, it analyses the condition and market environment of the railways. Second, it investigates the possibilities of implementing the TEN-T program to reduce greenhouse gas (GHG) emissions, increase multimodal transportation and the construction/upgrading new HSR. The results suggest that a set of obstacles impede GHG emissions reduction in the shifting of transport from road and aviation to rail, multimodal transportation and the construction of HSR. The main trend is that rail transport activity in the EU remained almost constant from 2010 to 2022 with a slight increase in passenger transport and some structural changes. Within the next 25 years, the most tangible impact for the EU economy, ecology and society of all modes of transport can be provided by HSR expansion.</w:t>
      </w:r>
    </w:p>
    <w:p>
      <w:pPr/>
      <w:r>
        <w:rPr>
          <w:b/>
        </w:rPr>
        <w:t>POSSIBLE 2024:</w:t>
      </w:r>
      <w:r>
        <w:t xml:space="preserve"> Models and methods for transport demand and decarbonisation: a review — https://doi.org/10.1088/1748-9326/ad6b3a</w:t>
      </w:r>
    </w:p>
    <w:p>
      <w:pPr/>
      <w:r>
        <w:rPr>
          <w:b/>
        </w:rPr>
        <w:t>Shared claim-specific concepts:</w:t>
      </w:r>
      <w:r>
        <w:t xml:space="preserve"> decarbonisation, greenhouse; EU scope not established. This is a provisional connection, not an outcome finding.</w:t>
      </w:r>
    </w:p>
    <w:p>
      <w:pPr>
        <w:pStyle w:val="SourceNote"/>
      </w:pPr>
      <w:r>
        <w:rPr>
          <w:b/>
        </w:rPr>
        <w:t>Available abstract (not full text):</w:t>
      </w:r>
      <w:r>
        <w:t xml:space="preserve"> Abstract Rising global greenhouse gas emissions from the transport sector pose a major challenge to meeting the targets of the Paris Agreement. This raises questions of how technology, infrastructure and societal trends and policies can influence transport demand and thus also emissions, energy demand and service levels. Here, we review the literature on factors relevant to shifting total transport activity and mode shares, categorised into exogenous drivers, socio-behavioural, infrastructural and technological aspects. For each factor, we summarise current approaches to modelling and measuring the impact of each factor on transport systems, resulting in a proposed taxonomy to classify transport demand modelling approaches. We then comment on the suitability and sufficiency of existing modelling approaches for representing scenarios consistent with the Paris Agreement targets in models of the entire global energy system. Factors that affect transport demand are currently insufficiently represented in integrated assessment modelling approaches and thus emission reduction pathways. Improving the comprehension and representation of diverse factors that affect transport demand in global energy systems models, by incorporating features of complementary models with high resolution representations of transport, holds promise for generating well informed policy recommendations. Accordi</w:t>
      </w:r>
    </w:p>
    <w:p>
      <w:pPr/>
      <w:r>
        <w:rPr>
          <w:b/>
        </w:rPr>
        <w:t>POSSIBLE 2024:</w:t>
      </w:r>
      <w:r>
        <w:t xml:space="preserve"> Optimal decarbonisation pathway for mining truck fleets — https://doi.org/10.1016/j.jai.2024.03.003</w:t>
      </w:r>
    </w:p>
    <w:p>
      <w:pPr/>
      <w:r>
        <w:rPr>
          <w:b/>
        </w:rPr>
        <w:t>Shared claim-specific concepts:</w:t>
      </w:r>
      <w:r>
        <w:t xml:space="preserve"> analyses, decarbonisation, case; EU scope not established. This is a provisional connection, not an outcome finding.</w:t>
      </w:r>
    </w:p>
    <w:p>
      <w:pPr>
        <w:pStyle w:val="SourceNote"/>
      </w:pPr>
      <w:r>
        <w:rPr>
          <w:b/>
        </w:rPr>
        <w:t>Available abstract (not full text):</w:t>
      </w:r>
      <w:r>
        <w:t xml:space="preserve"> The decarbonisation of fossil fuel powered mine truck fleets, which can contribute up to 80% of total emissions in open pit mines, is critical for the mining industry. This study investigates the optimal decarbonisation framework for mining truck fleets to determine the optimal decarbonisation pathway to minimise the life cycle costs during the planning period. Notably, our proposed framework incorporates power generation, negative carbon technologies, and carbon trading. Technical, financial, and environmental models of decarbonisation technologies are established, capturing regional variations and dynamic characteristics such as cost trends and carbon capture efficiency. The dynamic natures of these characteristics pose challenges for using the cost-effective analyses approach to find the optimal decarbonisation pathway. To address this, we introduce a mixed-integer programming optimisation based framework designed to optimise the decarbonisation pathway. A case study for the optimal decarbonisation pathway of truck fleets in a South African coal mine is conducted to illustrate the applicability of the proposed model. Results indicate that the optimal decarbonisation pathway is significantly influenced by factors such as land cost, annual budget, and carbon trading prices. The proposed method provides invaluable guidance for transitioning towards a cleaner and more sustainabl</w:t>
      </w:r>
    </w:p>
    <w:p>
      <w:pPr/>
      <w:r>
        <w:rPr>
          <w:b/>
        </w:rPr>
        <w:t>POSSIBLE 2024:</w:t>
      </w:r>
      <w:r>
        <w:t xml:space="preserve"> Accelerating Light-Duty Fleet Decarbonisation through Energy Efficiency Audits: Results and Methodology Assessment — https://doi.org/10.1051/e3sconf/202448702001</w:t>
      </w:r>
    </w:p>
    <w:p>
      <w:pPr/>
      <w:r>
        <w:rPr>
          <w:b/>
        </w:rPr>
        <w:t>Shared claim-specific concepts:</w:t>
      </w:r>
      <w:r>
        <w:t xml:space="preserve"> decarbonisation, fleet, mobility; EU scope visible. This is a provisional connection, not an outcome finding.</w:t>
      </w:r>
    </w:p>
    <w:p>
      <w:pPr>
        <w:pStyle w:val="SourceNote"/>
      </w:pPr>
      <w:r>
        <w:rPr>
          <w:b/>
        </w:rPr>
        <w:t>Available abstract (not full text):</w:t>
      </w:r>
      <w:r>
        <w:t xml:space="preserve"> The transport sector is responsible for 37% of the energy consumption in Portugal (70% of it due to road transportation), supplied almost completely by fossil fuels. Portugal must reduce these sector’s emissions by 98% to achieve carbon neutrality by 2050, thus making transportation a crucial sector for a successful decarbonisation of the economy. This scenario sparked action at ADENE – the Portuguese Energy Agency to create MOVE+, an auditing methodology that incentivises and guides a broad group of stakeholders to act on the decarbonisation of mobility, starting with light duty and freight fleets. It comprises a framework to rate fleets on energy efficiency which enables regular implementation and monitoring of decarbonisation measures in areas such as vehicle technology, telematics, driver training, tyre selection, and maintenance. This paper shows that the application of the MOVE+ methodology helped identify an electrification potential of 24% on average per fleet, according to the Best-in-Class (whereas the analysed sample shows 20% of electrification). A multiple linear regression model validates the correlation between MOVE+ obtained scores, in the evaluated dimensions, and the fleet’s specific CO2 emissions. The methodology also allows us to assess that Portugal is lagging to meet the carbon neutrality target for the transport sector by 2050. Such assessment allows us t</w:t>
      </w:r>
    </w:p>
    <w:p>
      <w:pPr/>
      <w:r>
        <w:rPr>
          <w:b/>
        </w:rPr>
        <w:t>POSSIBLE 2023:</w:t>
      </w:r>
      <w:r>
        <w:t xml:space="preserve"> “The impact of energy efficiency and decarbonisation policies on the European road transport sector” — https://doi.org/10.1016/j.tra.2023.103623</w:t>
      </w:r>
    </w:p>
    <w:p>
      <w:pPr/>
      <w:r>
        <w:rPr>
          <w:b/>
        </w:rPr>
        <w:t>Shared claim-specific concepts:</w:t>
      </w:r>
      <w:r>
        <w:t xml:space="preserve"> analyses, decarbonisation, passenger, fleet, vehicles; EU scope visible. This is a provisional connection, not an outcome finding.</w:t>
      </w:r>
    </w:p>
    <w:p>
      <w:pPr>
        <w:pStyle w:val="SourceNote"/>
      </w:pPr>
      <w:r>
        <w:rPr>
          <w:b/>
        </w:rPr>
        <w:t>Available abstract (not full text):</w:t>
      </w:r>
      <w:r>
        <w:t xml:space="preserve"> This paper analyses historical energy consumption trends of the EU road transport sector and examines the role of key determinants, such as economic and population growth, fuel prices, passenger and tonne-kilometres and vehicle fleet characteristics. In light of the EU 2030 and 2050 energy and climate targets, the paper assesses the energy efficiency and decarbonisation progress from 2000 to 2018. A detailed analysis is carried out using a balanced panel dataset from 1995 to 2018 and a test for causality between energy consumption and the selected explanatory variables. The results suggest that the declining trend of the normalised energy consumption of cars, trucks and light vehicles, which both dropped significantly in 2018 compared to 2000, can be related to energy efficiency and decarbonisation policies adopted by the EU and its Member States over the studied period. Decomposition analysis based on the Logarithmic Mean Divisia Index technique confirms the role of energy efficiency gains in curbing energy consumption of road transport, even with the strong upward force exerted by motorisation and population effects, especially in passenger transport. It also suggests that during the recession years (2008–2013), road transport consumption fell due to a sharp drop in the mileage but not in the motorisation effect, which continued to drive up consumption even in this period. De</w:t>
      </w:r>
    </w:p>
    <w:p>
      <w:pPr/>
      <w:r>
        <w:rPr>
          <w:b/>
        </w:rPr>
        <w:t>POSSIBLE 2023:</w:t>
      </w:r>
      <w:r>
        <w:t xml:space="preserve"> Rapid decarbonisation of Paris, Lyon and Marseille's power, transport and building sectors by coupling rooftop solar PV and electric vehicles — https://doi.org/10.1016/j.esd.2023.04.002</w:t>
      </w:r>
    </w:p>
    <w:p>
      <w:pPr/>
      <w:r>
        <w:rPr>
          <w:b/>
        </w:rPr>
        <w:t>Shared claim-specific concepts:</w:t>
      </w:r>
      <w:r>
        <w:t xml:space="preserve"> decarbonisation, electric, vehicles;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Decarbonisation of passenger light-duty vehicles using spatially resolved TIMES-Ireland Model — https://doi.org/10.1016/j.apenergy.2022.119078</w:t>
      </w:r>
    </w:p>
    <w:p>
      <w:pPr/>
      <w:r>
        <w:rPr>
          <w:b/>
        </w:rPr>
        <w:t>Shared claim-specific concepts:</w:t>
      </w:r>
      <w:r>
        <w:t xml:space="preserve"> decarbonisation, passenger, car, fleet, mobility, electric; EU scope visible. This is a provisional connection, not an outcome finding.</w:t>
      </w:r>
    </w:p>
    <w:p>
      <w:pPr>
        <w:pStyle w:val="SourceNote"/>
      </w:pPr>
      <w:r>
        <w:rPr>
          <w:b/>
        </w:rPr>
        <w:t>Available abstract (not full text):</w:t>
      </w:r>
      <w:r>
        <w:t xml:space="preserve"> Higher spatial resolution is becoming a key component of energy system analysis. Existing multi-regional national scale energy systems optimisation models (ESOMs) facilitate an improved understanding of spatial dynamics. Yet, region-specific characteristics of transport technologies and infrastructures along with consumer heterogeneity have remained under-investigated. The current paper addresses this gap by developing a multi-regional transport sector within the system-wide TIMES-Ireland Model (TIM). The transport sector is divided into 26 sub-regions, and each region is characterised by the existing vehicle fleet, public transport availability, scrappage rate, annual mileage, vehicle fuel economy and the corresponding passenger and freight mobility demand. The consumers (car buyers) are disaggregated based on their income level to incorporate a more realistic representation of their behaviour in vehicle purchasing decisions. While TIM ensures carbon neutrality across the whole energy system by mid-century, this study mainly explores the decarbonisation of passenger Light-Duty Vehicles (LDVs). It shows to what extent different measures (i.e, LDV improvements, monetary incentives, modal shift, biofuel obligation, carbon tax and occupancy rate) can contribute to meeting ambitious mitigation targets by 2030. Spatially resolved analysis as the main novelty of this research present</w:t>
      </w:r>
    </w:p>
    <w:p>
      <w:pPr>
        <w:pStyle w:val="Heading2"/>
      </w:pPr>
      <w:r>
        <w:t>800.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2024:</w:t>
      </w:r>
      <w:r>
        <w:t xml:space="preserve"> Social transfer policies and child poverty in European countries: Evaluating policy alternatives through a multiobjective programming model — https://doi.org/10.1016/j.seps.2024.101892</w:t>
      </w:r>
    </w:p>
    <w:p>
      <w:pPr/>
      <w:r>
        <w:rPr>
          <w:b/>
        </w:rPr>
        <w:t>Shared claim-specific concepts:</w:t>
      </w:r>
      <w:r>
        <w:t xml:space="preserve"> transfer, assess, policies; EU scope visible. This is a provisional connection, not an outcome finding.</w:t>
      </w:r>
    </w:p>
    <w:p>
      <w:pPr>
        <w:pStyle w:val="SourceNote"/>
      </w:pPr>
      <w:r>
        <w:rPr>
          <w:b/>
        </w:rPr>
        <w:t>Available abstract (not full text):</w:t>
      </w:r>
      <w:r>
        <w:t xml:space="preserve"> Child poverty remains a significant concern across Europe and citizens regard policy interventions that effectively address this issue to be of utmost importance. In this work, we analyse the potential of social transfer policy alternatives to alleviate child and overall poverty simultaneously in European countries. Using a logistic regression to define the objective functions and constraints, we rely on multiobjective programming to assess key features of national social transfer systems that can minimize child and overall poverty and tend to equal both levels downwards. Taking into account the starting levels of each country, the results underline the importance of finding an adequate combination of pro-child and pro-poor targeting of social transfer policies. For most European countries, an increase in the level of cash benefits for children is advisable – particularly universal benefits – except in Croatia, the Netherlands, and Norway. Nonetheless, in France, Greece, Italy, Ireland, the Netherlands, and Spain, the recommended proportion of GDP allocated to universal cash benefits is lower than the proportion allocated to means-tested benefits. In this regard, our research provides an innovative approach for policymakers to optimize poverty reduction strategies by contributing valuable insights for the design and implementation of effective social transfer policies to combat</w:t>
      </w:r>
    </w:p>
    <w:p>
      <w:pPr/>
      <w:r>
        <w:rPr>
          <w:b/>
        </w:rPr>
        <w:t>POSSIBLE 2024:</w:t>
      </w:r>
      <w:r>
        <w:t xml:space="preserve"> Stronger Member States for a Stronger European Union — https://doi.org/10.62733/2024.2.143-161</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COMPARATIVE ANALYSIS OF TRANSFER PRICING LEGISLATION IN THE REGULATORY FRAMEWORK OF EU MEMBER STATES — https://doi.org/10.32782/2707-8019/2024-2-2</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The article carries out a comparative analysis and assessment of the adequacy of legal regulation of transfer pricing in the EU Member States. The necessity and importance of studying foreign experience in building and improving the legal framework for transfer pricing is substantiated. The authors determine that the relevance of transfer pricing and related issues both in terms of ensuring the proper functioning of the single market and eliminating base erosion and profit shifting is confirmed by the existence of a special advisory body under the European Commission - the Joint Transfer Pricing Forum (JTPF), which advises the European Commission on transfer pricing taxation. The article identifies the main aspects of transfer pricing regulation in the EU Member States with a view to a detailed analysis of the regulatory framework. The criteria of related parties in the EU transfer pricing legislation are studied. It is found that a common feature in the definition of related parties is the direct or indirect influence of one person on another. The author examines and compares the grounds for conducting an audit in the EU transfer pricing legislation and finds that in the vast majority of EU Member States there is a so-called "self-assessment" regime for companies, according to which the taxpayer must ensure compliance with the transfer pricing rules; the risk factors that are </w:t>
      </w:r>
    </w:p>
    <w:p>
      <w:pPr/>
      <w:r>
        <w:rPr>
          <w:b/>
        </w:rPr>
        <w:t>POSSIBLE 2024:</w:t>
      </w:r>
      <w:r>
        <w:t xml:space="preserve"> The genesis of pardon in Ukraine and the European Union Member States — https://doi.org/10.24144/2307-3322.2024.84.3.45</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This article is devoted to the historical and legal study of the origin and evolution of the institution of pardon in Ukraine and the European Union Member States. The author analyses the emergence of pardon in ancient Rome, its social and political role. The author points to the existence of three main forms of pardon in the Roman Empire: abolition, intercession and indulgence. The author emphasises the impact of the reception of Roman law and the growing role of the Roman Catholic Church on the establishment of the right of pardon as an element of the absolute power of the monarch in medieval Europe. Attention is drawn to the established tradition of pardoning convicted persons on the occasion of significant religious or state events. The author points out that the right to pardon is legally enshrined in the legislative collection ‘Siete Partidas’ in the Kingdom of Spain and to the modern subjects of pardon in the said State. The author analyses the evolution of the pardon procedure, in particular, with regard to the participation of not only the head of state, but also other subjects, including the Minister of Justice, in order to ensure a greater level of political neutrality. The features of pardon in medieval Italy, the transfer of this right from the city councils to the monarch along with the establishment of the seigniorial regime are highlighted. The author also descr</w:t>
      </w:r>
    </w:p>
    <w:p>
      <w:pPr/>
      <w:r>
        <w:rPr>
          <w:b/>
        </w:rPr>
        <w:t>POSSIBLE 2023:</w:t>
      </w:r>
      <w:r>
        <w:t xml:space="preserve"> Agents and Impacts of Interorganizational Transfers between the Council of Europe and the European Union in the Area of Cultural Policy — https://doi.org/10.4000/bssg.3433</w:t>
      </w:r>
    </w:p>
    <w:p>
      <w:pPr/>
      <w:r>
        <w:rPr>
          <w:b/>
        </w:rPr>
        <w:t>Shared claim-specific concepts:</w:t>
      </w:r>
      <w:r>
        <w:t xml:space="preserve"> transfer, other; EU scope visible. This is a provisional connection, not an outcome finding.</w:t>
      </w:r>
    </w:p>
    <w:p>
      <w:pPr>
        <w:pStyle w:val="SourceNote"/>
      </w:pPr>
      <w:r>
        <w:rPr>
          <w:b/>
        </w:rPr>
        <w:t>Available abstract (not full text):</w:t>
      </w:r>
      <w:r>
        <w:t xml:space="preserve"> This article analyses the transfer dynamics between the Council of Europe and the European Community/Union in the domain of cultural policy. The analysis is based on two case studies. One centres on audiovisual policy (1980s), and the other on the development of cultural programmes within the European Union in the wake of the Maastricht Treaty (1990s-2000s). In the 1980s, when relations between the Council of Europe and the European Community were only very weakly institutionalized, the circulation of norms between the two institutions was facilitated by informal exchanges on the margins of negotiations between senior officials mandated by their governments. In the 1990s and 2000s, although the circulation of norms and practices had been institutionalized through agreements, it was nevertheless the multipositioning of government delegates and the mobility of some high-level officials between the two organizations and between the institutional and cultural management spheres that opened up key channels for the transfer of norms and practices between the Council of Europe and the European Union.</w:t>
      </w:r>
    </w:p>
    <w:p>
      <w:pPr/>
      <w:r>
        <w:rPr>
          <w:b/>
        </w:rPr>
        <w:t>POSSIBLE 2022:</w:t>
      </w:r>
      <w:r>
        <w:t xml:space="preserve"> Dual vocational education and training and policy transfer in the European Union policy: the case of work-based learning and apprenticeships — https://doi.org/10.1080/2331186x.2022.2154496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 the search for solutions to national skill formation challenges, the central and northern Europeans models of good practices in dual vocational education and training (VET) permeated the imaginary of the southern countries. Particularly, the German dual VET system has been predominant in the discourse of policy-makers. This research analyses the role played by the European Union (EU) in the promotion of this model as the reference for the reforming Member States during the policy transfer stage of cross-national attraction. This paper develops a reflexive Thematic Analysis among the fundamental documentation related to VET resulting from the EU Governance Triangle. Its aim is to interpret the EU proposal for the reform of VET, with a focus on the characteristics which shape the way in which the training is developed. This Thematic Analysis reveals that the EU promotes a VET training model based in work-based learning as a pillar, preferably articulated in the form of apprenticeships. This, along with the general principles for the regulation of apprenticeships promoted by the EU, proves the agency role exercised by the EU in the dissemination of dual VET as a model of good practice.</w:t>
      </w:r>
    </w:p>
    <w:p>
      <w:pPr/>
      <w:r>
        <w:rPr>
          <w:b/>
        </w:rPr>
        <w:t>POSSIBLE 2021:</w:t>
      </w:r>
      <w:r>
        <w:t xml:space="preserve"> Policy transfer within the European Union and beyond: Europeanization in times of stability and crises — https://doi.org/10.4337/9781789905601.00026</w:t>
      </w:r>
    </w:p>
    <w:p>
      <w:pPr/>
      <w:r>
        <w:rPr>
          <w:b/>
        </w:rPr>
        <w:t>Shared claim-specific concepts:</w:t>
      </w:r>
      <w:r>
        <w:t xml:space="preserve"> then, transfer, member, states, policies; EU scope visible. This is a provisional connection, not an outcome finding.</w:t>
      </w:r>
    </w:p>
    <w:p>
      <w:pPr>
        <w:pStyle w:val="SourceNote"/>
      </w:pPr>
      <w:r>
        <w:rPr>
          <w:b/>
        </w:rPr>
        <w:t>Available abstract (not full text):</w:t>
      </w:r>
      <w:r>
        <w:t xml:space="preserve"> The European Union is a sui generis polity in which policy transfer shapes the relationship between supra-national institutions and domestic actors across different contexts. Scholars have defined this specific type of policy transfer as Europeanization. This chapter explores how this concept has been used to understand the effects of EU integration on the polity, policies and politics of EU member states, and how EU integration has extended to the field of foreign policy, then outside the EU, through enlargement and neighbourhood policies, to scrutinize the relations of the EU with the rest of the world. The chapter is organised as follows: the first section traces the origins of this concept, its definition and research designs. Empirical illustrations show that since the early 1990s, fast-forward integration has given rise to uneven forms of Europeanization within the EU and beyond. The chapter also examines how Europeanization has been challenged by resistance to integration and how recent crises have shaped not only EU integration, but also Europeanization processes.</w:t>
      </w:r>
    </w:p>
    <w:p>
      <w:pPr/>
      <w:r>
        <w:rPr>
          <w:b/>
        </w:rPr>
        <w:t>POSSIBLE 2021:</w:t>
      </w:r>
      <w:r>
        <w:t xml:space="preserve"> Community Sponsorship in Europe: Taking Stock, Policy Transfer and What the Future Might Hold — https://doi.org/10.3389/fhumd.2021.564084</w:t>
      </w:r>
    </w:p>
    <w:p>
      <w:pPr/>
      <w:r>
        <w:rPr>
          <w:b/>
        </w:rPr>
        <w:t>Shared claim-specific concepts:</w:t>
      </w:r>
      <w:r>
        <w:t xml:space="preserve"> transfer, states; EU scope visible. This is a provisional connection, not an outcome finding.</w:t>
      </w:r>
    </w:p>
    <w:p>
      <w:pPr>
        <w:pStyle w:val="SourceNote"/>
      </w:pPr>
      <w:r>
        <w:rPr>
          <w:b/>
        </w:rPr>
        <w:t>Available abstract (not full text):</w:t>
      </w:r>
      <w:r>
        <w:t xml:space="preserve"> This article explores the recent emergence of community sponsorship of refugees in Europe, an approach which shares responsibility between civil society and the state for the admission and/or integration of refugees. Originally a Canadian model developed to support the resettlement of Indochinese refugees, the model has gained momentum in Europe, with a number of states piloting or establishing community sponsorship schemes. This proliferation, while generally seen as positive for international protection of refugees, has led to conceptual confusion and a significant range of approaches under the “umbrella” concept of community sponsorship. As a result, community sponsorship today may be understood both as a form of resettlement and a complementary pathway to protection. While interest and momentum around community sponsorship is high, little work currently exists mapping and analysing how jurisdictions adopt the community sponsorship model. With reference to existing work on policy transfer, this contribution takes stock of community sponsorship models in Europe; analyses how community sponsorship may become a viable policy option in European states as a form of transnational policy transfer; and sets out a number of challenges for the future development of community sponsorship in Europe.</w:t>
      </w:r>
    </w:p>
    <w:p>
      <w:pPr>
        <w:pStyle w:val="Heading2"/>
      </w:pPr>
      <w:r>
        <w:t>801.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2023:</w:t>
      </w:r>
      <w:r>
        <w:t xml:space="preserve"> Climate policy must account for community-specific socio-economic, health, and biophysical conditions—evidence from coastal Alaska — https://doi.org/10.1007/s10113-023-02080-9</w:t>
      </w:r>
    </w:p>
    <w:p>
      <w:pPr/>
      <w:r>
        <w:rPr>
          <w:b/>
        </w:rPr>
        <w:t>Shared claim-specific concepts:</w:t>
      </w:r>
      <w:r>
        <w:t xml:space="preserve"> socio-economic, biophysical, management, factors, moderate; EU scope not established. This is a provisional connection, not an outcome finding.</w:t>
      </w:r>
    </w:p>
    <w:p>
      <w:pPr>
        <w:pStyle w:val="SourceNote"/>
      </w:pPr>
      <w:r>
        <w:rPr>
          <w:b/>
        </w:rPr>
        <w:t>Available abstract (not full text):</w:t>
      </w:r>
      <w:r>
        <w:t xml:space="preserve"> Abstract Climate warming, sea level rise, and extreme weather events are creating intensifying and more frequent hazards for human populations inhabiting the coast. In Alaska’s remote coastal communities, flooding and erosion are rapidly increasing due to the combined effect of sea level rise, more frequent storm surges, and increasingly powerful wave action from lack of sea ice. This paper presents survey results documenting socio-economic and psychological livelihood impacts and relocation preferences as reported by residents of a remote coastal Indigenous community. We quantified direct costs of lost or damaged private property, affected community infrastructure, and interruption of public services and found that the resulting financial hardship adds to existing economic challenges and climate stressors. Findings underline a community-level preoccupation with coastal climate threats that manifests primarily in intrusive and distressing thoughts of consequences from storms and other destructive climatic events. We highlight the need to monitor more broadly livelihood impacts to inform the design of innovative risk management tools to moderate financial hardship and strengthen community-driven action. We conclude that new policy responding to the needs of remote Indigenous communities affected by repetitive environmental disasters needs to account for a complex array of commun</w:t>
      </w:r>
    </w:p>
    <w:p>
      <w:pPr/>
      <w:r>
        <w:rPr>
          <w:b/>
        </w:rPr>
        <w:t>POSSIBLE 2023:</w:t>
      </w:r>
      <w:r>
        <w:t xml:space="preserve"> Integration matters: Combining socio-cultural and biophysical methods for mapping ecosystem service bundles — https://doi.org/10.1007/s13280-023-01830-7</w:t>
      </w:r>
    </w:p>
    <w:p>
      <w:pPr/>
      <w:r>
        <w:rPr>
          <w:b/>
        </w:rPr>
        <w:t>Shared claim-specific concepts:</w:t>
      </w:r>
      <w:r>
        <w:t xml:space="preserve"> biophysical, two, management, sustainable; EU scope visible. This is a provisional connection, not an outcome finding.</w:t>
      </w:r>
    </w:p>
    <w:p>
      <w:pPr>
        <w:pStyle w:val="SourceNote"/>
      </w:pPr>
      <w:r>
        <w:rPr>
          <w:b/>
        </w:rPr>
        <w:t>Available abstract (not full text):</w:t>
      </w:r>
      <w:r>
        <w:t xml:space="preserve"> Ecosystem services (ESs) play an important role in sustainable landscape management. People value ESs in diverse ways encompassing social and ecological domains and we need to bring these different values together. We used social-cultural and biophysical methods to map a diverse set of ESs at two spatial scales in a UNESCO Biosphere Reserve in Norway. The ESs bundled into three distinct social-ecological system archetypes which were similar in their distribution and relative ES values at both spatial scales. The bundles were also well matched to relative ESs values of the Biosphere Reserve zones (core, buffer, and transition) indicating that the bundles capture the social-ecological systems of the zones. We argue that it is important to consider the social-ecological context of the zones to provide sufficient knowledge to inform management. Our work has the capacity to contribute to sustainable land management that takes biocultural values into consideration.</w:t>
      </w:r>
    </w:p>
    <w:p>
      <w:pPr/>
      <w:r>
        <w:rPr>
          <w:b/>
        </w:rPr>
        <w:t>POSSIBLE 2023:</w:t>
      </w:r>
      <w:r>
        <w:t xml:space="preserve"> Working in (Slow) Progress: Socio-Environmental and Economic Dynamics in the Forestry Sector and the Contribution to Sustainable Development in Europe — https://doi.org/10.3390/su151310271</w:t>
      </w:r>
    </w:p>
    <w:p>
      <w:pPr/>
      <w:r>
        <w:rPr>
          <w:b/>
        </w:rPr>
        <w:t>Shared claim-specific concepts:</w:t>
      </w:r>
      <w:r>
        <w:t xml:space="preserve"> management, same, practices, sustainable; EU scope visible. This is a provisional connection, not an outcome finding.</w:t>
      </w:r>
    </w:p>
    <w:p>
      <w:pPr>
        <w:pStyle w:val="SourceNote"/>
      </w:pPr>
      <w:r>
        <w:rPr>
          <w:b/>
        </w:rPr>
        <w:t>Available abstract (not full text):</w:t>
      </w:r>
      <w:r>
        <w:t xml:space="preserve">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pPr/>
      <w:r>
        <w:rPr>
          <w:b/>
        </w:rPr>
        <w:t>POSSIBLE 2023:</w:t>
      </w:r>
      <w:r>
        <w:t xml:space="preserve"> Detecting the socio-economic drivers of confidence in government with eXplainable Artificial Intelligence — https://doi.org/10.1038/s41598-023-28020-5</w:t>
      </w:r>
    </w:p>
    <w:p>
      <w:pPr/>
      <w:r>
        <w:rPr>
          <w:b/>
        </w:rPr>
        <w:t>Shared claim-specific concepts:</w:t>
      </w:r>
      <w:r>
        <w:t xml:space="preserve"> socio-economic, drivers, two, quantitative, factors, positive; EU scope visible. This is a provisional connection, not an outcome finding.</w:t>
      </w:r>
    </w:p>
    <w:p>
      <w:pPr>
        <w:pStyle w:val="SourceNote"/>
      </w:pPr>
      <w:r>
        <w:rPr>
          <w:b/>
        </w:rPr>
        <w:t>Available abstract (not full text):</w:t>
      </w:r>
      <w:r>
        <w:t xml:space="preserve"> The European Quality of Government Index (EQI) measures the perceived level of government quality by European Union citizens, combining surveys on corruption, impartiality and quality of provided services. It is, thus, an index based on individual subjective evaluations. Understanding the most relevant objective factors affecting the EQI outcomes is important for both evaluators and policy makers, especially in view of the fact that perception of government integrity contributes to determine the level of civic engagement. In our research, we employ methods of Artificial Intelligence and complex systems physics to measure the impact on the perceived government quality of multifaceted variables, describing territorial development and citizen well-being, from an economic, social and environmental viewpoint. Our study, focused on a set of regions in European Union at a subnational scale, leads to identifying the territorial and demographic drivers of citizens' confidence in government institutions. In particular, we find that the 2021 EQI values are significantly related to two indicators: the first one is the difference between female and male labour participation rates, and the second one is a proxy of wealth and welfare such as the average number of rooms per inhabitant. This result corroborates the idea of a central role played by labour gender equity and housing policies in go</w:t>
      </w:r>
    </w:p>
    <w:p>
      <w:pPr/>
      <w:r>
        <w:rPr>
          <w:b/>
        </w:rPr>
        <w:t>POSSIBLE 2022:</w:t>
      </w:r>
      <w:r>
        <w:t xml:space="preserve"> Innovating European Long-Term Care Policies through the Socio-Economic Support of Families: A Lesson from Practices — https://doi.org/10.3390/su14074097</w:t>
      </w:r>
    </w:p>
    <w:p>
      <w:pPr/>
      <w:r>
        <w:rPr>
          <w:b/>
        </w:rPr>
        <w:t>Shared claim-specific concepts:</w:t>
      </w:r>
      <w:r>
        <w:t xml:space="preserve"> socio-economic, drivers, two, practices, sustainable; EU scope visible. This is a provisional connection, not an outcome finding.</w:t>
      </w:r>
    </w:p>
    <w:p>
      <w:pPr>
        <w:pStyle w:val="SourceNote"/>
      </w:pPr>
      <w:r>
        <w:rPr>
          <w:b/>
        </w:rPr>
        <w:t>Available abstract (not full text):</w:t>
      </w:r>
      <w:r>
        <w:t xml:space="preserve"> LTC and socio-economic deprivation of families are two relevant issues in international debate. The economic or time investment made by families in caregiving has an impact on the socio-economic status of family members in terms of economic means and social inclusion. This study analyzes the practices that are supported by home LTC, examining their characteristics, identifying their strengths, weaknesses, drivers, and barriers, as well as identifying social innovation aspects. The study provides a qualitative interpretative comparison of 22 practices from eight countries, representing the four LTC care models existing in Europe. Cross-studies aid in the development of sustainable policies. The study highlights the differences and similarities between selected practices. The results indicate the effectiveness of integrative and coordination strategies at the macro, meso, and micro levels for the development of supportive policies for family members with burdens of care. Nevertheless, the results underline the lack of a genuine focus on families’ socio-economic support for providing care. The partial support provided by compensatory cash benefits or unpaid care leave schemes partially addresses the difficulties of familial burden of care. The study recommends that fair economic compensation and social security benefits be incorporated into innovative and sustainable strategies fo</w:t>
      </w:r>
    </w:p>
    <w:p>
      <w:pPr/>
      <w:r>
        <w:rPr>
          <w:b/>
        </w:rPr>
        <w:t>POSSIBLE 2022:</w:t>
      </w:r>
      <w:r>
        <w:t xml:space="preserve"> Windstorm Impacts on Forest-Related Socio-Ecological Systems: An Analysis from a Socio-Economic and Institutional Perspective — https://doi.org/10.3390/f13060939</w:t>
      </w:r>
    </w:p>
    <w:p>
      <w:pPr/>
      <w:r>
        <w:rPr>
          <w:b/>
        </w:rPr>
        <w:t>Shared claim-specific concepts:</w:t>
      </w:r>
      <w:r>
        <w:t xml:space="preserve"> analyzed, socio-economic, drivers, positive, sustainable; EU scope visible. This is a provisional connection, not an outcome finding.</w:t>
      </w:r>
    </w:p>
    <w:p>
      <w:pPr>
        <w:pStyle w:val="SourceNote"/>
      </w:pPr>
      <w:r>
        <w:rPr>
          <w:b/>
        </w:rPr>
        <w:t>Available abstract (not full text):</w:t>
      </w:r>
      <w:r>
        <w:t xml:space="preserve"> Windstorms are considered among the most impacting natural events for European forests and related Socio-Ecological Systems (SES). Given that their intensity and frequency are increasing, an in-depth understanding of their impacts is crucial to mitigate risks and potential negative effects. However, so far, scientific research on windstorm impacts has mainly focused on environmental dimensions, while socio-economic and institutional ones are rarely taken into consideration. Our analysis aims at enriching the current scientific knowledge on windstorm impacts on forest SES by providing an overview of the state-of-the-art academic investigations on windstorm impacts on socio-economic and institutional dimensions. Overall, 46 papers were reviewed to identify the most recurrent post-windstorm dynamics and drivers that influence resilience and adaptation of socio-economic, institutional and related governance dimensions of European forest SES. Results show that the current scientific knowledge on socio-economic impacts of windstorms mainly concentrates on forest-related stakeholders and sectors, paying little attention to the broader social, cultural and institutional drivers that contribute to forest SES resilience. Further, cascade effects linking environmental, social and institutional dimensions are poorly analyzed. This restricted focus could lead to an incomplete understanding </w:t>
      </w:r>
    </w:p>
    <w:p>
      <w:pPr>
        <w:pStyle w:val="Heading2"/>
      </w:pPr>
      <w:r>
        <w:t>802.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r>
        <w:rPr>
          <w:b/>
        </w:rPr>
        <w:t>POSSIBLE 2024:</w:t>
      </w:r>
      <w:r>
        <w:t xml:space="preserve"> Reversal of Projected European Summer Precipitation Decline in a Stabilizing Climate — https://doi.org/10.1029/2023gl107448</w:t>
      </w:r>
    </w:p>
    <w:p>
      <w:pPr/>
      <w:r>
        <w:rPr>
          <w:b/>
        </w:rPr>
        <w:t>Shared claim-specific concepts:</w:t>
      </w:r>
      <w:r>
        <w:t xml:space="preserve"> abstract, projections, precipitation, over, climate; EU scope visible. This is a provisional connection, not an outcome finding.</w:t>
      </w:r>
    </w:p>
    <w:p>
      <w:pPr>
        <w:pStyle w:val="SourceNote"/>
      </w:pPr>
      <w:r>
        <w:rPr>
          <w:b/>
        </w:rPr>
        <w:t>Available abstract (not full text):</w:t>
      </w:r>
      <w:r>
        <w:t xml:space="preserve">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pPr/>
      <w:r>
        <w:rPr>
          <w:b/>
        </w:rPr>
        <w:t>POSSIBLE 2023:</w:t>
      </w:r>
      <w:r>
        <w:t xml:space="preserve"> Historical assessment and future projection of extreme precipitation in CMIP6 models: Global and continental — https://doi.org/10.1002/joc.8077</w:t>
      </w:r>
    </w:p>
    <w:p>
      <w:pPr/>
      <w:r>
        <w:rPr>
          <w:b/>
        </w:rPr>
        <w:t>Shared claim-specific concepts:</w:t>
      </w:r>
      <w:r>
        <w:t xml:space="preserve"> abstract, precipitation, over, ensemble, climate, pathway; EU scope visible. This is a provisional connection, not an outcome finding.</w:t>
      </w:r>
    </w:p>
    <w:p>
      <w:pPr>
        <w:pStyle w:val="SourceNote"/>
      </w:pPr>
      <w:r>
        <w:rPr>
          <w:b/>
        </w:rPr>
        <w:t>Available abstract (not full text):</w:t>
      </w:r>
      <w:r>
        <w:t xml:space="preserve"> Abstract In this study, the new gridded daily precipitation dataset REGEN (Rainfall Estimates on a Gridded Network) was used to verify the performance of 23 global climate models participating in the 6th phase of the Coupled Model Intercomparison Project (CMIP6) in terms of extreme precipitation over global and continents during 1950–2014. Projected changes were also evaluated using CMIP6 multi‐model ensemble (MME) under different Shared Socioeconomic Pathway (SSP) by the end of the 21st century. Although positive biases exist in the climatology of most extreme precipitation indices simulated by the CMIP6 MME compared with observations, most of the CMIP6 models can reproduce the spatial distribution characteristics and temporal evolution trends of global extreme precipitation. The simulation is improved by using the CMIP6 MME, relative to the results from individual models. The projected results showed that in most regions of the world, extreme precipitation will significantly increase in the future, with more significant increase under higher SSPs. By the end of the 21st century, total precipitation of wet days (PRCPTOT), simple daily intensity (SDII), the number of very heavy rain days (R20mm), maximum 1‐day precipitation (Rx1day) and maximum consecutive 5‐day precipitation (Rx5day) over the global will increase by up to 50%, 20%, 70%, 50% and 50%, respectively, under the SSP</w:t>
      </w:r>
    </w:p>
    <w:p>
      <w:pPr/>
      <w:r>
        <w:rPr>
          <w:b/>
        </w:rPr>
        <w:t>POSSIBLE 2023:</w:t>
      </w:r>
      <w:r>
        <w:t xml:space="preserve"> An assessment of CMIP6 climate signals and biases in temperature, precipitation and soil moisture over Europe — https://doi.org/10.1002/joc.8169</w:t>
      </w:r>
    </w:p>
    <w:p>
      <w:pPr/>
      <w:r>
        <w:rPr>
          <w:b/>
        </w:rPr>
        <w:t>Shared claim-specific concepts:</w:t>
      </w:r>
      <w:r>
        <w:t xml:space="preserve"> abstract, projections, precipitation, over, ensemble, regional; EU scope visible. This is a provisional connection, not an outcome finding.</w:t>
      </w:r>
    </w:p>
    <w:p>
      <w:pPr>
        <w:pStyle w:val="SourceNote"/>
      </w:pPr>
      <w:r>
        <w:rPr>
          <w:b/>
        </w:rPr>
        <w:t>Available abstract (not full text):</w:t>
      </w:r>
      <w:r>
        <w:t xml:space="preserve"> Abstract The CMIP6 projections constitute the basis of our latest understanding of the climate response to anthropogenic forcing. However, there is still considerable uncertainty in the projections, especially at the regional scale. One way to constrain the uncertainty is by comparing the models historical climate change signals against observations and investigate the physical reasons for divergences. Here, we assess the signal‐to‐noise ratio (S/N) of surface air temperature (SAT), precipitation (PREC) and soil moisture (SM) over Europe for a set of CMIP6 historical simulations and compare them against the E‐OBS observational product and the ERA5 reanalysis. We found considerable divergences between the CMIP6 ensemble mean S/N and that of E‐OBS and ERA5, as well as between ERA5 and E‐OBS. The latter indicates that the S/N is affected by data coverage. We show that the differences among model signals are associated with different atmospheric circulation responses. We also investigate the potential relationships between the models' signals and climatological biases, and we found evidence that the models with a warm climatological bias in southern Europe tend to have smaller SAT signals (warm less). Finally, we found no apparent relationship between SM biases and the warming signal, suggesting that the mechanism by which SM–atmosphere interactions affect climate variability does </w:t>
      </w:r>
    </w:p>
    <w:p>
      <w:pPr/>
      <w:r>
        <w:rPr>
          <w:b/>
        </w:rPr>
        <w:t>POSSIBLE 2022:</w:t>
      </w:r>
      <w:r>
        <w:t xml:space="preserve"> The Role of the North Atlantic Oscillation for Projections of Winter Mean Precipitation in Europe — https://doi.org/10.1029/2022gl099083</w:t>
      </w:r>
    </w:p>
    <w:p>
      <w:pPr/>
      <w:r>
        <w:rPr>
          <w:b/>
        </w:rPr>
        <w:t>Shared claim-specific concepts:</w:t>
      </w:r>
      <w:r>
        <w:t xml:space="preserve"> abstract, projections, precipitation, extremes, multimodel, ensemble; EU scope visible. This is a provisional connection, not an outcome finding.</w:t>
      </w:r>
    </w:p>
    <w:p>
      <w:pPr>
        <w:pStyle w:val="SourceNote"/>
      </w:pPr>
      <w:r>
        <w:rPr>
          <w:b/>
        </w:rPr>
        <w:t>Available abstract (not full text):</w:t>
      </w:r>
      <w:r>
        <w:t xml:space="preserve"> Abstract Climate models generally project an increase in the winter North Atlantic Oscillation (NAO) index under a future high‐emissions scenario, alongside an increase in winter precipitation in northern Europe and a decrease in southern Europe. The extent to which future forced NAO trends are important for European winter precipitation trends and their uncertainty remains unclear. We show using the Multimodel Large Ensemble Archive that the NAO plays a small role in northern European mean winter precipitation projections for 2080–2099. Conversely, half of the model uncertainty in southern European mean winter precipitation projections is potentially reducible through improved understanding of the NAO projections. Extreme positive NAO winters increase in frequency in most models as a consequence of mean NAO changes. These extremes also have more severe future precipitation impacts, largely because of mean precipitation changes. This has implications for future resilience to extreme positive NAO winters, which frequently have severe societal impacts.</w:t>
      </w:r>
    </w:p>
    <w:p>
      <w:pPr/>
      <w:r>
        <w:rPr>
          <w:b/>
        </w:rPr>
        <w:t>POSSIBLE 2022:</w:t>
      </w:r>
      <w:r>
        <w:t xml:space="preserve"> Changes in temperature–precipitation correlations over Europe: are climate models reliable? — https://doi.org/10.1007/s00382-022-06436-5</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pPr/>
      <w:r>
        <w:rPr>
          <w:b/>
        </w:rPr>
        <w:t>POSSIBLE 2022:</w:t>
      </w:r>
      <w:r>
        <w:t xml:space="preserve"> Consistency of Seasonal Mean and Extreme Precipitation Projections Over Europe Across a Range of Climate Model Ensembles — https://doi.org/10.1029/2022jd037845</w:t>
      </w:r>
    </w:p>
    <w:p>
      <w:pPr/>
      <w:r>
        <w:rPr>
          <w:b/>
        </w:rPr>
        <w:t>Shared claim-specific concepts:</w:t>
      </w:r>
      <w:r>
        <w:t xml:space="preserve"> projections, precipitation, extremes, over, ensemble, resolution; EU scope visible. This is a provisional connection, not an outcome finding.</w:t>
      </w:r>
    </w:p>
    <w:p>
      <w:pPr>
        <w:pStyle w:val="SourceNote"/>
      </w:pPr>
      <w:r>
        <w:rPr>
          <w:b/>
        </w:rPr>
        <w:t>Available abstract (not full text):</w:t>
      </w:r>
      <w:r>
        <w:t xml:space="preserve"> Uncertainties of regional precipitation projections are substantial, and users of such projections face the so-called practitioners dilemma: a plethora of projections with different models from different ensembles of different types and generations are available. But the consistency of these projections has not been systematically assessed, such that no clear guidance about the use of these ensembles exists. Therefore, we systematically compare, separately for each season, projections of mean precipitation and extremes of daily precipitation over Europe across a wide range of climate model ensembles. We specifically consider the global climate model ensembles CMIP3, CMIP5, Coupled Model Intercomparison Project Phase 6 (CMIP6), and HighresMIP as well as the regional climate model ensembles ENSEMBLES and EURO-CORDEX. All considered ensembles agree in their large-scale patterns of changes for both mean and extreme daily precipitation, but at the regional scale, substantial discrepancies and inconsistencies are evident. Within and across ensemble spread is strongest in summer, in particular for the drying trend over the Mediterranean and Eastern Europe. CMIP5 and CMIP6 are broadly consistent. The regional climate model (RCM) ensembles modify the signals of the driving global climate models indicating potential added value. The high resolution of the RCM and HighresMIP ensembles see</w:t>
      </w:r>
    </w:p>
    <w:p>
      <w:pPr/>
      <w:r>
        <w:rPr>
          <w:b/>
        </w:rPr>
        <w:t>POSSIBLE 2022:</w:t>
      </w:r>
      <w:r>
        <w:t xml:space="preserve"> Constraining extreme precipitation projections using past precipitation variability — https://doi.org/10.1038/s41467-022-34006-0</w:t>
      </w:r>
    </w:p>
    <w:p>
      <w:pPr/>
      <w:r>
        <w:rPr>
          <w:b/>
        </w:rPr>
        <w:t>Shared claim-specific concepts:</w:t>
      </w:r>
      <w:r>
        <w:t xml:space="preserve"> projections, precipitation, extremes, over, climate; EU scope not established. This is a provisional connection, not an outcome finding.</w:t>
      </w:r>
    </w:p>
    <w:p>
      <w:pPr>
        <w:pStyle w:val="SourceNote"/>
      </w:pPr>
      <w:r>
        <w:rPr>
          <w:b/>
        </w:rPr>
        <w:t>Available abstract (not full text):</w:t>
      </w:r>
      <w:r>
        <w:t xml:space="preserve"> Projected changes of future precipitation extremes exhibit substantial uncertainties among climate models, posing grand challenges to climate actions and adaptation planning. Practical methods for narrowing the projection uncertainty remain elusive. Here, using large model ensembles, we show that the uncertainty in projections of future extratropical extreme precipitation is significantly correlated with the model representations of present-day precipitation variability. Models with weaker present-day precipitation variability tend to project larger increases in extreme precipitation occurrences under a given global warming increment. This relationship can be explained statistically using idealized distributions for precipitation. This emergent relationship provides a powerful constraint on future projections of extreme precipitation from observed present-day precipitation variability, which reduces projection uncertainty by 20-40% over extratropical regions. Because of the widespread impacts of extreme precipitation, this has not only provided useful insights into understanding uncertainties in current model projections, but is also expected to bring potential socio-economic benefits in climate change adaptation planning.</w:t>
      </w:r>
    </w:p>
    <w:p>
      <w:pPr>
        <w:pStyle w:val="Heading2"/>
      </w:pPr>
      <w:r>
        <w:t>803.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2024:</w:t>
      </w:r>
      <w:r>
        <w:t xml:space="preserve"> Teaching-Track Economists in the United Kingdom — https://doi.org/10.1257/pandp.20241034</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In this companion paper to Arico et al (2024), we use a mixed-methods approach to characterize teaching-track faculty positions in the United Kingdom. We find these roles are more prevalent in the United Kingdom compared to the United States or Canada, and notably more oriented toward scholarship and administration duties. A high value is placed by role holders on the existence of formal networks that connect teaching-track economists across universities. We provide some context to help understand these findings, which will be relevant for academics considering these roles as well as department and university leaders.</w:t>
      </w:r>
    </w:p>
    <w:p>
      <w:pPr/>
      <w:r>
        <w:rPr>
          <w:b/>
        </w:rPr>
        <w:t>POSSIBLE 2023:</w:t>
      </w:r>
      <w:r>
        <w:t xml:space="preserve"> FORWARD Study of GORE VIABAHN Balloon-Expandable Endoprostheses and Bare Metal Stents in the United States, European Union, United Kingdom, Australia, and New Zealand When Placed to Treat Complex Iliac Occlusive Disease: Protocol for a Randomized Superiority Trial — https://doi.org/10.2196/51480</w:t>
      </w:r>
    </w:p>
    <w:p>
      <w:pPr/>
      <w:r>
        <w:rPr>
          <w:b/>
        </w:rPr>
        <w:t>Shared claim-specific concepts:</w:t>
      </w:r>
      <w:r>
        <w:t xml:space="preserve"> united, kingdom, placed, baseline; EU scope visible. This is a provisional connection, not an outcome finding.</w:t>
      </w:r>
    </w:p>
    <w:p>
      <w:pPr>
        <w:pStyle w:val="SourceNote"/>
      </w:pPr>
      <w:r>
        <w:rPr>
          <w:b/>
        </w:rPr>
        <w:t>Available abstract (not full text):</w:t>
      </w:r>
      <w:r>
        <w:t xml:space="preserve"> BACKGROUND: The recommendations for the use of and selection of covered stent grafts in patients with aortoiliac occlusive disease are limited. OBJECTIVE: The GORE VBX FORWARD clinical study aims to demonstrate the superiority of the GORE VIABAHN VBX Balloon Expandable Endoprosthesis (VBX device) for primary patency when compared to bare metal stenting (BMS) for the treatment of complex iliac artery occlusive disease. METHODS: A prospective, multicenter, randomized control study in the United States, European Union, United Kingdom, Australia, and New Zealand will enroll patients with symptomatic, complex iliac artery occlusive disease. In this study, iliac artery occlusive disease is defined as a unilateral or bilateral disease with single or multiple lesions (with &gt;50% stenosis or chronic total occlusion) each between 4 and 11 cm in length. In an attempt to more closely match real-world practices, patients with minor tissue loss (Rutherford class 5) and patients requiring hemodialysis will be included. Baseline aortoiliac angiography will be performed to assess target lesion characteristics and determine final patient eligibility. Once the patient is confirmed and guidewires are in place across the target lesions, the patient will be randomized in a 1:1 format to treatment with either the VBX device or a BMS. The BMS can be balloon- or self-expanding and must be approved for t</w:t>
      </w:r>
    </w:p>
    <w:p>
      <w:pPr/>
      <w:r>
        <w:rPr>
          <w:b/>
        </w:rPr>
        <w:t>POSSIBLE 2023:</w:t>
      </w:r>
      <w:r>
        <w:t xml:space="preserve"> Hybrid warfare management of the United Kingdom — https://doi.org/10.5937/nabepo28-43140</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The United Kingdom achieves national security by acting in accordance with the Fusion Doctrine, as a new approach to national security that should ensure the integration of all resources of national power. The Fusion Doctrine was officially accepted in 2021 within the new national security strategy. The new strategy integrated defence, security and foreign policies into a single act which reflects the Fusion Doctrine in the best manner. The new approach to security led to organizational changes of the entire state administration system, as well as within individual departments. Special emphasis was placed on the efficient coordination of the complex state apparatus.</w:t>
      </w:r>
    </w:p>
    <w:p>
      <w:pPr/>
      <w:r>
        <w:rPr>
          <w:b/>
        </w:rPr>
        <w:t>POSSIBLE 2023:</w:t>
      </w:r>
      <w:r>
        <w:t xml:space="preserve"> United Kingdom — https://doi.org/10.5089/9798400248627.002</w:t>
      </w:r>
    </w:p>
    <w:p>
      <w:pPr/>
      <w:r>
        <w:rPr>
          <w:b/>
        </w:rPr>
        <w:t>Shared claim-specific concepts:</w:t>
      </w:r>
      <w:r>
        <w:t xml:space="preserve"> united, kingdom, transition, against; EU scope not established. This is a provisional connection, not an outcome finding.</w:t>
      </w:r>
    </w:p>
    <w:p>
      <w:pPr>
        <w:pStyle w:val="SourceNote"/>
      </w:pPr>
      <w:r>
        <w:rPr>
          <w:b/>
        </w:rPr>
        <w:t>Available abstract (not full text):</w:t>
      </w:r>
      <w:r>
        <w:t xml:space="preserve"> The 2023 Article IV Consultation with the United Kingdom discusses that market stress following the September 2022 “mini-budget” has dissipated, in the context of a successful financial stability intervention by the Bank of England (BoE) and two prudent budgets. The post-pandemic recovery was disrupted by the sharp energy price shock due to Russia’s war in Ukraine; labor force participation has declined, mainly because of rising long-term illness; and large policy rate increases—needed to arrest high and sticky inflation—have tightened financial conditions. The overarching policy objectives are price and financial stability, while reforming the fiscal and financial frameworks, and boosting sustainable, medium-term growth. Monetary Policy will need to be tightened further to arrest inflationary pressures, which have shown greater-than-expected persistence, and durably bring inflation to the 2 percent target. Fiscal Policy should remain aligned with monetary policy in the fight against inflation and account for very significant medium-term pressures related to service delivery (especially healthcare), and needed investments in skills, innovation, infrastructure, and the green transition.</w:t>
      </w:r>
    </w:p>
    <w:p>
      <w:pPr/>
      <w:r>
        <w:rPr>
          <w:b/>
        </w:rPr>
        <w:t>POSSIBLE 2023:</w:t>
      </w:r>
      <w:r>
        <w:t xml:space="preserve"> Carbon footprint of low-energy buildings in the United Kingdom: Effects of mitigating technological pathways and decarbonization strategies — https://doi.org/10.1016/j.scitotenv.2023.163490</w:t>
      </w:r>
    </w:p>
    <w:p>
      <w:pPr/>
      <w:r>
        <w:rPr>
          <w:b/>
        </w:rPr>
        <w:t>Shared claim-specific concepts:</w:t>
      </w:r>
      <w:r>
        <w:t xml:space="preserve"> united, kingdom, greenhouse, gas, emissions, baseline; EU scope not established. This is a provisional connection, not an outcome finding.</w:t>
      </w:r>
    </w:p>
    <w:p>
      <w:pPr>
        <w:pStyle w:val="SourceNote"/>
      </w:pPr>
      <w:r>
        <w:rPr>
          <w:b/>
        </w:rPr>
        <w:t>Available abstract (not full text):</w:t>
      </w:r>
      <w:r>
        <w:t xml:space="preserve"> There is a limited comprehensive analysis of the effectiveness of adopted carbon mitigation strategies for buildings over their life cycle, that are concerned with temporal perspectives of emissions. Accordingly, this paper explores a life cycle assessment (LCA) to address the concerns regarding mitigating the carbon footprint of a UK timber-frame low-energy dwelling. In particular, it aims to investigate the potential greenhouse gas (GHG) emission reduction in terms of three different heating and ventilation options, and to analyze the influence of decarbonization of electricity production as well as the technological progress of the waste treatment of timber on the building's environmental performance. Thus, the whole life‑carbon of the building case studies was evaluated for a total of eight investigated prospective scenarios, and they were compared to the LCA results of the baseline scenario, where the existing technology and context remained constant over time. Results show that using a compact heat pump would lead to a significant whole life-cycle emission reduction of the dwelling, by 19 %; while GHG emission savings can be reinforced if the assessed systems are employed simultaneously with grid decarbonization, exhibiting a 25 %-60 % reduction compared to the baseline scenario. Moreover, technological changes in the waste treatments of timber products could substantiall</w:t>
      </w:r>
    </w:p>
    <w:p>
      <w:pPr/>
      <w:r>
        <w:rPr>
          <w:b/>
        </w:rPr>
        <w:t>POSSIBLE 2023:</w:t>
      </w:r>
      <w:r>
        <w:t xml:space="preserve"> Determinants of public preferences on low-carbon energy sources: Evidence from the United Kingdom — https://doi.org/10.1016/j.energy.2023.128704</w:t>
      </w:r>
    </w:p>
    <w:p>
      <w:pPr/>
      <w:r>
        <w:rPr>
          <w:b/>
        </w:rPr>
        <w:t>Shared claim-specific concepts:</w:t>
      </w:r>
      <w:r>
        <w:t xml:space="preserve"> united, kingdom, low-carbon;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The United Kingdom — https://doi.org/10.1093/oso/9780192855534.003.0006</w:t>
      </w:r>
    </w:p>
    <w:p>
      <w:pPr/>
      <w:r>
        <w:rPr>
          <w:b/>
        </w:rPr>
        <w:t>Shared claim-specific concepts:</w:t>
      </w:r>
      <w:r>
        <w:t xml:space="preserve"> united, kingdom, itself, provided, within; EU scope visible. This is a provisional connection, not an outcome finding.</w:t>
      </w:r>
    </w:p>
    <w:p>
      <w:pPr>
        <w:pStyle w:val="SourceNote"/>
      </w:pPr>
      <w:r>
        <w:rPr>
          <w:b/>
        </w:rPr>
        <w:t>Available abstract (not full text):</w:t>
      </w:r>
      <w:r>
        <w:t xml:space="preserve"> Abstract This chapter examines the British policy towards the North Atlantic Alliance. The United Kingdom has always been unambiguous in its position on NATO. London helped to establish the Alliance in 1949 and ever since has striven to be its most important European ally. In consequence, the United Kingdom has provided a significant material contribution to NATO missions and command and sees itself as at the forefront of debates on NATO strategy and purpose. With rare exception (the case of Scottish nationalism), NATO membership is beyond question in domestic politics—and the Alliance has never obtained the same controversial status as the European Union. UK foreign and defence policies retain pretensions towards global influence, evidenced in the 2021 Integrated Review of Security, Defence, Development and Foreign Policy. High standing within NATO is one means by which that influence is to be exercised. The United Kingdom has also traditionally seen NATO as an essential bridge in its relationship with the United States, and this is even more so after Brexit. For London, transatlanticism is key to the Alliance, but this has, at times, created tensions with Paris and occasionally with Berlin. Overall, the chapter portrays the United Kingdom as being amongst NATO’s most stalwart and reliable allies and predicts that this is likely to remain so for the foreseeable future.</w:t>
      </w:r>
    </w:p>
    <w:p>
      <w:pPr/>
      <w:r>
        <w:rPr>
          <w:b/>
        </w:rPr>
        <w:t>POSSIBLE 2022:</w:t>
      </w:r>
      <w:r>
        <w:t xml:space="preserve"> Can nuclear energy technology budgets pave the way for a transition toward low‐carbon economy: Insights from the United Kingdom — https://doi.org/10.1002/sd.2383</w:t>
      </w:r>
    </w:p>
    <w:p>
      <w:pPr/>
      <w:r>
        <w:rPr>
          <w:b/>
        </w:rPr>
        <w:t>Shared claim-specific concepts:</w:t>
      </w:r>
      <w:r>
        <w:t xml:space="preserve"> united, kingdom, transition, economy; EU scope not established. This is a provisional connection, not an outcome finding.</w:t>
      </w:r>
    </w:p>
    <w:p>
      <w:pPr>
        <w:pStyle w:val="SourceNote"/>
      </w:pPr>
      <w:r>
        <w:rPr>
          <w:b/>
        </w:rPr>
        <w:t>Available abstract (not full text):</w:t>
      </w:r>
      <w:r>
        <w:t xml:space="preserve"> Abstract The energy resources of the economies play a critical role in reaching the 2030 and 2050 decarbonization targets. In this respect, research and development budgets for nuclear energy (NRD), which constitutes one‐fifth of the current energy resources in the United Kingdom, can be a step in the transition to a low‐carbon economy. However, the current literature neglects the impact of NRD on environmental quality for the United Kingdom. Thus, this paper explores the impact of NRD on CO2 in the United Kingdom by controlling income, trade openness, and financial development from 1974 to 2020 with a non‐linear autoregressive distributed lag (NARDL) approach. Empirical findings confirm the asymmetrical relationship between NRD and CO2. In this context, while positive changes in NRD reduce environmental degradation, negative changes in NRD hinder environmental sustainability. Another finding is that the environmental Kuznets curve (EKC) hypothesis is valid. Furthermore, the results show that while economic growth and trade openness reduce environmental quality, financial development contributes to environmental quality. Considering these findings, financial deepening activities should continue in the United Kingdom. More resources should be allocated to nuclear energy research and development budgets in the transition to a low‐carbon economy.</w:t>
      </w:r>
    </w:p>
    <w:p>
      <w:pPr/>
      <w:r>
        <w:rPr>
          <w:b/>
        </w:rPr>
        <w:t>POSSIBLE 2022:</w:t>
      </w:r>
      <w:r>
        <w:t xml:space="preserve"> Energy requirements and carbon emissions for a low-carbon energy transition — https://doi.org/10.1038/s41467-022-33976-5</w:t>
      </w:r>
    </w:p>
    <w:p>
      <w:pPr/>
      <w:r>
        <w:rPr>
          <w:b/>
        </w:rPr>
        <w:t>Shared claim-specific concepts:</w:t>
      </w:r>
      <w:r>
        <w:t xml:space="preserve"> itself, transition, low-carbon, society, emissions; EU scope not established. This is a provisional connection, not an outcome finding.</w:t>
      </w:r>
    </w:p>
    <w:p>
      <w:pPr>
        <w:pStyle w:val="SourceNote"/>
      </w:pPr>
      <w:r>
        <w:rPr>
          <w:b/>
        </w:rPr>
        <w:t>Available abstract (not full text):</w:t>
      </w:r>
      <w:r>
        <w:t xml:space="preserve"> Abstract Achieving the Paris Agreement will require massive deployment of low-carbon energy. However, constructing, operating, and maintaining a low-carbon energy system will itself require energy, with much of it derived from fossil fuels. This raises the concern that the transition may consume much of the energy available to society, and be a source of considerable emissions. Here we calculate the energy requirements and emissions associated with the global energy system in fourteen mitigation pathways compatible with 1.5 °C of warming. We find that the initial push for a transition is likely to cause a 10–34% decline in net energy available to society. Moreover, we find that the carbon emissions associated with the transition to a low-carbon energy system are substantial, ranging from 70 to 395 GtCO2 (with a cross-scenario average of 195 GtCO2). The share of carbon emissions for the energy system will increase from 10% today to 27% in 2050, and in some cases may take up all remaining emissions available to society under 1.5 °C pathways.</w:t>
      </w:r>
    </w:p>
    <w:p>
      <w:pPr>
        <w:pStyle w:val="Heading2"/>
      </w:pPr>
      <w:r>
        <w:t>804.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r>
        <w:rPr>
          <w:b/>
        </w:rPr>
        <w:t>POSSIBLE 2024:</w:t>
      </w:r>
      <w:r>
        <w:t xml:space="preserve"> A Focus Group Study on Participatory Practices in Early Childhood Education and Care Across Four European Countries — https://doi.org/10.1080/10409289.2024.2360868</w:t>
      </w:r>
    </w:p>
    <w:p>
      <w:pPr/>
      <w:r>
        <w:rPr>
          <w:b/>
        </w:rPr>
        <w:t>Shared claim-specific concepts:</w:t>
      </w:r>
      <w:r>
        <w:t xml:space="preserve"> four, regarding, practice, teachers; EU scope visible. This is a provisional connection, not an outcome finding.</w:t>
      </w:r>
    </w:p>
    <w:p>
      <w:pPr>
        <w:pStyle w:val="SourceNote"/>
      </w:pPr>
      <w:r>
        <w:rPr>
          <w:b/>
        </w:rPr>
        <w:t>Available abstract (not full text):</w:t>
      </w:r>
      <w:r>
        <w:t xml:space="preserve"> Participation in educational settings is a universal right of every child, consigned by the United Nations Convention on the Rights of the Child. This right encompasses the need to protect and encourage young children´s active participation and decision-making in early childhood education and care. Research Findings: This qualitative study, inspired by the Lundy model (2007), examined ECEC teachers’ (n = 25) and coordinators’ (n = 25) perceptions about participation practices, collected through focus groups conducted in Belgium, Greece, Poland, and Portugal. Participants were previously referred as implementing participatory practices. Results showed that the four dimensions of the Lundy model emerged in teachers’ and coordinators’ group discussions: Participative space, Children’s voice, Audience of children’s perspectives, and Influence. Furthermore, a number of subcategories in each dimension reflected different orientations toward participatory pedagogy. Practice or Policy: This study contributes to informing and inspiring participation practices in ECEC across Europe and to enriching policy discussions regarding children´s participation rights, particularly in the early years. Promising participatory practices were identified in the various dimensions of participation, though some challenges remain, requiring in-depth knowledge about pedagogical practices and the promotion</w:t>
      </w:r>
    </w:p>
    <w:p>
      <w:pPr/>
      <w:r>
        <w:rPr>
          <w:b/>
        </w:rPr>
        <w:t>POSSIBLE 2024:</w:t>
      </w:r>
      <w:r>
        <w:t xml:space="preserve"> Recommendations for the training and practice of fetal cardiology from the Association of European Paediatric Cardiology — https://doi.org/10.1017/s1047951124025885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Prenatal detection of cardiac abnormalities has increased significantly over the past few decades, such that fetal cardiology has developed into a sub-specialty of paediatric and congenital cardiology. As this speciality develops further and extends across Europe and more globally, it is important to standardize the requirements for training and subsequent practice, to optimize prenatal diagnosis and perinatal care. In addition to the knowledge and technical skills required to make a correct diagnosis, the counseling of families after diagnosis and the planning of appropriate perinatal management is equally important. The aim of these recommendations is to provide a framework for both basic and advanced training for paediatric cardiologists wishing to practice as fetal cardiologists, as well as highlighting requisites for a fetal cardiology service. All aspects regarding training in fetal cardiology and service provision are addressed including diagnosis, counseling and management.</w:t>
      </w:r>
    </w:p>
    <w:p>
      <w:pPr/>
      <w:r>
        <w:rPr>
          <w:b/>
        </w:rPr>
        <w:t>POSSIBLE 2023:</w:t>
      </w:r>
      <w:r>
        <w:t xml:space="preserve"> Team Chemistry and COVID in European Football — https://doi.org/10.2174/1875399x-v16-e230510-2022-37</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Objective: This research investigates the influence of team chemistry and COVID on football matches. Methods: This is done by estimating the effect of both chemistryand COVID on match results and analysing the performance of prediction models where both effects are included and threshold intervals are usedfor classification. Four different chemistry measures are introduced and all are evaluated. Results: Chemistry has the expected positive effect on performance only for the top teams in the estimations where interaction effects are included for two different chemistry measures. COVID has the expected mitigating effect on home advantage. The inclusion of both effects in prediction models does not increase prediction accuracy consistently, although for various symmetric threshold intervals the prediction models with chemistry and COVID included outperforming the baseline models. Conclusion: Chemistry can have a positive influence on the perfomrance of a team and empty stadiums due to COVID mitigate the effect of home advantage. Including COVID and chemistry measures based on region in predictions is highly recommended.</w:t>
      </w:r>
    </w:p>
    <w:p>
      <w:pPr/>
      <w:r>
        <w:rPr>
          <w:b/>
        </w:rPr>
        <w:t>POSSIBLE 2023:</w:t>
      </w:r>
      <w:r>
        <w:t xml:space="preserve"> Behavior Analysts’ Training and Practice Regarding Trauma-Informed Care — https://doi.org/10.1007/s40617-023-00836-7</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Reticular Chemistry for Highly Porous Metal–Organic Frameworks: The Chemistry and Applications — https://doi.org/10.1021/acs.accounts.1c00707</w:t>
      </w:r>
    </w:p>
    <w:p>
      <w:pPr/>
      <w:r>
        <w:rPr>
          <w:b/>
        </w:rPr>
        <w:t>Shared claim-specific concepts:</w:t>
      </w:r>
      <w:r>
        <w:t xml:space="preserve"> four, chemistry, developed, design, two, account; EU scope not established. This is a provisional connection, not an outcome finding.</w:t>
      </w:r>
    </w:p>
    <w:p>
      <w:pPr>
        <w:pStyle w:val="SourceNote"/>
      </w:pPr>
      <w:r>
        <w:rPr>
          <w:b/>
        </w:rPr>
        <w:t>Available abstract (not full text):</w:t>
      </w:r>
      <w:r>
        <w:t xml:space="preserve"> Conspectus Current global crises related to clean energy and the environment entail the development of materials that are capable of addressing these challenges. Metal–organic frameworks (MOFs), a class of functional materials assembled from metal-containing nodes and organic ligands via coordination bonds, have been successfully developed for various applications, including catalysis, toxic chemical removal, and gas storage and separation, as a result of their highly tailorable nature and precisely engineered pore structures. In particular, the exceptionally high surface areas and porosities of MOFs are two of their most attractive characteristics and place them among the best porous materials for the storage of clean energy gases, such as hydrogen and methane. Reticular chemistry stands out as a prominent approach to the design of MOFs as this strategy allows for the rational top-down design of frameworks guided by topological nets to afford extended framework structures with precise architectural arrangements at the molecular level. Bridging the gap between reticular chemistry design strategies and highly porous MOFs can facilitate the development of next-generation high-performance materials through state-of-the-art chemical design. In this Account, we summarize our group’s efforts over the past few years toward the synthesis and applications of highly porous MOFs inspired </w:t>
      </w:r>
    </w:p>
    <w:p>
      <w:pPr/>
      <w:r>
        <w:rPr>
          <w:b/>
        </w:rPr>
        <w:t>POSSIBLE 2022:</w:t>
      </w:r>
      <w:r>
        <w:t xml:space="preserve"> Police Training in Practice: Organization and Delivery According to European Law Enforcement Agencies — https://doi.org/10.3389/fpsyg.2021.798067</w:t>
      </w:r>
    </w:p>
    <w:p>
      <w:pPr/>
      <w:r>
        <w:rPr>
          <w:b/>
        </w:rPr>
        <w:t>Shared claim-specific concepts:</w:t>
      </w:r>
      <w:r>
        <w:t xml:space="preserve"> training, practice, two; EU scope visible. This is a provisional connection, not an outcome finding.</w:t>
      </w:r>
    </w:p>
    <w:p>
      <w:pPr>
        <w:pStyle w:val="SourceNote"/>
      </w:pPr>
      <w:r>
        <w:rPr>
          <w:b/>
        </w:rPr>
        <w:t>Available abstract (not full text):</w:t>
      </w:r>
      <w:r>
        <w:t xml:space="preserve"> Police training plays a crucial role in the development of police officers. Because the training of police officers combines various educational components and is governed by organizational guidelines, police training is a complex, multifaceted topic. The current study investigates training at six European law enforcement agencies and aims to identify strengths and challenges of current training organization and practice. We interviewed a total of 16 police instructors and seven police coordinators with conceptual training tasks. A thematic analysis (Braun and Clarke, 2006; Terry et al., 2017) was conducted and results organized in the two main themes evident across all six law enforcement agencies: organization of training and delivery of training. Results show that governmental structures and police executive boards are seen as the primary authorities that define the training framework in which police instructors operate. These administrative structures regulate distant and immediate resources, such as available training time, training facilities, equipment, and personnel. Within the confines of available resources and predetermined training frameworks, results indicate that police instructors thoroughly enjoy teaching, creating supportive and motivating learning environments, and applying their personal learning perspectives to training. Nonetheless, police instructors are c</w:t>
      </w:r>
    </w:p>
    <w:p>
      <w:pPr/>
      <w:r>
        <w:rPr>
          <w:b/>
        </w:rPr>
        <w:t>POSSIBLE 2021:</w:t>
      </w:r>
      <w:r>
        <w:t xml:space="preserve"> The cybersecurity labour shortage in Europe: Moving to a new concept for education and training — https://doi.org/10.1016/j.techsoc.2021.101769</w:t>
      </w:r>
    </w:p>
    <w:p>
      <w:pPr/>
      <w:r>
        <w:rPr>
          <w:b/>
        </w:rPr>
        <w:t>Shared claim-specific concepts:</w:t>
      </w:r>
      <w:r>
        <w:t xml:space="preserve"> training, taken, proposed, courses; EU scope visible. This is a provisional connection, not an outcome finding.</w:t>
      </w:r>
    </w:p>
    <w:p>
      <w:pPr>
        <w:pStyle w:val="SourceNote"/>
      </w:pPr>
      <w:r>
        <w:rPr>
          <w:b/>
        </w:rPr>
        <w:t>Available abstract (not full text):</w:t>
      </w:r>
      <w:r>
        <w:t xml:space="preserve"> Recruiting, retaining and maintaining sufficient numbers of cybersecurity professionals in the workplace is a constant battle, not only for the technical side of cybersecurity, but also for the overlooked area of non-technical, managerial-related jobs in the cyber sector. This paper addresses the lack of cybersecurity skills in the European labour force market and the actions taken to improve the education in cybersecurity for meeting the identified needs. The paper analyses what kind of topics are missing within the cybersecurity curricula of the high-level educational institutions in Europe and in the courses provided by the cybersecurity trainers on the market. The findings are based on the data collected by the surveys carried out by the European competence centres on cybersecurity and the European CyberSecurity organization. These findings show that there are missing topics in the context of higher education cybersecurity programmes and within the private courses offered on the market. The problem of common programme accreditation of European higher education institutes (HEI) and the competence certifications for different work profiles in the area of cybersecurity are briefly presented and discussed as well. The actions undertaken to improve the education in both sectors are presented and the emerging educational landscape is proposed based on our findings. Recommendation</w:t>
      </w:r>
    </w:p>
    <w:p>
      <w:pPr/>
      <w:r>
        <w:rPr>
          <w:b/>
        </w:rPr>
        <w:t>POSSIBLE 2021:</w:t>
      </w:r>
      <w:r>
        <w:t xml:space="preserve"> The Current Perceptions of Practicing Audiologists Regarding the State of Teleaudiology Education and Training — https://openalex.org/W3159985972</w:t>
      </w:r>
    </w:p>
    <w:p>
      <w:pPr/>
      <w:r>
        <w:rPr>
          <w:b/>
        </w:rPr>
        <w:t>Shared claim-specific concepts:</w:t>
      </w:r>
      <w:r>
        <w:t xml:space="preserve"> regarding, training, practice, developed, courses; EU scope not established. This is a provisional connection, not an outcome finding.</w:t>
      </w:r>
    </w:p>
    <w:p>
      <w:pPr>
        <w:pStyle w:val="SourceNote"/>
      </w:pPr>
      <w:r>
        <w:rPr>
          <w:b/>
        </w:rPr>
        <w:t>Available abstract (not full text):</w:t>
      </w:r>
      <w:r>
        <w:t xml:space="preserve"> Telemedicine is the practice of providing medical care remotely, when the patient and the clinician are not meeting face to face (Krumm &amp; Syms, 2012). The practice of telemedicine in audiology is teleaudiology. The purpose of the current study was to determine the current perceptions and experiences audiologists have about teleaudiology practices, education, and training. A 16-question survey was developed using Qualtrics and distributed to audiologists via various social media groups for audiologists online and it consisted of 16 questions. There were 352 respondents. Overall, a large percentage of audiologists do perform teleaudiology services, and most reported their training for teleaudiology was on the job or through workshops. The vast majority of participants (93%) reported that they felt there was a need for teleaudiology education and training, while only about 30% of respondents reported there was adequate teleaudiology education and training in their area. Results were further analyzed for the entire group as well as by various demographic factors such as years of experience, practice setting, etc. to see if those factors influenced responses. The results were highly consistent across subgroups such that the factors did not appear to influence the overall perceptions or practices of participants. The respondents had a chance to make additional comments at the end of </w:t>
      </w:r>
    </w:p>
    <w:p>
      <w:pPr/>
      <w:r>
        <w:rPr>
          <w:b/>
        </w:rPr>
        <w:t>POSSIBLE 2020:</w:t>
      </w:r>
      <w:r>
        <w:t xml:space="preserve"> European Stakeholder Learnings Regarding Biosimilars: Part II—Improving Biosimilar Use in Clinical Practice — https://doi.org/10.1007/s40259-020-00440-z</w:t>
      </w:r>
    </w:p>
    <w:p>
      <w:pPr/>
      <w:r>
        <w:rPr>
          <w:b/>
        </w:rPr>
        <w:t>Shared claim-specific concepts:</w:t>
      </w:r>
      <w:r>
        <w:t xml:space="preserve"> regarding, practice, proposed; EU scope visible. This is a provisional connection, not an outcome finding.</w:t>
      </w:r>
    </w:p>
    <w:p>
      <w:pPr>
        <w:pStyle w:val="SourceNote"/>
      </w:pPr>
      <w:r>
        <w:rPr>
          <w:b/>
        </w:rPr>
        <w:t>Available abstract (not full text):</w:t>
      </w:r>
      <w:r>
        <w:t xml:space="preserve"> BACKGROUND: Despite the benefits biosimilars offer in terms of cost savings and patient access, healthcare professionals and patients have been reluctant to use them. Next to insufficient understanding of and trust in biosimilars, healthcare professionals and patients have questions about switching and the nocebo effect when using biosimilars in clinical practice. In addition, clear motivation to use biosimilars may be lacking among these stakeholders. OBJECTIVE: This study aims to provide recommendations on how to improve biosimilar use on both a clinical and a practical level based on insights from healthcare professionals (physicians, hospital pharmacists, nurses), patients (or their representatives), and regulators across Europe. METHODS: We conducted 44 semi-structured interviews with experts from five stakeholder groups across Europe: physicians, hospital pharmacists, nurses, regulators, and patients/representatives. Interviews were transcribed ad verbatim and transcripts analysed according to the thematic framework method. RESULTS: Based on the insights and considerations of the experts interviewed, we identified a number of recommendations to improve the use of biosimilars in clinical practice. Regarding switch implementation, the experts voiced support for the following actions: (1) disseminate evidence from and experience with (multiple) switching; (2) provide clear, </w:t>
      </w:r>
    </w:p>
    <w:p>
      <w:pPr/>
      <w:r>
        <w:rPr>
          <w:b/>
        </w:rPr>
        <w:t>POSSIBLE 2020:</w:t>
      </w:r>
      <w:r>
        <w:t xml:space="preserve"> Vestibular rehabilitation in Europe: a survey of clinical and research practice — https://doi.org/10.1007/s00415-020-10228-4</w:t>
      </w:r>
    </w:p>
    <w:p>
      <w:pPr/>
      <w:r>
        <w:rPr>
          <w:b/>
        </w:rPr>
        <w:t>Shared claim-specific concepts:</w:t>
      </w:r>
      <w:r>
        <w:t xml:space="preserve"> four, regarding, training, practice, taken, trained; EU scope visible. This is a provisional connection, not an outcome finding.</w:t>
      </w:r>
    </w:p>
    <w:p>
      <w:pPr>
        <w:pStyle w:val="SourceNote"/>
      </w:pPr>
      <w:r>
        <w:rPr>
          <w:b/>
        </w:rPr>
        <w:t>Available abstract (not full text):</w:t>
      </w:r>
      <w:r>
        <w:t xml:space="preserve"> Vestibular rehabilitation (VR) is practiced across Europe but little in this area has been quantified. The aim of this study was to investigate current VR assessment, treatment, education, and research practices. This was an online, cross-sectional survey with 39 VR specific questions and four sections: demographics, current practice, education, and research. The survey was disseminated through the Dizzynet network to individual therapists through country-specific VR special interest groups. Results were analysed descriptively. A thematic approach was taken to analyse open questions. A total of 471 individuals (median age 41, range 23 - 68 years, 73.4% women), predominately physiotherapists (89.4%) from 20 European countries responded to the survey. They had worked for a median of 4 years (range &lt; 1 - 35) in VR. The majority (58.7%) worked in hospital in-patient or out-patient settings and 21.4% in dedicated VR services. Most respondents specialized in neurology, care of the elderly (geriatrics), or otorhinolaryngology. VR was reported as hard/very hard to access by 48%, with the main barriers to access identified as lack of knowledge of health care professionals (particularly family physicians), lack of trained therapists, and lack of local services. Most respondents reported to know and treat benign paroxysmal positional vertigo (BPPV 87.5%), unilateral vestibular hypofunctio</w:t>
      </w:r>
    </w:p>
    <w:p>
      <w:pPr>
        <w:pStyle w:val="Heading2"/>
      </w:pPr>
      <w:r>
        <w:t>805.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2023:</w:t>
      </w:r>
      <w:r>
        <w:t xml:space="preserve"> Do tight environmental regulations cause economic contraction? Panel evidence from the European countries — https://doi.org/10.1111/1477-8947.12322</w:t>
      </w:r>
    </w:p>
    <w:p>
      <w:pPr/>
      <w:r>
        <w:rPr>
          <w:b/>
        </w:rPr>
        <w:t>Shared claim-specific concepts:</w:t>
      </w:r>
      <w:r>
        <w:t xml:space="preserve"> need, tight, countries, affected, develop; EU scope visible. This is a provisional connection, not an outcome finding.</w:t>
      </w:r>
    </w:p>
    <w:p>
      <w:pPr>
        <w:pStyle w:val="SourceNote"/>
      </w:pPr>
      <w:r>
        <w:rPr>
          <w:b/>
        </w:rPr>
        <w:t>Available abstract (not full text):</w:t>
      </w:r>
      <w:r>
        <w:t xml:space="preserve"> Abstract Developed countries have long tried to increase their environmental standards to mitigate the negative effects of economic activities. For this purpose, they impose environmental taxes, energy taxes, and emission limits. In the last decade, a new measurement technique for environmental policy was introduced: the Environmental Policy Stringency Index (EPS index). This index takes values from 0.00 to 6.00, and higher values refer to more stringent environmental policies, whereas lower values suggest lax policies. This study aims to explore the impact of the EPS index on economic activities at the aggregate and sectoral levels for 20 European countries covering the period 1995–2020. For this purpose, this study utilizes the dynamic panel data approach, the two‐step system generalized method of moments (GMM) estimation method. The empirical findings show that an increase in the EPS index causes a decline in economic growth at the aggregate level. At the sectoral level, it was found that the industry sector is negatively affected by increases in environmental standards. In addition to the system GMM results, this study employs the Dumitrescu–Hurlin panel non‐causality test to detect causal linkages between variables. The empirical findings show that the EPS index Granger causes economic activity in almost all sectors. The empirical results indicate that environmental regula</w:t>
      </w:r>
    </w:p>
    <w:p>
      <w:pPr/>
      <w:r>
        <w:rPr>
          <w:b/>
        </w:rPr>
        <w:t>POSSIBLE 2023:</w:t>
      </w:r>
      <w:r>
        <w:t xml:space="preserve"> Impact of COVID-19 on labour force and recovery peculiarities in selected countries of Europe — https://doi.org/10.9770/jesi.2023.10.3(20)</w:t>
      </w:r>
    </w:p>
    <w:p>
      <w:pPr/>
      <w:r>
        <w:rPr>
          <w:b/>
        </w:rPr>
        <w:t>Shared claim-specific concepts:</w:t>
      </w:r>
      <w:r>
        <w:t xml:space="preserve"> need, countries, affected; EU scope visible. This is a provisional connection, not an outcome finding.</w:t>
      </w:r>
    </w:p>
    <w:p>
      <w:pPr>
        <w:pStyle w:val="SourceNote"/>
      </w:pPr>
      <w:r>
        <w:rPr>
          <w:b/>
        </w:rPr>
        <w:t>Available abstract (not full text):</w:t>
      </w:r>
      <w:r>
        <w:t xml:space="preserve"> In this paper, we have examined the impact of COVID-19 on labour force and recovery peculiarities in selected countries of Europe.Our goal has been to reach patients with post-COVID-19 or long-COVID-19 symptoms who were treated since 2020 and latest 2021 in different medical spas around Europe.Our research focused on whether work affects any aspect of life during illness and whether complaints experienced during post-COVID-19 treatments affect any aspect of life during illness.To achieve our results, we used quantitative research and tested two hypotheses.Our primary survey was conducted in May-June 2022.A total of 110 valid responses were received.The data collected through the questionnaire was examined using statistical analysis and calculationsdescriptive statistics, oneway ANOVA, linear regression analysis.All the respondents had COVID-19 positive test results in their life and attended post-COVID treatments in different medical spas in Europe.The results showed that coronavirus symptoms (post-or long-COVID-19 syndrome) were most likely to interfere with social and leisure activities and work.Well-being and pain need improvement.Improvement is possible with spa rehabilitation packages offering complex interventions such as balneotherapy (which uses local natural resources such as natural healing water, peloids, mofette), climatotherapy, physiotherapy, occupational therapy,</w:t>
      </w:r>
    </w:p>
    <w:p>
      <w:pPr/>
      <w:r>
        <w:rPr>
          <w:b/>
        </w:rPr>
        <w:t>POSSIBLE 2022:</w:t>
      </w:r>
      <w:r>
        <w:t xml:space="preserve"> European IoT International Cooperation in Research and Innovation — https://doi.org/10.1201/9781003337966-10</w:t>
      </w:r>
    </w:p>
    <w:p>
      <w:pPr/>
      <w:r>
        <w:rPr>
          <w:b/>
        </w:rPr>
        <w:t>Shared claim-specific concepts:</w:t>
      </w:r>
      <w:r>
        <w:t xml:space="preserve"> cooperation, countries, solutions; EU scope visible. This is a provisional connection, not an outcome finding.</w:t>
      </w:r>
    </w:p>
    <w:p>
      <w:pPr>
        <w:pStyle w:val="SourceNote"/>
      </w:pPr>
      <w:r>
        <w:rPr>
          <w:b/>
        </w:rPr>
        <w:t>Available abstract (not full text):</w:t>
      </w:r>
      <w:r>
        <w:t xml:space="preserve"> The IoT is now a global happening that is requiring cooperation at international level to address its key challenges. Europe has established as a priority the international cooperation on IoT research and innovation. The work revolves around aligning strategies and plans for IoT globalisation but also exploring differentiations, and specificities for local exploitation of IoT. Notice: EU is cooperating with African countries on cost-effective open IoT innovation; Europe is supporting Brazil to build-up its IoT ecosystem supported onEUbest practices; the EU-China IoT Advisory Group is active on pushing global IoT standards while developing competitive IoT solutions; the EU-Japan joint cooperation follows-on on the integration/federation of IoT with Big Data and Cloud; and the EU-Korea engagement is looking at major global IoT standardisation activities; EU-US cooperation is active especially via the respective global IoT initiative frameworks, the AIOTI and IIC. And cooperation is expected to start with India on the vision of a connected and smart IoT based system for their economy, society, environment and global needs. This chapter reports on EU international cooperation activities with partner countries and regions on the Internet of Things (IoT) .</w:t>
      </w:r>
    </w:p>
    <w:p>
      <w:pPr/>
      <w:r>
        <w:rPr>
          <w:b/>
        </w:rPr>
        <w:t>POSSIBLE 2022:</w:t>
      </w:r>
      <w:r>
        <w:t xml:space="preserve"> China and the transatlantic relationship: obstacles to deeper European–US cooperation — https://doi.org/10.55317/9781784135287</w:t>
      </w:r>
    </w:p>
    <w:p>
      <w:pPr/>
      <w:r>
        <w:rPr>
          <w:b/>
        </w:rPr>
        <w:t>Shared claim-specific concepts:</w:t>
      </w:r>
      <w:r>
        <w:t xml:space="preserve"> cooperation, countries, over; EU scope visible. This is a provisional connection, not an outcome finding.</w:t>
      </w:r>
    </w:p>
    <w:p>
      <w:pPr>
        <w:pStyle w:val="SourceNote"/>
      </w:pPr>
      <w:r>
        <w:rPr>
          <w:b/>
        </w:rPr>
        <w:t>Available abstract (not full text):</w:t>
      </w:r>
      <w:r>
        <w:t xml:space="preserve"> The rise of China is one of the greatest challenges for the transatlantic relationship. European countries and the US have similar concerns over China, but fundamental obstacles hinder a more joined-up approach. Although no longer aiming for decoupling as under the Trump administration, the US under President Joe Biden still sees itself in ‘strategic competition’ with China, while the European Commission has identified China as a ‘systemic rival’. However, differences remain between Europe and US on the scale of the challenge, and also within the EU over the desired level of economic and political engagement with China and over policy responses on the national, bilateral and global levels. This paper presents results from a two-year joint research project by Chatham House and the Royal United Services Institute on a Transatlantic Dialogue on China. The project examined the transatlantic relationship in the context of the China challenge by looking at four different policy areas – trade and investment, digital technology, climate change and the global commons.</w:t>
      </w:r>
    </w:p>
    <w:p>
      <w:pPr/>
      <w:r>
        <w:rPr>
          <w:b/>
        </w:rPr>
        <w:t>POSSIBLE 2021:</w:t>
      </w:r>
      <w:r>
        <w:t xml:space="preserve"> The relationship between cultural tightness–looseness and COVID-19 cases and deaths: a global analysis — https://doi.org/10.1016/s2542-5196(20)30301-6</w:t>
      </w:r>
    </w:p>
    <w:p>
      <w:pPr/>
      <w:r>
        <w:rPr>
          <w:b/>
        </w:rPr>
        <w:t>Shared claim-specific concepts:</w:t>
      </w:r>
      <w:r>
        <w:t xml:space="preserve"> tight, countries, million, help; EU scope not established. This is a provisional connection, not an outcome finding.</w:t>
      </w:r>
    </w:p>
    <w:p>
      <w:pPr>
        <w:pStyle w:val="SourceNote"/>
      </w:pPr>
      <w:r>
        <w:rPr>
          <w:b/>
        </w:rPr>
        <w:t>Available abstract (not full text):</w:t>
      </w:r>
      <w:r>
        <w:t xml:space="preserve"> BACKGROUND: The COVID-19 pandemic is a global health crisis, yet certain countries have had far more success in limiting COVID-19 cases and deaths. We suggest that collective threats require a tremendous amount of coordination, and that strict adherence to social norms is a key mechanism that enables groups to do so. Here we examine how the strength of social norms-or cultural tightness-looseness-was associated with countries' success in limiting cases and deaths by October, 2020. We expected that tight cultures, which have strict norms and punishments for deviance, would have fewer cases and deaths per million as compared with loose cultures, which have weaker norms and are more permissive. METHODS: We estimated the relationship between cultural tightness-looseness and COVID-19 case and mortality rates as of Oct 16, 2020, using ordinary least squares regression. We fit a series of stepwise models to capture whether cultural tightness-looseness explained variation in case and death rates controlling for under-reporting, demographics, geopolitical factors, other cultural dimensions, and climate. FINDINGS: The results indicated that, compared with nations with high levels of cultural tightness, nations with high levels of cultural looseness are estimated to have had 4·99 times the number of cases (7132 per million vs 1428 per million, respectively) and 8·71 times the number of de</w:t>
      </w:r>
    </w:p>
    <w:p>
      <w:pPr/>
      <w:r>
        <w:rPr>
          <w:b/>
        </w:rPr>
        <w:t>POSSIBLE 2020:</w:t>
      </w:r>
      <w:r>
        <w:t xml:space="preserve"> Interdependence and cooperation in daily life. — https://doi.org/10.1037/pspi0000253</w:t>
      </w:r>
    </w:p>
    <w:p>
      <w:pPr/>
      <w:r>
        <w:rPr>
          <w:b/>
        </w:rPr>
        <w:t>Shared claim-specific concepts:</w:t>
      </w:r>
      <w:r>
        <w:t xml:space="preserve"> cooperation, affected, over; EU scope not established. This is a provisional connection, not an outcome finding.</w:t>
      </w:r>
    </w:p>
    <w:p>
      <w:pPr>
        <w:pStyle w:val="SourceNote"/>
      </w:pPr>
      <w:r>
        <w:rPr>
          <w:b/>
        </w:rPr>
        <w:t>Available abstract (not full text):</w:t>
      </w:r>
      <w:r>
        <w:t xml:space="preserve"> Philosophers and scientists have long debated the nature of human social interactions and the prevalence of mutual dependence, conflict of interests, and power asymmetry in social situations. Yet, there is surprisingly little empirical work documenting the patterns of interdependence that people experience in daily life. We use experience sampling to study how people think about three dimensions of interdependence in daily life and how these dimensions relate to cooperation. In Study 1, 139 romantic couples (n = 278) reported on situations experienced with their partner (k = 6,766); in Study 2, individuals (n = 284) reported on situations experienced with any other person (k = 7,248), over the course of one week. Across both samples, we found that most social interactions were perceived as containing moderate mutual dependence, equal power, and corresponding interests. When couples reported on the same situation (Study 1), they largely agreed on their experienced interdependence and cooperation, suggesting that their reports reflect an underlying shared reality. In daily interactions across both samples, higher mutual dependence and lower conflict of interests were associated with more cooperation, whereas relative power was not directly related to cooperation. These associations replicated in laboratory experiments (Study 2). In daily life, high mutual dependence and high rela</w:t>
      </w:r>
    </w:p>
    <w:p>
      <w:pPr/>
      <w:r>
        <w:rPr>
          <w:b/>
        </w:rPr>
        <w:t>POSSIBLE 2020:</w:t>
      </w:r>
      <w:r>
        <w:t xml:space="preserve"> Migrant women’s experiences of pregnancy, childbirth and maternity care in European countries: A systematic review — https://doi.org/10.1371/journal.pone.0228378</w:t>
      </w:r>
    </w:p>
    <w:p>
      <w:pPr/>
      <w:r>
        <w:rPr>
          <w:b/>
        </w:rPr>
        <w:t>Shared claim-specific concepts:</w:t>
      </w:r>
      <w:r>
        <w:t xml:space="preserve"> need, countries, strategy, migrants; EU scope visible. This is a provisional connection, not an outcome finding.</w:t>
      </w:r>
    </w:p>
    <w:p>
      <w:pPr>
        <w:pStyle w:val="SourceNote"/>
      </w:pPr>
      <w:r>
        <w:rPr>
          <w:b/>
        </w:rPr>
        <w:t>Available abstract (not full text):</w:t>
      </w:r>
      <w:r>
        <w:t xml:space="preserve"> BACKGROUND: Across Europe there are increasing numbers of migrant women who are of childbearing age. Migrant women are at risk of poorer pregnancy outcomes. Models of maternity care need to be designed to meet the needs of all women in society to ensure equitable access to services and to address health inequalities. OBJECTIVE: To provide up-to-date systematic evidence on migrant women's experiences of pregnancy, childbirth and maternity care in their destination European country. SEARCH STRATEGY: CINAHL, MEDLINE, PubMed, PsycINFO and Scopus were searched for peer-reviewed articles published between 2007 and 2017. SELECTION CRITERIA: Qualitative and mixed-methods studies with a relevant qualitative component were considered for inclusion if they explored any aspect of migrant women's experiences of maternity care in Europe. DATA COLLECTION AND ANALYSIS: Qualitative data were extracted and analysed using thematic synthesis. RESULTS: The search identified 7472 articles, of which 51 were eligible and included. Studies were conducted in 14 European countries and focused on women described as migrants, refugees or asylum seekers. Four overarching themes emerged: 'Finding the way-the experience of navigating the system in a new place', 'We don't understand each other', 'The way you treat me matters', and 'My needs go beyond being pregnant'. CONCLUSIONS: Migrant women need culturally-</w:t>
      </w:r>
    </w:p>
    <w:p>
      <w:pPr/>
      <w:r>
        <w:rPr>
          <w:b/>
        </w:rPr>
        <w:t>POSSIBLE 2020:</w:t>
      </w:r>
      <w:r>
        <w:t xml:space="preserve"> The development of cycling in European countries since 1990 — https://doi.org/10.18757/ejtir.2021.21.2.5411</w:t>
      </w:r>
    </w:p>
    <w:p>
      <w:pPr/>
      <w:r>
        <w:rPr>
          <w:b/>
        </w:rPr>
        <w:t>Shared claim-specific concepts:</w:t>
      </w:r>
      <w:r>
        <w:t xml:space="preserve"> countries, over;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2019:</w:t>
      </w:r>
      <w:r>
        <w:t xml:space="preserve"> Legal Problems and Decisions in the Cooperation between National Ombudsmen in South – East Europe — https://openalex.org/W7131993177</w:t>
      </w:r>
    </w:p>
    <w:p>
      <w:pPr/>
      <w:r>
        <w:rPr>
          <w:b/>
        </w:rPr>
        <w:t>Shared claim-specific concepts:</w:t>
      </w:r>
      <w:r>
        <w:t xml:space="preserve"> need, tight, cooperation, countries, urgent; EU scope visible. This is a provisional connection, not an outcome finding.</w:t>
      </w:r>
    </w:p>
    <w:p>
      <w:pPr>
        <w:pStyle w:val="SourceNote"/>
      </w:pPr>
      <w:r>
        <w:rPr>
          <w:b/>
        </w:rPr>
        <w:t>Available abstract (not full text):</w:t>
      </w:r>
      <w:r>
        <w:t xml:space="preserve"> Abstract: The ombudsman institution is traditionally linked to the concept of human rights protection. In addition to this general notion, for the countries from South–Eastern Europe the ombudsman is a body related to the process of transition to rule of law and democratic values. In these countries the ombudsman has also the specific task of maintaining the social and ethnic peace and security. The ombudsman institutions in this region have also a beneficial effect on the process of accession to the EU and adherence to the principles of the Council of Europe as the human rights protection is in the heart of these organisations. The cooperation among ombudsmen in South–Eastern Europe is of crucial importance for the successful achievement of their tasks, especially in the context of challenging human rights issues with trans-border connotations. However the lack of a common model for the ombudsmen institutions, the difference in the mandate and functions and even the diverse title of these bodies, proves to be a serious hindrance to efficient collaboration and hence to the efficient protection of human rights at regional level. This is why the existence of international and European standards for the ombudsmen institutions from South-Eastern Europe is important in view of the need to bring them closer to each other but also closer to the successful model of a human rights prote</w:t>
      </w:r>
    </w:p>
    <w:p>
      <w:pPr/>
      <w:r>
        <w:rPr>
          <w:b/>
        </w:rPr>
        <w:t>POSSIBLE 2019:</w:t>
      </w:r>
      <w:r>
        <w:t xml:space="preserve"> A comparative approach to affect and cooperation — https://doi.org/10.1016/j.neubiorev.2019.09.027</w:t>
      </w:r>
    </w:p>
    <w:p>
      <w:pPr/>
      <w:r>
        <w:rPr>
          <w:b/>
        </w:rPr>
        <w:t>Shared claim-specific concepts:</w:t>
      </w:r>
      <w:r>
        <w:t xml:space="preserve"> cooperation, develop, help; EU scope not established. This is a provisional connection, not an outcome finding.</w:t>
      </w:r>
    </w:p>
    <w:p>
      <w:pPr>
        <w:pStyle w:val="SourceNote"/>
      </w:pPr>
      <w:r>
        <w:rPr>
          <w:b/>
        </w:rPr>
        <w:t>Available abstract (not full text):</w:t>
      </w:r>
      <w:r>
        <w:t xml:space="preserve"> A central premise of the science of comparative affect is that we can best learn about the causes and consequences of affect by comparing affective phenomena across a variety of species, including humans. We take as a given that affect is widely shared across animals, but a key challenge is to accurately represent each species' affective experience. A common approach in the comparative study of behavior and cognition is to develop standardized experimental paradigms that can be used across species, with the assumption that if the same task is being used, we can directly compare behavioral responses. This experimental approach rests on two underlying assumptions: first, that different species' perception of and affective response to these paradigms are the same; and second, that behavioral and physiological (including endocrine and neural) responses to these paradigms are homologous; if either of these assumptions is not true, then the comparison becomes much less straightforward. Our goal in the present paper is to summarize the dominant paradigms that have been used for such comparative research, with a particular focus on paradigms common in the cooperation literature, and to critically discuss dominant assumptions about what affective states these tasks can or should measure. We then consider the advantages and drawbacks of this experimental method, and consider alternatives</w:t>
      </w:r>
    </w:p>
    <w:p>
      <w:pPr>
        <w:pStyle w:val="Heading2"/>
      </w:pPr>
      <w:r>
        <w:t>806.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2025:</w:t>
      </w:r>
      <w:r>
        <w:t xml:space="preserve"> Atomic rivers. The (Un)sustainability of nuclear power in an age of climate change — https://doi.org/10.1016/j.enpol.2025.114631</w:t>
      </w:r>
    </w:p>
    <w:p>
      <w:pPr/>
      <w:r>
        <w:rPr>
          <w:b/>
        </w:rPr>
        <w:t>Shared claim-specific concepts:</w:t>
      </w:r>
      <w:r>
        <w:t xml:space="preserve"> nuclear, power, climate, electricity, conditions; EU scope visible. This is a provisional connection, not an outcome finding.</w:t>
      </w:r>
    </w:p>
    <w:p>
      <w:pPr>
        <w:pStyle w:val="SourceNote"/>
      </w:pPr>
      <w:r>
        <w:rPr>
          <w:b/>
        </w:rPr>
        <w:t>Available abstract (not full text):</w:t>
      </w:r>
      <w:r>
        <w:t xml:space="preserve">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nuclear, power, generation;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2023:</w:t>
      </w:r>
      <w:r>
        <w:t xml:space="preserve"> Democracy and Nuclear Power in the Czech Republic — https://doi.org/10.4324/9781003421368-17</w:t>
      </w:r>
    </w:p>
    <w:p>
      <w:pPr/>
      <w:r>
        <w:rPr>
          <w:b/>
        </w:rPr>
        <w:t>Shared claim-specific concepts:</w:t>
      </w:r>
      <w:r>
        <w:t xml:space="preserve"> nuclear, power, experience; EU scope visible. This is a provisional connection, not an outcome finding.</w:t>
      </w:r>
    </w:p>
    <w:p>
      <w:pPr>
        <w:pStyle w:val="SourceNote"/>
      </w:pPr>
      <w:r>
        <w:rPr>
          <w:b/>
        </w:rPr>
        <w:t>Available abstract (not full text):</w:t>
      </w:r>
      <w:r>
        <w:t xml:space="preserve"> This chapter explores the construction of the one-thousand megawatt Temelin nuclear power plant in the Czech Republic. The Czech Republic is in the first group of candidates in central and eastern Europe to join both the European Union and the North Atlantic Treaty Organization. The Czech experience with nuclear power is a test case that will affect the viability and future marketability of nuclear power in central and eastern Europe. Nuclear power advocates saw the opportunity and accepted the challenge. The former Soviet Union, with compliance or agreement from the states of central and eastern Europe, had planned dozens of nuclear power plants for the region. The most widely used definition of sustainable development is “development that meets the needs of the present without compromising the ability of future generations to meet their own needs”. Under communism, environmentalists were labeled right wing because they were accused of trying to destroy socialist dreams by imposing costly demands on the government.</w:t>
      </w:r>
    </w:p>
    <w:p>
      <w:pPr/>
      <w:r>
        <w:rPr>
          <w:b/>
        </w:rPr>
        <w:t>POSSIBLE 2023:</w:t>
      </w:r>
      <w:r>
        <w:t xml:space="preserve"> Historical diffusion of nuclear, wind and solar power in different national contexts: implications for climate mitigation pathways — https://doi.org/10.1088/1748-9326/acf47a</w:t>
      </w:r>
    </w:p>
    <w:p>
      <w:pPr/>
      <w:r>
        <w:rPr>
          <w:b/>
        </w:rPr>
        <w:t>Shared claim-specific concepts:</w:t>
      </w:r>
      <w:r>
        <w:t xml:space="preserve"> nuclear, power, climate, electricity; EU scope visible. This is a provisional connection, not an outcome finding.</w:t>
      </w:r>
    </w:p>
    <w:p>
      <w:pPr>
        <w:pStyle w:val="SourceNote"/>
      </w:pPr>
      <w:r>
        <w:rPr>
          <w:b/>
        </w:rPr>
        <w:t>Available abstract (not full text):</w:t>
      </w:r>
      <w:r>
        <w:t xml:space="preserve"> Abstract Climate change mitigation requires rapid expansion of low-carbon electricity but there is a disagreement on whether available technologies such as renewables and nuclear power can be scaled up sufficiently fast. Here we analyze the diffusion of nuclear (from the 1960s), as well as wind and solar (from the 1980–90s) power. We show that all these technologies have been adopted in most large economies except major energy exporters, but solar and wind have diffused across countries faster and wider than nuclear. After the initial adoption, the maximum annual growth for nuclear power has been 2.6% of national electricity supply (IQR 1.3%–6%), for wind − 1.1% (0.6%–1.7%), and for solar − 0.8% (0.5%–1.3%). The fastest growth of nuclear power occurred in Western Europe in the 1980s, a response by industrialized democracies to the energy supply crises of the 1970s. The European Union (EU), currently experiencing a similar energy supply shock, is planning to expand wind and solar at similarly fast rates. This illustrates that national contexts can impact the speed of technology diffusion at least as much as technology characteristics like cost, granularity, and complexity. In the Intergovernmental Panel on Climate Change mitigation pathways, renewables grow much faster than nuclear due to their lower projected costs, though empirical evidence does not show that the cost is the s</w:t>
      </w:r>
    </w:p>
    <w:p>
      <w:pPr/>
      <w:r>
        <w:rPr>
          <w:b/>
        </w:rPr>
        <w:t>POSSIBLE 2023:</w:t>
      </w:r>
      <w:r>
        <w:t xml:space="preserve"> The Economy of the Countries of the World is Experiencing the Need for Nuclear Power Plants — https://openalex.org/W7219353948</w:t>
      </w:r>
    </w:p>
    <w:p>
      <w:pPr/>
      <w:r>
        <w:rPr>
          <w:b/>
        </w:rPr>
        <w:t>Shared claim-specific concepts:</w:t>
      </w:r>
      <w:r>
        <w:t xml:space="preserve"> nuclear, power, electricity, article; EU scope not established. This is a provisional connection, not an outcome finding.</w:t>
      </w:r>
    </w:p>
    <w:p>
      <w:pPr>
        <w:pStyle w:val="SourceNote"/>
      </w:pPr>
      <w:r>
        <w:rPr>
          <w:b/>
        </w:rPr>
        <w:t>Available abstract (not full text):</w:t>
      </w:r>
      <w:r>
        <w:t xml:space="preserve"> This scientific article examines the sources on the need for nuclear power plants in the economies of the countries of the world. The existing nuclear power plants in the countries of the world, their capacity, the disadvantages and advantages of nuclear power plants, the role of nuclear power plants in the production of electricity, differences in the prices of electricity generated by them, the possibilities of achieving economic and social goals of low-cost sustainable development in the production of electricity using nuclear power are analyzed.</w:t>
      </w:r>
    </w:p>
    <w:p>
      <w:pPr/>
      <w:r>
        <w:rPr>
          <w:b/>
        </w:rPr>
        <w:t>POSSIBLE 2023:</w:t>
      </w:r>
      <w:r>
        <w:t xml:space="preserve"> Nuclear Power in the Sustainable Energy Transition — https://doi.org/10.46254/au02.20230243</w:t>
      </w:r>
    </w:p>
    <w:p>
      <w:pPr/>
      <w:r>
        <w:rPr>
          <w:b/>
        </w:rPr>
        <w:t>Shared claim-specific concepts:</w:t>
      </w:r>
      <w:r>
        <w:t xml:space="preserve"> nuclear, power, generation, climate, electricity, conditions; EU scope not established. This is a provisional connection, not an outcome finding.</w:t>
      </w:r>
    </w:p>
    <w:p>
      <w:pPr>
        <w:pStyle w:val="SourceNote"/>
      </w:pPr>
      <w:r>
        <w:rPr>
          <w:b/>
        </w:rPr>
        <w:t>Available abstract (not full text):</w:t>
      </w:r>
      <w:r>
        <w:t xml:space="preserve"> The economic viability of a power plant is dependent on the cost of the electricity generated which is influenced by a wide range of factors and inputs from the inception to end of economic life. The Levelized cost of energy or electricity (LCOE) is a model used to estimate the cost of electricity before the powerplant is constructed. The cost of building a nuclear power plant and any financing cost is the most important contributing factor to the cost of from nuclear power plants. Although modern nuclear power plants are generally large and expensive, their long project lifetime effectively reduces the cost of nuclear power can still be relatively low. Nuclear energy has generally been regarded by public opinion as a harmful energy resource. The growing concerns over global climate change and greenhouse gas emissions have changed this belief and nuclear is now considered a reputable green power source that can generate significant amounts of energy with low carbon emissions. Nuclear energy is currently a mature low-GHG emission energy resource that is ideal for use as baseload power. However, the share in global electricity generation has been declining globally but its share of global electricity generation has been declining since the year 1993 because of various barriers and risks. The life cycle GHG emissions from nuclear power are less than traditional fossil sources but </w:t>
      </w:r>
    </w:p>
    <w:p>
      <w:pPr/>
      <w:r>
        <w:rPr>
          <w:b/>
        </w:rPr>
        <w:t>POSSIBLE 2023:</w:t>
      </w:r>
      <w:r>
        <w:t xml:space="preserve"> Navigating Net Zero: The Crucial Role of Nuclear Power and Innovations — https://doi.org/10.63620/mkssjer.2023.1018</w:t>
      </w:r>
    </w:p>
    <w:p>
      <w:pPr/>
      <w:r>
        <w:rPr>
          <w:b/>
        </w:rPr>
        <w:t>Shared claim-specific concepts:</w:t>
      </w:r>
      <w:r>
        <w:t xml:space="preserve"> nuclear, power, generation, reactors, climate, article; EU scope not established. This is a provisional connection, not an outcome finding.</w:t>
      </w:r>
    </w:p>
    <w:p>
      <w:pPr>
        <w:pStyle w:val="SourceNote"/>
      </w:pPr>
      <w:r>
        <w:rPr>
          <w:b/>
        </w:rPr>
        <w:t>Available abstract (not full text):</w:t>
      </w:r>
      <w:r>
        <w:t xml:space="preserve"> This article explores the dynamic intersection of nuclear power, innovative technologies, and the pursuit of a net-zero future. Grounded in the imperative to address climate change, the discussion traverses the concept of net zero, emphasizing the pivotal role of nuclear energy in achieving carbon neutrality. The narrative unfolds through an examination of Small Modular Reactors (SMRs) and Generation IV reactors, showcasing their transformative potential in reshaping the energy landscape. While SMRs offer scalability and adaptability, Generation IV reactors introduce innovative designs to enhance safety, efficiency, and sustainability. The article navigates through the challenges and considerations inherent in this transformative journey, addressing financial barriers, regulatory complexities, and public perceptions. It underscores the critical importance of international collaboration, ethical nuclear waste management, and non-proliferation measures. As the world grapples with the urgency of decarbonization, the conclusion paints a visionary picture of nuclear power and innovations converging to sculpt a sustainable, net-zero future—a future where clean, reliable energy becomes a reality through the collaborative efforts of governments, industry leaders, and the global community.</w:t>
      </w:r>
    </w:p>
    <w:p>
      <w:pPr/>
      <w:r>
        <w:rPr>
          <w:b/>
        </w:rPr>
        <w:t>POSSIBLE 2022:</w:t>
      </w:r>
      <w:r>
        <w:t xml:space="preserve"> European energy transition: Decomposing the performance of nuclear power — https://doi.org/10.1016/j.energy.2022.123244</w:t>
      </w:r>
    </w:p>
    <w:p>
      <w:pPr/>
      <w:r>
        <w:rPr>
          <w:b/>
        </w:rPr>
        <w:t>Shared claim-specific concepts:</w:t>
      </w:r>
      <w:r>
        <w:t xml:space="preserve"> nuclear, power, generation, electricity; EU scope visible. This is a provisional connection, not an outcome finding.</w:t>
      </w:r>
    </w:p>
    <w:p>
      <w:pPr>
        <w:pStyle w:val="SourceNote"/>
      </w:pPr>
      <w:r>
        <w:rPr>
          <w:b/>
        </w:rPr>
        <w:t>Available abstract (not full text):</w:t>
      </w:r>
      <w:r>
        <w:t xml:space="preserve"> The quest for safe energy in the EU has increasingly led to a policy of zero nuclear power and a shift towards renewable sources. The phasing out of nuclear power is being carefully undertaken, so as not create negative externalities, even though not all countries are ready to make this move, and despite the valuable role nuclear energy can play in backing up intermittent renewables. This paper examines the transition towards carbon-free electrification through the interactions between the various electricity sources, using the Harmonised Index of Consumer Prices and carbon dioxide emissions in countries with nuclear power generation in the European Union and Switzerland. Monthly data, from January 2014 to December 2018 was analysed by means of an Autoregressive Distributed Lag model using the Driscoll and Kraay estimator with fixed effects. This approach allowed the electricity generation processes of the selected countries to be analysed, as well as the long- and short-run impacts. Our findings suggest that nuclear energy can be effective in accommodating renewable electricity into these systems, whereas using fossil generation to back up renewable sources leads to higher prices for consumers.</w:t>
      </w:r>
    </w:p>
    <w:p>
      <w:pPr/>
      <w:r>
        <w:rPr>
          <w:b/>
        </w:rPr>
        <w:t>POSSIBLE 2022:</w:t>
      </w:r>
      <w:r>
        <w:t xml:space="preserve"> Nuclear Power as a Response to the Climate Crisis: Focusing on the Development and Cooperation of the Nuclear Industry in Russia and France — https://doi.org/10.19170/eebs.2022.46.2.163</w:t>
      </w:r>
    </w:p>
    <w:p>
      <w:pPr/>
      <w:r>
        <w:rPr>
          <w:b/>
        </w:rPr>
        <w:t>Shared claim-specific concepts:</w:t>
      </w:r>
      <w:r>
        <w:t xml:space="preserve"> nuclear, power, experience, generation, climate, analyzes; EU scope visible. This is a provisional connection, not an outcome finding.</w:t>
      </w:r>
    </w:p>
    <w:p>
      <w:pPr>
        <w:pStyle w:val="SourceNote"/>
      </w:pPr>
      <w:r>
        <w:rPr>
          <w:b/>
        </w:rPr>
        <w:t>Available abstract (not full text):</w:t>
      </w:r>
      <w:r>
        <w:t xml:space="preserve"> Concerns about global climate change such as ‘global warming’ and ‘greenhouse effects’ have evolved into a desperate expression “climate crisis” in today. Accordingly, the UN adopted the ‘Paris Agreement’ in 2015, and calling for all countries to implement concrete action plans and practices to realize the goal of the ‘Net Zero’(Carbon Neutral 2050). This is the reason why the voices claiming the usefulness of nuclear power generation or the inevitability of nuclear power generation are increasing at home and abroad in recent years. The European Union classified nuclear power plants as a green taxonomy, and the United States is reconsidering its interest in nuclear power plants. Korea has been pursuing a policy to phase out nuclear power for the past five years, but the new government is foreshadowing a policy shift to actively utilize nuclear power. This study examines the nuclear industry, which is attracting attention again as a way to cope with the climate crisis and meet realistic energy demand, through the cases of Russia and France. As of 2022, Russia is evaluated as a country with the world's best capabilities and competitiveness in the nuclear sector. The EU's nuclear powerhouse France has developed a nuclear industry as a driving force for its energy security and economic development. Furthermore, the two countries are highly trusted and boast the highest competitiven</w:t>
      </w:r>
    </w:p>
    <w:p>
      <w:pPr/>
      <w:r>
        <w:rPr>
          <w:b/>
        </w:rPr>
        <w:t>POSSIBLE 2022:</w:t>
      </w:r>
      <w:r>
        <w:t xml:space="preserve"> The Economics of Nuclear Power — https://doi.org/10.22439/csei.pb.015</w:t>
      </w:r>
    </w:p>
    <w:p>
      <w:pPr/>
      <w:r>
        <w:rPr>
          <w:b/>
        </w:rPr>
        <w:t>Shared claim-specific concepts:</w:t>
      </w:r>
      <w:r>
        <w:t xml:space="preserve"> nuclear, power, technological, electricity; EU scope not established. This is a provisional connection, not an outcome finding.</w:t>
      </w:r>
    </w:p>
    <w:p>
      <w:pPr>
        <w:pStyle w:val="SourceNote"/>
      </w:pPr>
      <w:r>
        <w:rPr>
          <w:b/>
        </w:rPr>
        <w:t>Available abstract (not full text):</w:t>
      </w:r>
      <w:r>
        <w:t xml:space="preserve"> The levelized costs of electricity from renewables have decreased by up to 90% in the past decade. During the same period, the cost of nuclear power has increased by more than a third. This led to a domination of renewables in new investments worldwide. Even when factoring in integration costs of renewables and new nuclear technologies, building new nuclear power remains multiple times more expensive than new solar or wind projects. Given the financial, project, and technological risks, the role of nuclear in the energy transition should be questioned.</w:t>
      </w:r>
    </w:p>
    <w:p>
      <w:pPr>
        <w:pStyle w:val="Heading2"/>
      </w:pPr>
      <w:r>
        <w:t>807.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r>
        <w:rPr>
          <w:b/>
        </w:rPr>
        <w:t>POSSIBLE 2025:</w:t>
      </w:r>
      <w:r>
        <w:t xml:space="preserve"> Globalization, glocalization, and Internationalization at Home from a Chinese perspective: case studies of China–Europe higher education cooperation — https://doi.org/10.1177/17454999251325120</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pPr/>
      <w:r>
        <w:rPr>
          <w:b/>
        </w:rPr>
        <w:t>POSSIBLE 2025:</w:t>
      </w:r>
      <w:r>
        <w:t xml:space="preserve"> Driving SDG15 : The Role of HEIs in Biodiversity Conservation Through Digitalization and Reporting — https://doi.org/10.1002/sd.3504</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Education, research, and public engagement are key strategies guiding European higher education institutions (HEIs) in advancing the United Nations Sustainable Development Goals (SDGs). Through stakeholder, legitimacy, and resource‐based view theories, this study examines the contributions of HEIs to saving Life on Land (SDG15), focusing on the role of digital technologies and Partnerships (SDG17) in biodiversity conservation. Despite interest in biodiversity conservation and the adoption of digital technologies in HEIs, knowledge about SDG15 issues is still limited. A double‐level content analysis through Leximancer v.5 and manual analysis was performed on 653 documents (191 sustainability reports and 462 website pages) from 50 European HEIs published between 2018 and 2024. The results highlight the key role of SDG17 and digital technologies in supporting biodiversity conservation efforts but also reveal a lack of standardized reporting frameworks, underscoring the need for a unified European approach to biodiversity disclosure to ensure more consistent and impactful contributions toward the SDGs. To the best of the authors' knowledge, this is the first study to address knowledge gaps on biodiversity practices supported by digitalization and partnerships, as adopted and shared through sustainability reporting by the top 50 universities leading in land conservation in </w:t>
      </w:r>
    </w:p>
    <w:p>
      <w:pPr/>
      <w:r>
        <w:rPr>
          <w:b/>
        </w:rPr>
        <w:t>POSSIBLE 2025:</w:t>
      </w:r>
      <w:r>
        <w:t xml:space="preserve"> From Goals to Action: A Targeted Framework for Sustainable Development Goals in Higher Education — https://doi.org/10.5772/intechopen.1010565</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In recent years, the accelerating trend of digital transformation has compelled Higher Education Institutions (HEIs) to redefine their role and contribution to individual learners’ lives. This study builds on our previous work undertaken on Widening Participation (WP) and international students under current education 4.0 paradigms and ongoing digital transformation. We propose a practical framework to make the integration of Sustainable Development Goals (SDGs) more targeted and actionable for effective accessibility, inclusivity, and sustainability within the UK Higher Education sector. Critical inquiries have established a clear aim for HEIs to meet these indicators, although obstacles were identified within the subsequent gap analysis of the “2015 UN SDG Agenda” in their execution. Our chapter focuses primarily on the strategic alignment of SDG 4 (Quality Education), SDG 5 (Gender Equality), SDG 10 (Reduced Inequalities), and SDG 17 (Partnerships for the Goals) with institutional practices and graduate employability pathways. Furthermore, the discourse responds to criticisms that SDG implementation has been too broad or perceived as a “box-ticking” exercise, rather than a thoughtfully designed initiative that delivers measurable outcomes. The SDG Prism Framework essentially transforms the broad ambitions of SDGs through the process of “refraction” for realistic implementati</w:t>
      </w:r>
    </w:p>
    <w:p>
      <w:pPr/>
      <w:r>
        <w:rPr>
          <w:b/>
        </w:rPr>
        <w:t>POSSIBLE 2025:</w:t>
      </w:r>
      <w:r>
        <w:t xml:space="preserve"> The Future of Sustainable Development Goals and Culture: Addressing Missing Dimensions from Four Cosmovisions African Ubuntu, Latin-American Buen Vivir, Buddhist Happiness and Nordic Sami Arbediehtu — https://doi.org/10.1057/s41287-025-00708-6</w:t>
      </w:r>
    </w:p>
    <w:p>
      <w:pPr/>
      <w:r>
        <w:rPr>
          <w:b/>
        </w:rPr>
        <w:t>Shared claim-specific concepts:</w:t>
      </w:r>
      <w:r>
        <w:t xml:space="preserve"> sdg17, others, sustainable; EU scope not established. This is a provisional connection, not an outcome finding.</w:t>
      </w:r>
    </w:p>
    <w:p>
      <w:pPr>
        <w:pStyle w:val="SourceNote"/>
      </w:pPr>
      <w:r>
        <w:rPr>
          <w:b/>
        </w:rPr>
        <w:t>Available abstract (not full text):</w:t>
      </w:r>
      <w:r>
        <w:t xml:space="preserve"> Abstract The SDGs miss crucial dimensions when viewed from the cosmovisions of Ubuntu, Buen Vivir, Buddhist Happiness and Sami Arbediehtu. What principles can be derived from these cosmovisions to guide discussions after 2030? As methodology we use a dialogical intercultural philosophical reflection and a decolonial stance addressing planetary survival instead of sustainable development, to develop principles for after 2030, for example to be included in a Culture Goal using the transformative power of culture. After analysing and comparing the four cosmovisions, we suggest ‘Harmony with Nature’ as an umbrella planetary wellbeing concept. Other principles could be: (social SDGs:) harmony with oneself, others and nature; interculturality and epistemic diversity; community flourishing; balance of masculine and feminine values; intertwinement of spiritual, emotional, physical, communal health; serving others as educational goal; (green SDGs:) intrinsic value of nature as part of the community; recognizing ancestorial legacy and future generations’ needs; (economic SDGs:) economics of collective well-being, earth governance and society-oriented businesses; (SDG16:) participatory, ‘deep’ consensus oriented democracy; collective dignity, restorative justice; (SDG17 global partnership:) interdependence of all life.</w:t>
      </w:r>
    </w:p>
    <w:p>
      <w:pPr/>
      <w:r>
        <w:rPr>
          <w:b/>
        </w:rPr>
        <w:t>POSSIBLE 2023:</w:t>
      </w:r>
      <w:r>
        <w:t xml:space="preserve"> Integrating the 17 SDGs into the European Green Deal, through Strategic and Financial Approaches — https://doi.org/10.21203/rs.3.rs-2697240/v1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The European Green Deal (EGD) is the growth strategy for Europe, covering multiple domains, and aiming to an equitable, carbon neutral European Union by 2050. The UN Agenda 2030, with its 17 Sustainable Development Goals (SDGs) set the bases for a global sustainability transition. However, the integration of the SDGs into the EGD is an overlooked issue in the literature, although it is particularly important, given Europe’s slow progress to achieve the sustainability targets. In this paper, 22 central policies and strategies published during 2020–21 to support the EGD's implementation are assessed on how they align with Agenda’s 2030 aspirations, using novel text-mining methodologies: one human-based and one machine-learning-based. The results outline an alignment of EGD policies to the main SDGs themes relevant to Food, Land, Oceans, Energy, but also a strong indication that the progress towards sustainability passes through "Peace, Justice, and Strong Institutions" (SDG16) and international "Partnerships for the Goals" (SDG17). We further explain the underlying policy mechanisms of the established ‘necessary transformations’ to build a sustainable Europe, along with the relevance of valuing the natural capital and integrating it into future investment and financial decisions.</w:t>
      </w:r>
    </w:p>
    <w:p>
      <w:pPr/>
      <w:r>
        <w:rPr>
          <w:b/>
        </w:rPr>
        <w:t>POSSIBLE 2022:</w:t>
      </w:r>
      <w:r>
        <w:t xml:space="preserve"> Measuring Progress towards Sustainability in the European Union within the 2030 Agenda Framework — https://doi.org/10.3390/math10122095</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The adoption of the 2030 Agenda and its 17 Sustainable Development Goals (SDGs) revived the challenge to efficiently address economic prosperity, environmental quality and social welfare goals. To fulfill such purposes, policymakers need to measure and monitor the global progress made by countries towards the achievement of the SDGs. Composite indicators have frequently been used for sustainability performance assessment in a range of areas related to Sustainable Development and recently some attempts have been made to analyze trends within the 2030 Agenda framework. The objective of this study is to propose a novel composite indicator approach to assess sustainability performance and evaluate whether progress is being made towards the SDGs. Some distinguishing features of the proposed approach involve the computation of weights for the indicators and the use of geometric average at the overall aggregation stage. The approach is applied to the evaluation of the SDGs in EU27 during the period 2010–2020 using the Eurostat SDG dataset. The results obtained suggest that all 27 Member States have progressed favorably, albeit not to the same extent, and differences between countries seem to be decreasing over the years.</w:t>
      </w:r>
    </w:p>
    <w:p>
      <w:pPr>
        <w:pStyle w:val="Heading2"/>
      </w:pPr>
      <w:r>
        <w:t>808.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2021:</w:t>
      </w:r>
      <w:r>
        <w:t xml:space="preserve"> Short Term Impacts of Harvesting 0perations on Soil Chemical Properties in a Mediterranean Oak Ecosystem — https://doi.org/10.5552/crojfe.2021.1100</w:t>
      </w:r>
    </w:p>
    <w:p>
      <w:pPr/>
      <w:r>
        <w:rPr>
          <w:b/>
        </w:rPr>
        <w:t>Shared claim-specific concepts:</w:t>
      </w:r>
      <w:r>
        <w:t xml:space="preserve"> forest, compared, period; EU scope visible. This is a provisional connection, not an outcome finding.</w:t>
      </w:r>
    </w:p>
    <w:p>
      <w:pPr>
        <w:pStyle w:val="SourceNote"/>
      </w:pPr>
      <w:r>
        <w:rPr>
          <w:b/>
        </w:rPr>
        <w:t>Available abstract (not full text):</w:t>
      </w:r>
      <w:r>
        <w:t xml:space="preserve"> Soil physical and chemical properties can be seriously affected by forest operations. There is a knowledge gap on this topic for oak ecosystems, which can play a significant role in the context of multiple-use forestry. The main objective of this study was to analyse forest floor and topsoil changes (0–10 cm) two years after the application of small-scale thinning (50% reduction of basal area) and clear-cut operations using mules to carry harvested material in a Northern Greece oak (Quercus frainetto Ten)ecosystem. The total amount of forest floor (O1+O2 horizons) was reduced by 37.8% in the thinned and 30.8% in the clear-cut plots compared to control plots. These large reductions are mainly due to reduction in the O2 horizon in the treated plots. Decomposition was reduced in the treated plots, possibly due to the new drier conditions. Treatments increased the soil pH but not to a significant extent. No evidence of erosion was found in the experimental plots due to the protective function of the forest floor and the use of designated mule trails. The areal extent of soil compaction was limited to only 3% of the total area mainly due to the careful planning and implementation of animal skidding. Small differences in C (%) and Ν (%) were found among control, thinned and clear-cut plots. The limiting growth factors in Mediterranean oak ecosystems are soil depth and the seasonal ch</w:t>
      </w:r>
    </w:p>
    <w:p>
      <w:pPr/>
      <w:r>
        <w:rPr>
          <w:b/>
        </w:rPr>
        <w:t>POSSIBLE 2020:</w:t>
      </w:r>
      <w:r>
        <w:t xml:space="preserve"> Does harvest of the European grayling, Thymallus thymallus (Actinopterygii: Salmoniformes: Salmonidae), change over time with different intensity of fish stocking and fishing effort? — https://doi.org/10.3750/aiep/02643</w:t>
      </w:r>
    </w:p>
    <w:p>
      <w:pPr/>
      <w:r>
        <w:rPr>
          <w:b/>
        </w:rPr>
        <w:t>Shared claim-specific concepts:</w:t>
      </w:r>
      <w:r>
        <w:t xml:space="preserve"> constant, harvest, period; EU scope visible. This is a provisional connection, not an outcome finding.</w:t>
      </w:r>
    </w:p>
    <w:p>
      <w:pPr>
        <w:pStyle w:val="SourceNote"/>
      </w:pPr>
      <w:r>
        <w:rPr>
          <w:b/>
        </w:rPr>
        <w:t>Available abstract (not full text):</w:t>
      </w:r>
      <w:r>
        <w:t xml:space="preserve"> Background. The European grayling, Thymallus thymallus (Linnaeus, 1758), is a fish species of high value in recreational fishing. The monitoring of changes in grayling populations is a high priority in fisheries. Data on the harvest of recreational anglers can potentially serve as an easy and inexpensive way to monitor changes in fish populations. This study aimed to assess spatio-temporal trends in catches of grayling in a larger geographical area. Materials and methods. This study analysed harvest rates of grayling by recreational anglers on 241 fishing grounds, in the Czech Republic, within 1986–2015 (30 years). Data from individual angling logbooks were used. The data were collected by individual anglers and processed by the Czech Fishing Union (Český rybářský svaz). Results. Over the period of 30 years, Czech anglers harvested a total of 9 928 grayling specimens weighing altogether 3 357 kg. Within the period surveyed, both parameters (the grayling biomass harvested and the representation of grayling in overall fish harvest) decreased to 10% of the initial values. The percentage of fishing grounds with a harvest of grayling decreased to 30% of the initial values. Harvest per effort decreased to 20% of the initial values over 11 years. There was only a weak correlation between fish stocking and fish harvest. There was a negative relation between the number of angler fishing</w:t>
      </w:r>
    </w:p>
    <w:p>
      <w:pPr/>
      <w:r>
        <w:rPr>
          <w:b/>
        </w:rPr>
        <w:t>POSSIBLE 2020:</w:t>
      </w:r>
      <w:r>
        <w:t xml:space="preserve"> Harvesting reflective knowledge exchange for inbound open innovation in complex collaborative networks: an empirical verification in Europe — https://doi.org/10.1108/jkm-04-2020-0300</w:t>
      </w:r>
    </w:p>
    <w:p>
      <w:pPr/>
      <w:r>
        <w:rPr>
          <w:b/>
        </w:rPr>
        <w:t>Shared claim-specific concepts:</w:t>
      </w:r>
      <w:r>
        <w:t xml:space="preserve"> findings, process, period; EU scope visible. This is a provisional connection, not an outcome finding.</w:t>
      </w:r>
    </w:p>
    <w:p>
      <w:pPr>
        <w:pStyle w:val="SourceNote"/>
      </w:pPr>
      <w:r>
        <w:rPr>
          <w:b/>
        </w:rPr>
        <w:t>Available abstract (not full text):</w:t>
      </w:r>
      <w:r>
        <w:t xml:space="preserve"> Purpose This study aims to investigate the effects of open innovation (OI) and big data analytics (BDA) on reflective knowledge exchange (RKE) within the context of complex collaborative networks. Specifically, it considers the relationships between sourcing knowledge from an external environment, transferring knowledge to an external environment and adopting solutions that are useful to appropriate returns from innovation. Design/methodology/approach This study analyzes the connection between the number of patent applications and the amount of OI, as well as the association between the number of patent applications and the use of BDA. Data from firms in the 27 European Union countries were retrieved from the Eurostat database for the period 2014–2019 and were investigated using an ordinary least squares regression analysis. Findings Because of its twofold lens based on both knowledge management and OI, this study sheds light on OI collaboration modes and highlights the crucial role they could play in innovation. In particular, the results suggest that OI collaboration modes have a strong effect on innovation performance, stimulating the search for RKE. Originality/value This study furthers a deeper understanding of RKE, which is shown to be an important mechanism that incentivizes firms to increase their efforts in the innovation process. Further, RKE supports firms in taking </w:t>
      </w:r>
    </w:p>
    <w:p>
      <w:pPr/>
      <w:r>
        <w:rPr>
          <w:b/>
        </w:rPr>
        <w:t>POSSIBLE 2020:</w:t>
      </w:r>
      <w:r>
        <w:t xml:space="preserve"> Analyses of Work Efficiency of a Strawberry-Harvesting Robot in an Automated Greenhouse — https://doi.org/10.3390/agronomy10111751</w:t>
      </w:r>
    </w:p>
    <w:p>
      <w:pPr/>
      <w:r>
        <w:rPr>
          <w:b/>
        </w:rPr>
        <w:t>Shared claim-specific concepts:</w:t>
      </w:r>
      <w:r>
        <w:t xml:space="preserve"> rate, show, process, compared; EU scope not established. This is a provisional connection, not an outcome finding.</w:t>
      </w:r>
    </w:p>
    <w:p>
      <w:pPr>
        <w:pStyle w:val="SourceNote"/>
      </w:pPr>
      <w:r>
        <w:rPr>
          <w:b/>
        </w:rPr>
        <w:t>Available abstract (not full text):</w:t>
      </w:r>
      <w:r>
        <w:t xml:space="preserve"> Protected cultivation systems such as greenhouses are becoming increasingly popular globally and have been adopted because of unpredictable climatic conditions and their ability to easily control micro- and macroenvironments. However, limitations such as hazardous work environments and shortages in labor are major concerns for agricultural production using these structures. This has led to the development and adoption of robotic systems. For the efficient use of robots in protected cultivation systems, we formulate the work efficiency problem and model a three-dimensional standard strawberry greenhouse to analyze the effectiveness of a strawberry-harvesting robot compared to different levels of human workforce (experienced, average, and beginner). Simulations are conducted using Quest software to compare the efficiency of different scenarios of robotics to humans. Different methods of improvement from battery capacity and charge rate to harvesting speed are investigated and optimal conditions are recommended. The average hourly production of the robot is about five times lower than that of skilled workers. However, robots are more productive due to their ability to work around the clock. Comparative analyses show that a reduction in harvesting time per strawberry from 3 to 1 s would result in an increase in daily production from 347.93 to 1021.30 kg. This would lead to a five-f</w:t>
      </w:r>
    </w:p>
    <w:p>
      <w:pPr/>
      <w:r>
        <w:rPr>
          <w:b/>
        </w:rPr>
        <w:t>POSSIBLE 2020:</w:t>
      </w:r>
      <w:r>
        <w:t xml:space="preserve"> Nutrient delivery efficiency of a combined sewer along a lake challenged by incipient eutrophication — https://doi.org/10.1016/j.watres.2020.116727</w:t>
      </w:r>
    </w:p>
    <w:p>
      <w:pPr/>
      <w:r>
        <w:rPr>
          <w:b/>
        </w:rPr>
        <w:t>Shared claim-specific concepts:</w:t>
      </w:r>
      <w:r>
        <w:t xml:space="preserve"> show, incipient, although; EU scope not established. This is a provisional connection, not an outcome finding.</w:t>
      </w:r>
    </w:p>
    <w:p>
      <w:pPr>
        <w:pStyle w:val="SourceNote"/>
      </w:pPr>
      <w:r>
        <w:rPr>
          <w:b/>
        </w:rPr>
        <w:t>Available abstract (not full text):</w:t>
      </w:r>
      <w:r>
        <w:t xml:space="preserve"> Although sewage diversion outside of a lake's watershed is now ordinary practice in the restoration of eutrophic lakes, often the observed recovery is slower than expected and the internal load from the lake anoxic sediments is identified as a possible reason. However, in the case of combined sewer, the quantification of the residual nutrient load discharged from sewer spillways must also be questioned. In this paper, the diversion efficiency of the sewer system along the east coast of Lake Iseo, a prealpine Italian lake where eutrophication effects are still severe, is investigated. To this purpose, a representative part of the sewer system was modelled by PCSWMM and calibrated by using an extensive series of discharge measurements. Water quality monitoring during wet weather periods reveals that the first flush is common in tributary sewers, whereas it is absent along the main collector. Moreover, flow discharges are strongly affected by infiltration waters, which are controlled by the lake water level. The calibrated model, including infiltration modeling, was used to assess the annual overflow volumes and the nutrient load through a continuous 10-year simulation. Simulations were conducted both with regard to the current conditions and to a climate change scenario. Results show that the discharged residual load is at least 7 times larger than the design value, with the wate</w:t>
      </w:r>
    </w:p>
    <w:p>
      <w:pPr/>
      <w:r>
        <w:rPr>
          <w:b/>
        </w:rPr>
        <w:t>POSSIBLE 2019:</w:t>
      </w:r>
      <w:r>
        <w:t xml:space="preserve"> Estimating Sustainable Harvest Rates for European Hare (Lepus Europaeus) Populations — https://doi.org/10.3390/su11102837</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Hunting quotas are used to manage populations of game species in order to ensure sustainable exploitation. However, unpredictable climatic events may interact with hunting. We established a population model for European hares (Lepus europaeus) in Lower Austria. We compared the sustainability of voluntary quotas used by hunters—which are derived from hare-specific guidelines—with the actual numbers of hares shot and our recommended quotas for hares, which have been derived from climate and population modeling. We used population modeling based on vital rates and densities to adjust our recommended quotas in order to achieve sustainable harvest. The survival of age classes 1 and 3 had the highest impact on the population growth rate. Population viability analysis showed that a recommended quota with a harvest rate of 10% was sustainable for population densities of 45 hares/km2, and that the threshold for hunting should be raised from 10 hares/km2 so that hare populations with &lt;15 hares/km2 are not hunted. The recommended quota outperformed the voluntary hunting quota, since more hares could be harvested sustainably. Age Class 1 survival was strongly linked with weather: a single year with unfavorable weather conditions (low precipitation) negatively affected population densities. Game species, including the European hare, face increasingly frequent weather extremes due to climate</w:t>
      </w:r>
    </w:p>
    <w:p>
      <w:pPr/>
      <w:r>
        <w:rPr>
          <w:b/>
        </w:rPr>
        <w:t>POSSIBLE 2019:</w:t>
      </w:r>
      <w:r>
        <w:t xml:space="preserve"> Harvest assessment for Taiga bean geese in the Central Management Unit: 2019 — https://openalex.org/W2963762313</w:t>
      </w:r>
    </w:p>
    <w:p>
      <w:pPr/>
      <w:r>
        <w:rPr>
          <w:b/>
        </w:rPr>
        <w:t>Shared claim-specific concepts:</w:t>
      </w:r>
      <w:r>
        <w:t xml:space="preserve"> constant, harvest, rate, compared; EU scope visible. This is a provisional connection, not an outcome finding.</w:t>
      </w:r>
    </w:p>
    <w:p>
      <w:pPr>
        <w:pStyle w:val="SourceNote"/>
      </w:pPr>
      <w:r>
        <w:rPr>
          <w:b/>
        </w:rPr>
        <w:t>Available abstract (not full text):</w:t>
      </w:r>
      <w:r>
        <w:t xml:space="preserve"> In 2016 the European Goose Management International Working Group (EGM IWG) began development of an Adaptive Harvest Management (AHM) program for Taiga Bean Geese.In 2017, the IWG adopted an Interim Harvest Strategy consisting of a constant harvest rate (on adults) of 3% for the Central Management Unit (MU) of Taiga Bean Geese.The interim strategy is intended to provide limited hunting opportunity while rebuilding the population.Based on a January count of 41,927, the harvest quota for the 2019 hunting season is 1,740 Taiga Bean Geese (compared to 2,335 and 1,610 for the 2017 and 2018 seasons, respectively).We emphasize that these quotas include both, harvest during the regular season and derogation shooting.Going forward, we describe how an Integrated Population Model (IPM) will use counts at multiple times during the year, along with other demographic information, to estimate population size (and its precision).The IPM can be used to develop an adaptive harvest strategy if unambiguous management objectives can be agreed upon.We provide some initial guidance for formulating those objectives.1 This draft report is distributed solely for purposes of courtesy review and comments received will be addressed and treated as appropriate to ensure there is no conflict of interest.Its content is deliberative and pre-decisional, so it must not be disclosed or released by reviewers.Becaus</w:t>
      </w:r>
    </w:p>
    <w:p>
      <w:pPr/>
      <w:r>
        <w:rPr>
          <w:b/>
        </w:rPr>
        <w:t>POSSIBLE 2018:</w:t>
      </w:r>
      <w:r>
        <w:t xml:space="preserve"> Harvesting the Commons — https://doi.org/10.1007/s10640-018-0221-4</w:t>
      </w:r>
    </w:p>
    <w:p>
      <w:pPr/>
      <w:r>
        <w:rPr>
          <w:b/>
        </w:rPr>
        <w:t>Shared claim-specific concepts:</w:t>
      </w:r>
      <w:r>
        <w:t xml:space="preserve"> harvest, rate, findings, compared, historical; EU scope not established. This is a provisional connection, not an outcome finding.</w:t>
      </w:r>
    </w:p>
    <w:p>
      <w:pPr>
        <w:pStyle w:val="SourceNote"/>
      </w:pPr>
      <w:r>
        <w:rPr>
          <w:b/>
        </w:rPr>
        <w:t>Available abstract (not full text):</w:t>
      </w:r>
      <w:r>
        <w:t xml:space="preserve"> We study a socio-ecological model in which a continuum of consumers harvest a common property renewable natural resource. Markov perfect Nash equilibria of the corresponding non-cooperative game are derived and are compared with collectively optimal harvesting policies. The underlying mechanisms that drive open-access commons in our model are shaped by population size, harvesting costs, and the ecosystem’s productivity. If other things equal population is small relative to harvesting costs, unmanaged commons do not face destruction. More strikingly, they are harvested at the collectively optimal rate. Property rights do not matter in that parametric regime because the resource has no social scarcity value. However, if other things equal population is large relative to harvesting costs, open-access renewable natural resources suffer from the tragedy of the commons. Property rights matter there because the resource has a social scarcity price. The population size relative to harvesting costs at which the socio-ecological system bifurcates is an increasing function of the ecosystem’s productivity. A sudden crash in productivity, population overshoot, or decline in harvesting costs can tip an unmanaged common into ruin. The model provides a way to interpret historical and archaeological findings on the collapse of those societies that have been studied by scholars.</w:t>
      </w:r>
    </w:p>
    <w:p>
      <w:pPr>
        <w:pStyle w:val="Heading2"/>
      </w:pPr>
      <w:r>
        <w:t>809.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2022:</w:t>
      </w:r>
      <w:r>
        <w:t xml:space="preserve"> Perceived drivers and barriers in the governance of wastewater treatment and reuse in India: Insights from a two-round Delphi study — https://doi.org/10.1016/j.resconrec.2022.106285</w:t>
      </w:r>
    </w:p>
    <w:p>
      <w:pPr/>
      <w:r>
        <w:rPr>
          <w:b/>
        </w:rPr>
        <w:t>Shared claim-specific concepts:</w:t>
      </w:r>
      <w:r>
        <w:t xml:space="preserve"> delphi, key, drivers; EU scope not established. This is a provisional connection, not an outcome finding.</w:t>
      </w:r>
    </w:p>
    <w:p>
      <w:pPr>
        <w:pStyle w:val="SourceNote"/>
      </w:pPr>
      <w:r>
        <w:rPr>
          <w:b/>
        </w:rPr>
        <w:t>Available abstract (not full text):</w:t>
      </w:r>
      <w:r>
        <w:t xml:space="preserve">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pPr/>
      <w:r>
        <w:rPr>
          <w:b/>
        </w:rPr>
        <w:t>POSSIBLE 2022:</w:t>
      </w:r>
      <w:r>
        <w:t xml:space="preserve"> Organizational readiness to adopt artificial intelligence in the exhibition sector in Western Europe — https://doi.org/10.1016/j.ijinfomgt.2022.102497</w:t>
      </w:r>
    </w:p>
    <w:p>
      <w:pPr/>
      <w:r>
        <w:rPr>
          <w:b/>
        </w:rPr>
        <w:t>Shared claim-specific concepts:</w:t>
      </w:r>
      <w:r>
        <w:t xml:space="preserve"> approach, industry, competitiveness; EU scope visible. This is a provisional connection, not an outcome finding.</w:t>
      </w:r>
    </w:p>
    <w:p>
      <w:pPr>
        <w:pStyle w:val="SourceNote"/>
      </w:pPr>
      <w:r>
        <w:rPr>
          <w:b/>
        </w:rPr>
        <w:t>Available abstract (not full text):</w:t>
      </w:r>
      <w:r>
        <w:t xml:space="preserve"> This exploratory study explores perceptions of Artificial Intelligence (AI) and organizational readiness to adopt AI, in the exhibition sector of the events industry. A theoretical framework synthesizing the Technology - Organization - Environment framework and the Technology Readiness Index was developed to guide this qualitative study. Seventeen senior managerial representatives from exhibition organizations across nine Western European countries were interviewed, and a reflexive thematic approach was adopted to analyse the data. The findings suggest that the European exhibition industry is a slow adopter of AI, which may impact its future competitiveness, despite the stimulus provided to AI adoption during the COVID-19 pandemic. The degree of confidence in organizational technological practices, financial resources, the size of the organization, and issues of data management and protection, as well as the impacts of the COVID-19 pandemic, motivate or inhibit readiness for AI adoption in the event industry. A new Exhibition Sector Readiness for AI Adoption Model is presented in this research that managers and researchers can use to analyze inhibitors and motivations for AI adoption, which is contextualized for the current challenges facing the exhibitions sector.</w:t>
      </w:r>
    </w:p>
    <w:p>
      <w:pPr/>
      <w:r>
        <w:rPr>
          <w:b/>
        </w:rPr>
        <w:t>POSSIBLE 2019:</w:t>
      </w:r>
      <w:r>
        <w:t xml:space="preserve"> Unravelling the Scientific Debate on How to Address Wolf-Dog Hybridization in Europe — https://doi.org/10.3389/fevo.2019.00175</w:t>
      </w:r>
    </w:p>
    <w:p>
      <w:pPr/>
      <w:r>
        <w:rPr>
          <w:b/>
        </w:rPr>
        <w:t>Shared claim-specific concepts:</w:t>
      </w:r>
      <w:r>
        <w:t xml:space="preserve"> three-round, delphi, according; EU scope visible. This is a provisional connection, not an outcome finding.</w:t>
      </w:r>
    </w:p>
    <w:p>
      <w:pPr>
        <w:pStyle w:val="SourceNote"/>
      </w:pPr>
      <w:r>
        <w:rPr>
          <w:b/>
        </w:rPr>
        <w:t>Available abstract (not full text):</w:t>
      </w:r>
      <w:r>
        <w:t xml:space="preserve"> Anthropogenic hybridisation is widely perceived as a threat to the conservation of biodiversity. Nevertheless, to date, relevant policy and management interventions are unresolved and highly convoluted. While this is due to the inherent complexity of the issue, we hereby hypothesise that lack of agreement concerning management goals and approaches, within the scientific community, may explain the lack of social awareness on this phenomenon, and the absence of effective pressure on decision-makers. By focusing on wolf x dog hybridisation in Europe, we hereby (a) assess the state of the art of issues on wolf x dog hybridisation within the scientific community, (b) assess the conceptual bases for different viewpoints, and (c) provide a conceptual framework aiming at reducing the disagreement. We adopted the Delphi technique, involving a three-round iterative survey addressed to a selected sample of experts who published on Web of Science listed journals, in the last ten years on wolf x dog hybridisation and related topics. Consensus was reached that admixed individuals should always be defined according to their genetic profile, and that a reference threshold for admixture (i.e., q-value in assignment tests) should be formally adopted for their identification. To mitigate hybridisation, experts agreed on adopting preventive, proactive and, when concerning small and recovering wolf</w:t>
      </w:r>
    </w:p>
    <w:p>
      <w:pPr/>
      <w:r>
        <w:rPr>
          <w:b/>
        </w:rPr>
        <w:t>POSSIBLE 2019:</w:t>
      </w:r>
      <w:r>
        <w:t xml:space="preserve"> Overview of the DEMO staged design approach in Europe — https://doi.org/10.1088/1741-4326/ab1178</w:t>
      </w:r>
    </w:p>
    <w:p>
      <w:pPr/>
      <w:r>
        <w:rPr>
          <w:b/>
        </w:rPr>
        <w:t>Shared claim-specific concepts:</w:t>
      </w:r>
      <w:r>
        <w:t xml:space="preserve"> approach, industry, main; EU scope visible. This is a provisional connection, not an outcome finding.</w:t>
      </w:r>
    </w:p>
    <w:p>
      <w:pPr>
        <w:pStyle w:val="SourceNote"/>
      </w:pPr>
      <w:r>
        <w:rPr>
          <w:b/>
        </w:rPr>
        <w:t>Available abstract (not full text):</w:t>
      </w:r>
      <w:r>
        <w:t xml:space="preserve"> This paper describes the status of the pre-conceptual design activities in Europe to advance the technical basis of the design of a DEMOnstration Fusion Power Plant (DEMO) to come in operation around the middle of this century with the main aims of demonstrating the production of few hundred MWs of net electricity, the feasibility of operation with a closed-tritium fuel cycle, and maintenance systems capable of achieving adequate plant availability. This is expected to benefit as much as possible from the ITER experience, in terms of design, licensing, and construction. Emphasis is on an integrated design approach, based on system engineering, which provides a clear path for urgent R&amp;D and addresses the main design integration issues by taking account critical systems interdependencies and inherent uncertainties of important design assumptions (physics and technology). A design readiness evaluation, together with a technology maturation and down selection strategy are planned through structured and transparent Gate Reviews. By embedding industry experience in the design from the beginning it will ensure that early attention is given to technology readiness and industrial feasibility, costs, maintenance, power conversion, nuclear safety and licensing aspects.</w:t>
      </w:r>
    </w:p>
    <w:p>
      <w:pPr/>
      <w:r>
        <w:rPr>
          <w:b/>
        </w:rPr>
        <w:t>POSSIBLE 2018:</w:t>
      </w:r>
      <w:r>
        <w:t xml:space="preserve"> Adopting a models-based approach to teaching physical education — https://doi.org/10.1080/17408989.2018.1429588</w:t>
      </w:r>
    </w:p>
    <w:p>
      <w:pPr/>
      <w:r>
        <w:rPr>
          <w:b/>
        </w:rPr>
        <w:t>Shared claim-specific concepts:</w:t>
      </w:r>
      <w:r>
        <w:t xml:space="preserve"> approach, key, value; EU scope not established. This is a provisional connection, not an outcome finding.</w:t>
      </w:r>
    </w:p>
    <w:p>
      <w:pPr>
        <w:pStyle w:val="SourceNote"/>
      </w:pPr>
      <w:r>
        <w:rPr>
          <w:b/>
        </w:rPr>
        <w:t>Available abstract (not full text):</w:t>
      </w:r>
      <w:r>
        <w:t xml:space="preserve"> Background: The popularised notion of models-based practice (MBP) is one that focuses on the delivery of a model, e.g. Cooperative Learning, Sport Education, Teaching Personal and Social Responsibility, Teaching Games for Understanding. Indeed, while an abundance of research studies have examined the delivery of a single model and some have explored hybrid models, few have sought to meaningfully and purposefully connect different models in a school's curriculum (see Kirk, D. 2013. ‘Educational Value and Models-based Practice in Physical Education.’ Educational Philosophy and Theory 45 (9): 973–986.; Lund, J., and D. Tannehill. 2015. Standards-based Physical Education Curriculum Development. 3rd ed. Burlington, MA: Jones &amp; Bartlett.; Quay, J., and J. Peters. 2008. ‘Skills, Strategies, Sport, and Social Responsibility: Reconnecting Physical Education.’ Journal of Curriculum Studies 40 (5): 601–626.). Significantly none, to date, have empirically investigated broader notions of MBP that make use of a range of different pedagogical models in/through the PE curriculum (Kirk, D. 2013. ‘Educational Value and Models-based Practice in Physical Education.’ Educational Philosophy and Theory 45 (9): 973–986.).Aim: To provide a first empirical insight into using a MBP approach involving several models to teach physical education. At its heart, this paper presents the reader with the realist</w:t>
      </w:r>
    </w:p>
    <w:p>
      <w:pPr/>
      <w:r>
        <w:rPr>
          <w:b/>
        </w:rPr>
        <w:t>POSSIBLE 2018:</w:t>
      </w:r>
      <w:r>
        <w:t xml:space="preserve"> Unintended Side Effects of the Digital Transition: European Scientists’ Messages from a Proposition-Based Expert Round Table — https://doi.org/10.3390/su10062001</w:t>
      </w:r>
    </w:p>
    <w:p>
      <w:pPr/>
      <w:r>
        <w:rPr>
          <w:b/>
        </w:rPr>
        <w:t>Shared claim-specific concepts:</w:t>
      </w:r>
      <w:r>
        <w:t xml:space="preserve"> key, industry, value, expert, main; EU scope visible. This is a provisional connection, not an outcome finding.</w:t>
      </w:r>
    </w:p>
    <w:p>
      <w:pPr>
        <w:pStyle w:val="SourceNote"/>
      </w:pPr>
      <w:r>
        <w:rPr>
          <w:b/>
        </w:rPr>
        <w:t>Available abstract (not full text):</w:t>
      </w:r>
      <w:r>
        <w:t xml:space="preserve"> We present the main messages of a European Expert Round Table (ERT) on the unintended side effects (unseens) of the digital transition. Seventeen experts provided 42 propositions from ten different perspectives as input for the ERT. A full-day ERT deliberated communalities and relationships among these unseens and provided suggestions on (i) what the major unseens are; (ii) how rebound effects of digital transitioning may become the subject of overarching research; and (iii) what unseens should become subjects of transdisciplinary theory and practice processes for developing socially robust orientations. With respect to the latter, the experts suggested that the “ownership, economic value, use and access of data” and, related to this, algorithmic decision-making call for transdisciplinary processes that may provide guidelines for key stakeholder groups on how the responsible use of digital data can be developed. A cluster-based content analysis of the propositions, the discussion and inputs of the ERT, and a theoretical analysis of major changes to levels of human systems and the human–environment relationship resulted in the following greater picture: The digital transition calls for redefining economy, labor, democracy, and humanity. Artificial Intelligence (AI)-based machines may take over major domains of human labor, reorganize supply chains, induce platform economics, and</w:t>
      </w:r>
    </w:p>
    <w:p>
      <w:pPr>
        <w:pStyle w:val="Heading2"/>
      </w:pPr>
      <w:r>
        <w:t>810.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2023:</w:t>
      </w:r>
      <w:r>
        <w:t xml:space="preserve"> Organizational Models in European Forestry: An Attempt of Conceptualization and Categorization — https://doi.org/10.3390/f14050905</w:t>
      </w:r>
    </w:p>
    <w:p>
      <w:pPr/>
      <w:r>
        <w:rPr>
          <w:b/>
        </w:rPr>
        <w:t>Shared claim-specific concepts:</w:t>
      </w:r>
      <w:r>
        <w:t xml:space="preserve"> attempt, decades; EU scope visible. This is a provisional connection, not an outcome finding.</w:t>
      </w:r>
    </w:p>
    <w:p>
      <w:pPr>
        <w:pStyle w:val="SourceNote"/>
      </w:pPr>
      <w:r>
        <w:rPr>
          <w:b/>
        </w:rPr>
        <w:t>Available abstract (not full text):</w:t>
      </w:r>
      <w:r>
        <w:t xml:space="preserve"> The changes and challenges that are tackling the forest sector in recent decades have prompted governments and foresters to work hard to find innovative solutions. Research in the forestry domain has focused on product and process innovation, and more recently on business systems and social innovation. In addition, organizational innovation is recognized and documented. However, while consistent conceptualization work has been conducted for business models and social innovation, the organizational domain in forestry seems less clear, characterized by multiple actors and often overlapping in literature, while a clear framework to describe it is missing. This work proposes a conceptualization of the “organizational model”, a concept embracing different approaches to build an analytical framework used to describe and characterize organizations in the forestry sector. The framework is drafted referring to existing theories, then tested (and further developed) through a semi-systematic literature review on organizations operating in forest management in Europe that are identified, categorized, and characterized. This exercise confirms that forest management organizations can be described with several diverse arrangements and can be complex entities: a holistic and comprehensive approach is more likely to be used by policy initiatives addressing improvement of forest management.</w:t>
      </w:r>
    </w:p>
    <w:p>
      <w:pPr/>
      <w:r>
        <w:rPr>
          <w:b/>
        </w:rPr>
        <w:t>POSSIBLE 2023:</w:t>
      </w:r>
      <w:r>
        <w:t xml:space="preserve"> Dream of European Army: Is It a Feasible Objective or Not? — https://doi.org/10.37880/cumuiibf.1334315</w:t>
      </w:r>
    </w:p>
    <w:p>
      <w:pPr/>
      <w:r>
        <w:rPr>
          <w:b/>
        </w:rPr>
        <w:t>Shared claim-specific concepts:</w:t>
      </w:r>
      <w:r>
        <w:t xml:space="preserve"> objective, attempt, significant, feasible, areas, decades; EU scope visible. This is a provisional connection, not an outcome finding.</w:t>
      </w:r>
    </w:p>
    <w:p>
      <w:pPr>
        <w:pStyle w:val="SourceNote"/>
      </w:pPr>
      <w:r>
        <w:rPr>
          <w:b/>
        </w:rPr>
        <w:t>Available abstract (not full text):</w:t>
      </w:r>
      <w:r>
        <w:t xml:space="preserve"> The European Union’s (EU) defense initiatives have changed over time, reflecting both the pursuit of security and defense goals and the shifting dynamics of European integration. To improve defense cooperation and create a common defense strategy for the EU, several initiatives have been made. The EU’s Common Security and Defense Policy (CSDP), which strives to strengthen its capacity to handle security concerns and preserve stability, has a significant influence on defense-related operations. We have witnessed new security and military efforts from the EU in the first two decades of the 2000s, such as the European Security Strategy, EU’s Global Strategy and Security Compass. 2013 marked a turning point when the USA deployed its new nuclear weapons in Europe. The announcement of the creation of the European army was made on November 13, 2017. Europe should be able to act independently in areas of defense and security rather than merely relying on the US or NATO. Because of these kinds of reservations, desires to pursue more advanced capabilities on their own have been raised. There has been a lot of debate and analysis around the reasons for and against the formation of a European army. Numerous parties have expressed interest in and influence over the notion of a European army. The development of a European army has been heavily debated over the past several years. Why is the </w:t>
      </w:r>
    </w:p>
    <w:p>
      <w:pPr/>
      <w:r>
        <w:rPr>
          <w:b/>
        </w:rPr>
        <w:t>POSSIBLE 2021:</w:t>
      </w:r>
      <w:r>
        <w:t xml:space="preserve"> Identification of Suicide Attempt Risk Factors in a National US Survey Using Machine Learning — https://doi.org/10.1001/jamapsychiatry.2020.4165</w:t>
      </w:r>
    </w:p>
    <w:p>
      <w:pPr/>
      <w:r>
        <w:rPr>
          <w:b/>
        </w:rPr>
        <w:t>Shared claim-specific concepts:</w:t>
      </w:r>
      <w:r>
        <w:t xml:space="preserve"> objective, attempt, identification, factors, not; EU scope not established. This is a provisional connection, not an outcome finding.</w:t>
      </w:r>
    </w:p>
    <w:p>
      <w:pPr>
        <w:pStyle w:val="SourceNote"/>
      </w:pPr>
      <w:r>
        <w:rPr>
          <w:b/>
        </w:rPr>
        <w:t>Available abstract (not full text):</w:t>
      </w:r>
      <w:r>
        <w:t xml:space="preserve"> Importance: Because more than one-third of people making nonfatal suicide attempts do not receive mental health treatment, it is essential to extend suicide attempt risk factors beyond high-risk clinical populations to the general adult population. Objective: To identify future suicide attempt risk factors in the general population using a data-driven machine learning approach including more than 2500 questions from a large, nationally representative survey of US adults. Design, Setting, and Participants: Data came from wave 1 (2001 to 2002) and wave 2 (2004 to 2005) of the National Epidemiologic Survey on Alcohol and Related Conditions (NESARC). NESARC is a face-to-face longitudinal survey conducted with a national representative sample of noninstitutionalized civilian population 18 years and older in the US. The cumulative response rate across both waves was 70.2% resulting in 34 653 wave 2 interviews. A balanced random forest was trained using cross-validation to develop a suicide attempt risk model. Out-of-fold model prediction was used to assess model performance, including the area under the receiver operator curve, sensitivity, and specificity. Survey design and nonresponse weights allowed estimates to be representative of the US civilian population based on the 2000 census. Analyses were performed between May 15, 2019, and June 10, 2020. Main Outcomes and Measures: Atte</w:t>
      </w:r>
    </w:p>
    <w:p>
      <w:pPr/>
      <w:r>
        <w:rPr>
          <w:b/>
        </w:rPr>
        <w:t>POSSIBLE 2021:</w:t>
      </w:r>
      <w:r>
        <w:t xml:space="preserve"> Social Enterprise in Western Europe — https://doi.org/10.4324/9780429055140</w:t>
      </w:r>
    </w:p>
    <w:p>
      <w:pPr/>
      <w:r>
        <w:rPr>
          <w:b/>
        </w:rPr>
        <w:t>Shared claim-specific concepts:</w:t>
      </w:r>
      <w:r>
        <w:t xml:space="preserve"> objective, attempt, identification, decades; EU scope visible. This is a provisional connection, not an outcome finding.</w:t>
      </w:r>
    </w:p>
    <w:p>
      <w:pPr>
        <w:pStyle w:val="SourceNote"/>
      </w:pPr>
      <w:r>
        <w:rPr>
          <w:b/>
        </w:rPr>
        <w:t>Available abstract (not full text):</w:t>
      </w:r>
      <w:r>
        <w:t xml:space="preserve"> In the last two decades, the quest for a widely accepted definition of social enterprise has been a central issue in a great number of publications.The main objective of the ICSEM Project on which this book is based was to show that the social enterprise field would benefit much more from linking conceptualisation efforts to the huge diversity of social enterprises than from an additional and ambitious attempt at providing an encompassing definition. Starting from a hypothesis that could be termed "the impossibility of a unified definition", the ICSEM research strategy relied on bottom-up approaches to capture the social enterprise phenomenon in its local and national contexts. This strategy made it possible to take into account and give legitimacy to locally embedded approaches, while simultaneously allowing for the identification of major social enterprise models to delineate the field on common grounds at the international level.Social Enterprise in Western Europe –the third volume in a series of four ICSEM-based books on social enterprise worldwide – will serve as a key reference and resource for teachers, researchers, students, experts, policy makers, journalists and others who want to acquire a broad understanding of the social enterprise and social entrepreneurship phenomena as they emerge and develop in this region.</w:t>
      </w:r>
    </w:p>
    <w:p>
      <w:pPr/>
      <w:r>
        <w:rPr>
          <w:b/>
        </w:rPr>
        <w:t>POSSIBLE 2020:</w:t>
      </w:r>
      <w:r>
        <w:t xml:space="preserve"> Subjective or Objective? How Objective Measures Relate to Subjective Life Satisfaction in Europe — https://doi.org/10.3390/ijgi9050320</w:t>
      </w:r>
    </w:p>
    <w:p>
      <w:pPr/>
      <w:r>
        <w:rPr>
          <w:b/>
        </w:rPr>
        <w:t>Shared claim-specific concepts:</w:t>
      </w:r>
      <w:r>
        <w:t xml:space="preserve"> objective, significant, factors; EU scope visible. This is a provisional connection, not an outcome finding.</w:t>
      </w:r>
    </w:p>
    <w:p>
      <w:pPr>
        <w:pStyle w:val="SourceNote"/>
      </w:pPr>
      <w:r>
        <w:rPr>
          <w:b/>
        </w:rPr>
        <w:t>Available abstract (not full text):</w:t>
      </w:r>
      <w:r>
        <w:t xml:space="preserve"> Quality of life and life satisfaction are topics that currently receive a great deal of attention across the globe. Many approaches exist, which use both qualitative and quantitative methods, to capture these phenomena. Historically, quality of life was measured exclusively by economic indicators. However, it is indisputable that other factors influence people’s life satisfaction, which is captured by subjective survey-based data. By contrast, objective data can easily be obtained and cover a wider range, in terms of population and area. In this research, the multiple fuzzy linear regression model is applied in order to explain the relationship between subjective life satisfaction and selected objective indicators used to evaluate quality of life. The great advantage of the fuzzy model lies in its ability to capture uncertainty, which is undoubtedly associated with the vague concept of subjective life satisfaction. The main outcome of the paper is the detection of indicators that have a statistically significant relationship with life satisfaction. Subsequently, a pan-European sub-national prediction of life satisfaction after the consideration of the most relevant input indicators was proposed, including the uncertainty associated with the prediction of such a phenomenon. The study revealed significant regional differences and similarities between the originally reported satis</w:t>
      </w:r>
    </w:p>
    <w:p>
      <w:pPr/>
      <w:r>
        <w:rPr>
          <w:b/>
        </w:rPr>
        <w:t>POSSIBLE 2020:</w:t>
      </w:r>
      <w:r>
        <w:t xml:space="preserve"> SUBJECTIVE AND OBJECTIVE IN THE NATIONAL SELF-IDENTIFICATION OF MACEDONIANS IN BULGARIA — https://doi.org/10.46763/bssr2016227b</w:t>
      </w:r>
    </w:p>
    <w:p>
      <w:pPr/>
      <w:r>
        <w:rPr>
          <w:b/>
        </w:rPr>
        <w:t>Shared claim-specific concepts:</w:t>
      </w:r>
      <w:r>
        <w:t xml:space="preserve"> objective, decades, not; EU scope visible. This is a provisional connection, not an outcome finding.</w:t>
      </w:r>
    </w:p>
    <w:p>
      <w:pPr>
        <w:pStyle w:val="SourceNote"/>
      </w:pPr>
      <w:r>
        <w:rPr>
          <w:b/>
        </w:rPr>
        <w:t>Available abstract (not full text):</w:t>
      </w:r>
      <w:r>
        <w:t xml:space="preserve"> Through the prism of “subjective” and “objective” criteria, this paper analyses the theoretical and practical problems associated with the self-identification of the Macedonians and the non-recognition of the Macedonian minority by the Bulgarian state. Realization of the fundamental natural subjective human right to independent and free national self-identification is extremely difficult in the absence of objective conditions, such as state guarantees aimed at the development of specific national minorities. The Bulgarian state not only does not provide any guarantees for the development of the Macedonian minority, but for many decades has denied the very fact of its existence in Bulgaria, which is consistently implemented in the lawmaking and enforcement activities of this state. In result Macedonians cannot even register their own NGOs, which led to numerous decisions of ECHR against Bulgaria.The authors of the paper critically assess the Bulgarian state national ideology and politics, devoid of any signs of tolerance and not based on real, internationally recognized objective facts confirming the centuries-old existence of the Macedonian minority, the Macedonian language and culture on the territory of modern Bulgaria. In addition, the official state myths that the citizens of Bulgaria who identify themselves with the Macedonian national minority are enemies of theBulgarian </w:t>
      </w:r>
    </w:p>
    <w:p>
      <w:pPr/>
      <w:r>
        <w:rPr>
          <w:b/>
        </w:rPr>
        <w:t>POSSIBLE 2018:</w:t>
      </w:r>
      <w:r>
        <w:t xml:space="preserve"> Pilot Ionosonde Network for Identification of Traveling Ionospheric Disturbances — https://doi.org/10.1002/2017rs006263</w:t>
      </w:r>
    </w:p>
    <w:p>
      <w:pPr/>
      <w:r>
        <w:rPr>
          <w:b/>
        </w:rPr>
        <w:t>Shared claim-specific concepts:</w:t>
      </w:r>
      <w:r>
        <w:t xml:space="preserve"> objective, identification, not; EU scope visible. This is a provisional connection, not an outcome finding.</w:t>
      </w:r>
    </w:p>
    <w:p>
      <w:pPr>
        <w:pStyle w:val="SourceNote"/>
      </w:pPr>
      <w:r>
        <w:rPr>
          <w:b/>
        </w:rPr>
        <w:t>Available abstract (not full text):</w:t>
      </w:r>
      <w:r>
        <w:t xml:space="preserve"> Abstract Traveling ionospheric disturbances (TIDs) are the ionospheric signatures of atmospheric gravity waves. Their identification and tracking is important because the TIDs affect all services that rely on predictable ionospheric radio wave propagation. Although various techniques have been proposed to measure TID characteristics, their real‐time implementation still has several difficulties. In this contribution, we present a new technique, based on the analysis of oblique Digisonde‐to‐Digisonde “skymap” observations, to directly identify TIDs and specify the TID wave parameters based on the measurement of angle of arrival, Doppler frequency, and time of flight of ionospherically reflected high‐frequency radio pulses. The technique has been implemented for the first time for the Network for TID Exploration project with data streaming from the network of European Digisonde DPS4D observatories. The performance is demonstrated during a period of moderate auroral activity, assessing its consistency with independent measurements such as data from auroral magnetometers and electron density perturbations from Digisondes and Global Navigation Satellite System stations. Given that the different types of measurements used for this assessment were not made at exactly the same time and location, and that there was insufficient coverage in the area between the atmospheric gravity wave s</w:t>
      </w:r>
    </w:p>
    <w:p>
      <w:pPr>
        <w:pStyle w:val="Heading2"/>
      </w:pPr>
      <w:r>
        <w:t>811.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2022:</w:t>
      </w:r>
      <w:r>
        <w:t xml:space="preserve"> Comparative Multidimensional Analysis of the Current State of European Economies Based on the Complex of Macroeconomic Indicators — https://doi.org/10.3390/math10050847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The stability of the economy of any country is primarily determined by the totality of macroeconomic indicators that describe the current economic state. This article provides a multi-dimensional analysis of the macroeconomic situation in Europe according to the data of 2020. The purpose of the article is to give a clear idea of the relative position of the economies of European countries, their proximity or the significance of their differences to determine each country’s place in the overall European economic system. Research objectives: (1) to identify the necessary macroeconomic indicators for the research; (2) to determine the direction of the impact of these indicators on the economic situation of European countries; (3) to carry out a cluster division of the studied countries with the identification of the main characteristics of each cluster; (4) to identify the main macroeconomic indicators that determine the level of welfare of European countries, (5) to reduce the dimension of the multi-dimensional economic space using integrated latent factors, (6) to build a fuzzy mathematical model to predict the level of welfare of the country when the specified values of latent factors are achieved. The methodological basis of the analysis is the methods of processing multi-dimensional information, such as multi-dimensional scaling, cluster analysis, factor analysis, multivariat</w:t>
      </w:r>
    </w:p>
    <w:p>
      <w:pPr/>
      <w:r>
        <w:rPr>
          <w:b/>
        </w:rPr>
        <w:t>POSSIBLE 2022:</w:t>
      </w:r>
      <w:r>
        <w:t xml:space="preserve"> The Current State of the “Green” Parties: Russia, Europe, the World — https://doi.org/10.22394/1726-1139-2022-8-15-27</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article is devoted to the study of the current state of the «green» parties in the world as a whole, as well as in Europe and the Russian Federation in particular. The history of the formation of the «green» parties is also revealed and their common features are analyzed. In addition, the difference between the European «green» parties and the Russian ones is considered there. An important part of the study is the analysis of the percentage of representatives of «green» parties in the legislative authorities in the countries. As a result of the research, the author comes to several conclusions: currently, «green» parties exist in almost half of the countries where the existence of parties is possible as such. In a quarter of these countries, representatives of these parties are in the government, and about 4% of them are in the ruling coalitions. Nevertheless, for half a century, this is quite a great achievement for parties that were once considered oppositional. Most of these parties are represented in the European parliaments, but they have a number of differences from the «green» parties of the Russian Federation, which is also noted in this article.</w:t>
      </w:r>
    </w:p>
    <w:p>
      <w:pPr/>
      <w:r>
        <w:rPr>
          <w:b/>
        </w:rPr>
        <w:t>POSSIBLE 2021:</w:t>
      </w:r>
      <w:r>
        <w:t xml:space="preserve"> Marine Citizen Science: Current State in Europe and New Technological Developments — https://doi.org/10.3389/fmars.2021.621472</w:t>
      </w:r>
    </w:p>
    <w:p>
      <w:pPr/>
      <w:r>
        <w:rPr>
          <w:b/>
        </w:rPr>
        <w:t>Shared claim-specific concepts:</w:t>
      </w:r>
      <w:r>
        <w:t xml:space="preserve"> based, current, state, project; EU scope visible. This is a provisional connection, not an outcome finding.</w:t>
      </w:r>
    </w:p>
    <w:p>
      <w:pPr>
        <w:pStyle w:val="SourceNote"/>
      </w:pPr>
      <w:r>
        <w:rPr>
          <w:b/>
        </w:rPr>
        <w:t>Available abstract (not full text):</w:t>
      </w:r>
      <w:r>
        <w:t xml:space="preserve"> Marine citizen science is emerging with promising opportunities for science, policy and public but there is still no comprehensive overview of the current state in Europe. Based on 127 projects identified for the North Sea area we estimate there might be as much as 500 marine and coastal citizen science projects running in Europe, i.e., one marine citizen science project per ∼85 km of coastline, with an exponential growth since 1990. Beach-based projects are more accessible and hence most popular (60% of the projects), and the mean duration of the projects is 18–20 years. Current trends, topics, organizers, aims, and types of programme in terms of participation are presented in this overview. Progress in marine citizen science is specially enabled and promoted through technological developments. Recent technological advances and best practise examples are provided here, untapping the potential of smart mobile apps, do-it-yourself (DIY) technologies, drones, and artificial intelligence (AI) web services.</w:t>
      </w:r>
    </w:p>
    <w:p>
      <w:pPr/>
      <w:r>
        <w:rPr>
          <w:b/>
        </w:rPr>
        <w:t>POSSIBLE 2021:</w:t>
      </w:r>
      <w:r>
        <w:t xml:space="preserve"> Addressing underwater noise in Europe: Current state of knowledge and future priorities — https://doi.org/10.5281/zenodo.5534223</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Ocean presents a cacophony of sounds originating from natural as well as anthropogenic sources. Marine organisms heavily rely on sound to communicate and understand the world around them, and are therefore potentially impacted by anthropogenic sound. However, in developing our Blue Economy and in advancing our knowledge of marine environments and ecosystems, anthropogenic noise is sometimes unavoidable. Understanding the potential effects of anthropogenic noise is therefore integral to addressing this conflict, as it is needed to develop proportionate mitigation strategies and effective regulation. Next to providing an overview of our current knowledge about underwater noise, this publication highlights the priority areas for further research addressing the remaining knowledge gaps about the effects of anthropogenic noise. Furthermore, it points out the relevant actions needed to take in order to ensure ecosystem-based and precautionary legislation.</w:t>
      </w:r>
    </w:p>
    <w:p>
      <w:pPr/>
      <w:r>
        <w:rPr>
          <w:b/>
        </w:rPr>
        <w:t>POSSIBLE 2021:</w:t>
      </w:r>
      <w:r>
        <w:t xml:space="preserve"> Accuracy of European Stock Target Prices — https://doi.org/10.3390/jrfm14090443</w:t>
      </w:r>
    </w:p>
    <w:p>
      <w:pPr/>
      <w:r>
        <w:rPr>
          <w:b/>
        </w:rPr>
        <w:t>Shared claim-specific concepts:</w:t>
      </w:r>
      <w:r>
        <w:t xml:space="preserve"> based, current, stock; EU scope visible. This is a provisional connection, not an outcome finding.</w:t>
      </w:r>
    </w:p>
    <w:p>
      <w:pPr>
        <w:pStyle w:val="SourceNote"/>
      </w:pPr>
      <w:r>
        <w:rPr>
          <w:b/>
        </w:rPr>
        <w:t>Available abstract (not full text):</w:t>
      </w:r>
      <w:r>
        <w:t xml:space="preserve"> Equity researches are conducted by professionals, who also provide buy/hold/sell recommendations to investors. Nowadays, target prices determined by financial analysts are publicly available to investors, who may decide to use them for investment purposes. Studying the accuracy of such analysts' forecasts is, thus, of paramount importance. Based upon empirical data on 50 of the biggest (larger capitalisation) European stocks over a 15 year period, from 2004 to 2019 and using a panel data approach, this is the first study looking at overall accuracy in European stock markets. We find that Bloomberg's 12-month consensus target prices have no predictive over future market prices. Panel results are robust to company fixed effects and sub-period analysis. These results are in line with the (mostly US-based) evidence in the literature. Extending common practice, we perform a comparative accuracy analysis, comparing the accuracy of target prices with that of simple capitalisations of current prices. It turns out target prices are not better in forecasting, than simple capitalisations. More interestingly, by analysing also the relationship between both measures – target prices and capitalised prices – we find evidence that capitalised prices partially explain how target prices are determined. Even when considering individual regressions, accuracy is still very low, but varies considera</w:t>
      </w:r>
    </w:p>
    <w:p>
      <w:pPr/>
      <w:r>
        <w:rPr>
          <w:b/>
        </w:rPr>
        <w:t>POSSIBLE 2020:</w:t>
      </w:r>
      <w:r>
        <w:t xml:space="preserve"> Current state of perinatal postmortem magnetic resonance imaging: European Society of Paediatric Radiology questionnaire-based survey and recommendations — https://doi.org/10.1007/s00247-020-04905-9</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Postmortem magnetic resonance imaging (MRI) in perinatal and childhood deaths is increasingly used as a noninvasive adjunct or alternative to autopsy. Imaging protocols vary between centres and consensus guidelines do not exist. OBJECTIVE: Our aim was to develop practical, standardised recommendations for perinatal postmortem MRI. MATERIALS AND METHODS: Recommendations were based on the results of two surveys regarding local postmortem MRI practices sent electronically to all 14 members of the European Society of Paediatric Radiology (ESPR) Postmortem Imaging Task Force and 17 members of the International Society of Forensic Radiology and Imaging Task Force (25 different centres). RESULTS: Overall, 11/14 (78.6%) respondents from different institutions perform postmortem MRI. All of these centres perform postmortem MRI for perinatal and neonatal deaths, but only 6/11 (54.5%) perform imaging in older children. CONCLUSION: We propose a clinical standard for postmortem MRI sequences plus optional sequences for neuroimaging and cardiac anatomy depending on available scanning time and referral indications.</w:t>
      </w:r>
    </w:p>
    <w:p>
      <w:pPr/>
      <w:r>
        <w:rPr>
          <w:b/>
        </w:rPr>
        <w:t>POSSIBLE 2020:</w:t>
      </w:r>
      <w:r>
        <w:t xml:space="preserve"> How to finance the transition to low-carbon energy in Europe? — https://doi.org/10.1016/j.enpol.2020.111863</w:t>
      </w:r>
    </w:p>
    <w:p>
      <w:pPr/>
      <w:r>
        <w:rPr>
          <w:b/>
        </w:rPr>
        <w:t>Shared claim-specific concepts:</w:t>
      </w:r>
      <w:r>
        <w:t xml:space="preserve"> based, current, stock, role; EU scope visible. This is a provisional connection, not an outcome finding.</w:t>
      </w:r>
    </w:p>
    <w:p>
      <w:pPr>
        <w:pStyle w:val="SourceNote"/>
      </w:pPr>
      <w:r>
        <w:rPr>
          <w:b/>
        </w:rPr>
        <w:t>Available abstract (not full text):</w:t>
      </w:r>
      <w:r>
        <w:t xml:space="preserve"> In this paper, we use standard scenarios focussing on renewable energy, energy efficiency and grid investments. We take stock of the literature and quantitative data on available sources of financing for clean energy to qualitatively match supply and demand of specific sources of finance in the European context. Our analysis shows that under the current investment mandates and lending criteria the required funds for a successful energy transition are available. In fact, the current landscape of financing sources can provide between two and six times what is necessary. However, institutional investors and lenders such as pension funds and banks in particular are reluctant to invest in the renewable energy or grid infrastructure because of expected (policy) discontinuities. In addition, more venture capital and household investment are needed to finance low-risk small-ticket projects in the early stages of innovative clean energy technologies, to complement the abundantly available funds for large-scale investments. Based on our analysis, we develop a matrix indicating the role and availability of different sources of finance and new intermediation channels in the energy transition and how these should be deployed.</w:t>
      </w:r>
    </w:p>
    <w:p>
      <w:pPr/>
      <w:r>
        <w:rPr>
          <w:b/>
        </w:rPr>
        <w:t>POSSIBLE 2019:</w:t>
      </w:r>
      <w:r>
        <w:t xml:space="preserve"> BASED ON MATERIALS FROM THE 28TH CONGRESS OF THE EUROPEAN ACADEMY OF DERMATOLOGY AND VENEREOLOGY, OCTOBER 9-13, 2019, MADRID, VITILIGO, SPAIN. THE CURRENT STATE OF THE PROBLEM — https://doi.org/10.17816/dv42948</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Unavailable</w:t>
      </w:r>
    </w:p>
    <w:p>
      <w:pPr>
        <w:pStyle w:val="Heading2"/>
      </w:pPr>
      <w:r>
        <w:t>812.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2024:</w:t>
      </w:r>
      <w:r>
        <w:t xml:space="preserve"> Assessing the Feasibility of Using Parents’ Social Media Conversations to Inform Burn First Aid Interventions: Mixed Methods Study — https://doi.org/10.2196/48695</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BACKGROUND: Burns are common childhood injuries, which can lead to serious physical and psychological outcomes. Appropriate first aid is essential in managing the pain and severity of these injuries; hence, parents who need timely access to such information often seek it from the web. In particular, social media allow them to reach other parents, hence these conversations may provide insight to aid the design and evaluation of burn first aid interventions for parents. OBJECTIVE: This study aims to determine the feasibility of finding, accessing, and analyzing parent burn first aid conversations on social media to inform intervention research. METHODS: The initial choice of the relevant social media was made based on the results of a parent focus group and survey. We considered Facebook (Meta Platforms, Inc), Mumsnet (Mumsnet Limited), Netmums (Aufeminin Group), Twitter (subsequently rebranded as "X"; X Corp), Reddit (Reddit, Inc), and YouTube (Google LLC). To locate the relevant data on these platforms, we collated a taxonomy of search terms and designed a search strategy. A combination of natural language processing and manual inspection was used to filter out irrelevant data. The remaining data were analyzed manually to determine the length of conversations, the number of participants, the purpose of the initial post (eg, asking for or offering advice), burn types, and distri</w:t>
      </w:r>
    </w:p>
    <w:p>
      <w:pPr/>
      <w:r>
        <w:rPr>
          <w:b/>
        </w:rPr>
        <w:t>POSSIBLE 2024:</w:t>
      </w:r>
      <w:r>
        <w:t xml:space="preserve"> A Gender-Informed Smoking Cessation App for Women: Protocol for an Acceptability and Feasibility Study — https://doi.org/10.2196/60677</w:t>
      </w:r>
    </w:p>
    <w:p>
      <w:pPr/>
      <w:r>
        <w:rPr>
          <w:b/>
        </w:rPr>
        <w:t>Shared claim-specific concepts:</w:t>
      </w:r>
      <w:r>
        <w:t xml:space="preserve"> informed, feasibility, acceptability, goal; EU scope not established. This is a provisional connection, not an outcome finding.</w:t>
      </w:r>
    </w:p>
    <w:p>
      <w:pPr>
        <w:pStyle w:val="SourceNote"/>
      </w:pPr>
      <w:r>
        <w:rPr>
          <w:b/>
        </w:rPr>
        <w:t>Available abstract (not full text):</w:t>
      </w:r>
      <w:r>
        <w:t xml:space="preserve"> BACKGROUND: Tobacco smoking remains the leading preventable cause of death and disease among women. Quitting smoking offers numerous health benefits; however, women tend to have less success than men when attempting to quit. This discrepancy is partly due to sex- and gender-related factors, including the lower effectiveness of smoking cessation medication and the presence of unique motives for smoking and barriers to quitting among women. Despite the gendered nature of smoking, most smoking cessation apps are gender-neutral and fail to address women's specific needs. OBJECTIVE: This study aims to test the acceptability and feasibility of a smartphone app that delivers gender-informed content to support women in quitting smoking. METHODS: We co-developed a smoking cessation app specifically tailored for women, named My Change Plan-Women (MCP-W). This app builds upon our previous gender-neutral app, MCP, by retaining its content grounded in behavioral change techniques aimed at supporting tobacco reduction and cessation. This includes goal setting for quitting, identifying triggers to smoking, creating coping strategies, tracking cigarettes and cravings, and assessing financial savings from quitting smoking. The MCP-W app contains additional gender-informed content that acknowledges barriers to quitting, such as coping with stress, having smokers in one's social circle, and manag</w:t>
      </w:r>
    </w:p>
    <w:p>
      <w:pPr/>
      <w:r>
        <w:rPr>
          <w:b/>
        </w:rPr>
        <w:t>POSSIBLE 2024:</w:t>
      </w:r>
      <w:r>
        <w:t xml:space="preserve"> Social workers in schools: A feasibility study of three local authorities — https://doi.org/10.1177/14680173241258927</w:t>
      </w:r>
    </w:p>
    <w:p>
      <w:pPr/>
      <w:r>
        <w:rPr>
          <w:b/>
        </w:rPr>
        <w:t>Shared claim-specific concepts:</w:t>
      </w:r>
      <w:r>
        <w:t xml:space="preserve"> feasibility, acceptability, reducing; EU scope not established. This is a provisional connection, not an outcome finding.</w:t>
      </w:r>
    </w:p>
    <w:p>
      <w:pPr>
        <w:pStyle w:val="SourceNote"/>
      </w:pPr>
      <w:r>
        <w:rPr>
          <w:b/>
        </w:rPr>
        <w:t>Available abstract (not full text):</w:t>
      </w:r>
      <w:r>
        <w:t xml:space="preserve"> Summary This study evaluated the feasibility of ‘Social Workers in Schools’, an intervention that involved social workers being based within schools across three local authorities in England (SWIS). Schools make a large number of referrals to Children's Social Care and play an important role in recognizing risks to children and protecting them from harm, but it is unusual for social workers to be based in schools in the U.K. and to do statutory work. We evaluated the pilots on the basis of the feasibility of implementing SWIS, how promising it was in terms of reducing the need for statutory intervention, and the extent to which it be scaled. We used a mixed methods approach, with a process evaluation and a difference in differences analysis of indicative impact on key social care outcomes. In addition, we estimated the cost of implementing and maintaining SWIS. Findings We found high levels of acceptability among those involved, and examples of how SWIS enhances the way safeguarding issues are addressed. There was also some evidence that it may reduce the need for social care interventions, though this needs ratifying with more and better data. Applications The study suggests that SWIS is a promising intervention. Both the qualitative and quantitative findings suggest it may have the intended policy impact, but this needs to be tested on a larger scale and with a more rigorous </w:t>
      </w:r>
    </w:p>
    <w:p>
      <w:pPr/>
      <w:r>
        <w:rPr>
          <w:b/>
        </w:rPr>
        <w:t>POSSIBLE 2023:</w:t>
      </w:r>
      <w:r>
        <w:t xml:space="preserve"> Foreign Aid — https://doi.org/10.4324/9781003265320</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Foreign Aid: Policy and Practice offers a complete overview of the basics of foreign aid. Who is it for? Who pays for it? Why does it exist? What is it spent on? How much is it? And most important, does it work? The aid debate has been flooded by academic studies and popular books that either challenge or champion the effectiveness of aid. Most presume that the reader already knows the basic facts and characteristics of the aid industry. This book provides readers with a comprehensive summary of the background, actors, core principles and policies, and intended (and unintended) outcomes of foreign aid, followed by a more informed and balanced treatment of the key controversies and trends in aid today. Drawing on the author’s 25 years’ experience in development practice and 15 years in teaching, the book reflects on recent efforts to accelerate aid’s impact and concludes by taking a look at the future of aid and the headwinds it will face in the first half of the 21st century. Perfect for university teaching at advanced undergraduate and graduate levels, this book will also encourage development practitioners, policy makers, and members of the public to engage in more informed debates about aid and development finance.</w:t>
      </w:r>
    </w:p>
    <w:p>
      <w:pPr/>
      <w:r>
        <w:rPr>
          <w:b/>
        </w:rPr>
        <w:t>POSSIBLE 2023:</w:t>
      </w:r>
      <w:r>
        <w:t xml:space="preserve"> Working Conditions in Legal Aid — https://doi.org/10.5040/9781509957835.ch-004</w:t>
      </w:r>
    </w:p>
    <w:p>
      <w:pPr/>
      <w:r>
        <w:rPr>
          <w:b/>
        </w:rPr>
        <w:t>Shared claim-specific concepts:</w:t>
      </w:r>
      <w:r>
        <w:t xml:space="preserve"> aid, informed; EU scope visible. This is a provisional connection, not an outcome finding.</w:t>
      </w:r>
    </w:p>
    <w:p>
      <w:pPr>
        <w:pStyle w:val="SourceNote"/>
      </w:pPr>
      <w:r>
        <w:rPr>
          <w:b/>
        </w:rPr>
        <w:t>Available abstract (not full text):</w:t>
      </w:r>
      <w:r>
        <w:t xml:space="preserve"> Robert K Merton , ' On Sociological Th eories of the Middle Range ' , in Robert K Merton , On Th eoretical Sociology: Five Essays, Old and New ( Free Press , 1967 ) as cited by Martha A Fineman , ' Vulnerability and Social Justice ' ( 2019 ) 53 Valparaiso University Law Review 341 .18 Of course, it is entirely possible to consider the working conditions of legal aid lawyers through the kind of grand theory that is the apotheosis of a middle range theory.For example, Newman (2016) has elsewhere considered criminal legal aid lawyers applying perhaps the most famous grand theory of all, Marx and Engels ' historical materialism, particularly drawing out the notion of alienation.Powerful as a grand theory approach such as Marxism might be in providing impactful accounts of the issues faced by these lawyers in their practice, this chapter is informed by an approach that foregrounds the experiences of the lawyers to help give a fl avour of the reality of their working conditions.In doing so, it is hoped that an understanding of this lived reality will be valuable in informing broader debates, both later in this book and more widely amongst those who read it.See further Daniel Newman , ' Are Lawyers Alienated Workers ?' ( 2016 ) 22 European Journal of Current Legal Issues 1 .However, they go on to note that: Austerity justice under-funding key institutions such as the police and legal </w:t>
      </w:r>
    </w:p>
    <w:p>
      <w:pPr/>
      <w:r>
        <w:rPr>
          <w:b/>
        </w:rPr>
        <w:t>POSSIBLE 2023:</w:t>
      </w:r>
      <w:r>
        <w:t xml:space="preserve"> The Ethics of Food Aid and Famine Relief — https://doi.org/10.1093/oso/9780197744727.003.0004</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Abstract Peter Singer’s 1972 article “Famine, Affluence and Morality” set the stage for philosophical debate over food security and international development policy for a half century. Paired with articles criticizing the impact of food aid programs, philosophy professors approached the problem in terms of whether better-off people have an obligation to give aid. Though initially focused on food aid, the trend has been to subsume Singer’s original focus on famine relief with a more general emphasis on ending poverty. These analyses ignore aspects of hunger that are ethically significant, as well as facts about the structure and operation of international assistance operations and their use of agricultural commodities. As argued in From Field to Fork, food aid can be damaging to local producers, who are often among the most vulnerable members of their respective societies. However, this does not subvert Singer’s original argument, which was focused on a food emergency, rather than poverty relief. Indeed, we should maintain Singer’s early focus on food, supporting food aid in response to both natural and human-caused emergencies. Programs to promote economic and social development are more complex and must be subjected to more extensive and empirically informed ethical analysis.</w:t>
      </w:r>
    </w:p>
    <w:p>
      <w:pPr/>
      <w:r>
        <w:rPr>
          <w:b/>
        </w:rPr>
        <w:t>POSSIBLE 2023:</w:t>
      </w:r>
      <w:r>
        <w:t xml:space="preserve"> The Feasibility and Impact of a Computer-Aided Genetics Education Module in an Obstetrics Clinic: A Randomized Controlled Trial — https://doi.org/10.1080/19325037.2023.2209616</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Rapid advances in prenatal genetic testing highlight the need for technology-based tools to assist in informed decision-making.Purpose This study evaluates the feasibility, acceptability, and efficacy of a Computer-Aided Genetics Education Module (CAGEM) as an e-counseling tool and decision aid in a busy obstetric clinic among a socially disadvantaged patient population.Methods A randomized controlled trial with patients randomized (1:1) to receive the intervention in addition to standard of care or standard of care only. Participants responded to pre- and posttest questionnaires.Results Although limited in recruitment by the COVID-19 pandemic, this tool scored 81.0% acceptability and 91.0% feasibility among 88 participants. No statistically significant difference was detected between the overall improvement in knowledge scores and the total posttest knowledge scores among the intervention and control groups. However, the intervention group scored significantly higher on the posttest questions regarding NIPT interpretation (61.7 ± 49.1 vs 80.9 ± 39.8, p = .049), Down syndrome (78.7 ± 41.4 vs 93.6 ± 24.7, p = .016), and inheritance of recessive conditions (59.6 ± 49.6 vs 91.4 ± 28.2, p &lt; .001). The intervention group also showed a greater improvement in knowledge scores for inheritance of recessive conditions (31.9 ± 8.1 vs 0 ± 7.8, p = .006) and a protective effect i</w:t>
      </w:r>
    </w:p>
    <w:p>
      <w:pPr/>
      <w:r>
        <w:rPr>
          <w:b/>
        </w:rPr>
        <w:t>POSSIBLE 2023:</w:t>
      </w:r>
      <w:r>
        <w:t xml:space="preserve"> A feasibility study of psychological first aid as a supportive intervention among police officers exposed to traumatic events — https://doi.org/10.3389/fpsyg.2023.1149597</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Introduction: Police officers are often exposed to traumatic events, which can induce psychological distress and increase the risk of developing post-traumatic stress injuries. To date, little is known about support and prevention of traumatic events in police organizations. Psychological first aid (PFA) has been promoted as a promising solution to prevent psychological distress following exposure to a traumatic event. However, PFA has not yet been adapted to policing reality, let alone to the frequent exposure to traumatic events faced by this population. This study aimed to evaluate the feasibility of PFA as an early intervention for the prevention of post-traumatic stress injuries among police officers in Quebec, Canada. Specifically, the objectives were to evaluate: (1) the demand. (2) the practicality, and (3) the acceptability of PFA in a police organization. Methods: = 6). Interviews were transcribed, coded, and evaluated according to a thematic analysis. Results: Eleven themes emerged from participants' responses. Results suggested that PFA met individual and organizational needs. References were also made regarding the impacts of this intervention. Moreover, participants provided feedback for improving the implementation and sustainability of a PFA program. All three groups of participants shared similar thematic content. Discussion: Findings revealed that implementati</w:t>
      </w:r>
    </w:p>
    <w:p>
      <w:pPr/>
      <w:r>
        <w:rPr>
          <w:b/>
        </w:rPr>
        <w:t>POSSIBLE 2022:</w:t>
      </w:r>
      <w:r>
        <w:t xml:space="preserve"> Feasibility of Adding Twitter Data to Aid Drought Depiction: Case Study in Colorado — https://doi.org/10.3390/w14182773</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Abstract The use of social media, such as Twitter, has changed the information landscape for citizens participation in crisis response and recovery activities. Given that drought progression is slow and also spatially extensive, an interesting set of questions arise: How the usage of Twitter by a large population may change during the development of a major drought alongside how changing usage promotes drought detection? For this reason, by investigating contemporary procedures, this paper scrutinizes the potential to advance drought depiction. Hence, an analysis of how social media data, in conjunction with meteorological records, was conducted towards improvement in the detection of drought and furthermore, its progression. The research utilized machine learning techniques applied over satellite-derived drought conditions in Colorado. Specifically, 3 different machine learning techniques were examined: the generalized linear model, support vector machines and deep learning, each applied to test the integration of Twitter data with meteorological records as a predictor of drought development. It is maintained that the data integration of resources is viable given that the Twitter-based model outperformed the control run which did not include social media input. Furthermore the Twitter-based model was superior in predicting drought severity.</w:t>
      </w:r>
    </w:p>
    <w:p>
      <w:pPr/>
      <w:r>
        <w:rPr>
          <w:b/>
        </w:rPr>
        <w:t>POSSIBLE 2021:</w:t>
      </w:r>
      <w:r>
        <w:t xml:space="preserve"> Feasibility of a screening tool for sex trafficking in an adult emergency department — https://doi.org/10.1111/acem.14313</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BACKGROUND: Human trafficking (HT) is a human rights violation and public health issue. People with a history of HT are likely to see a physician during their exploitation. A screening tool was developed and implemented in a busy urban emergency department (ED) to aid in the identification of this population. OBJECTIVE: The objective was to retrospectively assess a HT screening tool implemented in an urban ED and evaluate the feasibility of the tool as a component of standard emergency care. METHODS: This was a retrospective observational study conducted at an urban adult ED after the implementation of an original 11-item HT screening tool. Adult patients 18 years and older were screened based on high-risk chief complaints, "red flag" risk factors, or provider gestalt. All patients with a positive screen were offered the opportunity to speak to a social worker, who then determined the patients' likely trafficking status. Data analysis was performed on this group of patients. RESULTS: A total of 26,974 patients were screened in the ED during 2019. Of these patients, 189 of them had a positive screen. A total of 37 patients were confirmed to have a likely sex trafficking status based on the federal definition. Eight of these patients elected to go to a community partner safe house. Positive responses to eight of the questions were significantly associated with likely sex traffick</w:t>
      </w:r>
    </w:p>
    <w:p>
      <w:pPr/>
      <w:r>
        <w:rPr>
          <w:b/>
        </w:rPr>
        <w:t>POSSIBLE 2021:</w:t>
      </w:r>
      <w:r>
        <w:t xml:space="preserve"> Clinicians’ Perspectives About the Feasibility and Effectiveness of Using Telemedicine in First Aid: A Qualitative Study — https://doi.org/10.2147/ijgm.s314901</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OBJECTIVE: This study investigated clinicians' perspectives on the feasibility and effectiveness of using telemedicine in the context of providing first aid. It is crucial to identify and explore clinicians' attitudes and awareness of tele-first-aid in China to keep pace with ongoing global trends. DESIGN: This was a qualitative study. Data gathered from in-depth interviews with 22 clinicians were coded into themes and analyzed. PARTICIPANTS: Participants included hospital-based clinicians: four clinical specialists, eight emergency nurses, four emergency doctors, three general practitioners, and three clinical administrators. SETTING: The study was conducted in university-affiliated hospitals. RESULTS: All clinicians who were invited to participate believed that the use of telemedicine in first aid was promising and effective. Participants stated that relevant technology should be designed to synergize the chain of existing platforms in the industry and that it should be determined who has the authority to utilize such technology and how it should be used to achieve the sought-after benefits. The use of such technology refreshes the role of clinicians and their relationship with patients. Additionally, participants believed that the government could play an important role especially in the reform of medical systems. CONCLUSION: Telemedicine can facilitate the provision of conv</w:t>
      </w:r>
    </w:p>
    <w:p>
      <w:pPr/>
      <w:r>
        <w:rPr>
          <w:b/>
        </w:rPr>
        <w:t>POSSIBLE 2021:</w:t>
      </w:r>
      <w:r>
        <w:t xml:space="preserve"> Clinicians’ Perspectives About the Feasibility and Effectiveness of Using Telemedicine in First Aid: A Qualitative Study — https://openalex.org/W4388786567</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Xiaoqun Fang,1 Shulei Jia,2 Qiuyan Wang,1 Hui-fang Liu,1 Yumei Zhou,1 Lingling Zhang,1 Tanghua Dai,1 Hui Luo,1 Hui Peng,1 Jun Yuan,2 Huyan Zhou2 1Department of Rehabilitation Medicine, The Second Affiliated Hospital of Nanchang University, Nanchang, 330006, People’s Republic of China; 2School of Nursing, Nanchang University, Nanchang, 330006, People’s Republic of ChinaCorrespondence: Shulei JiaSchool of Nursing, Nanchang University, No. 461 of Ba Yi Road, Donghu District, Nanchang, 330006, People’s Republic of ChinaTel +86 1579 786 1504Fax +86 791 86360530Email jiashulei2021@163.comObjective: This study investigated clinicians’ perspectives on the feasibility and effectiveness of using telemedicine in the context of providing first aid. It is crucial to identify and explore clinicians’ attitudes and awareness of tele-first-aid in China to keep pace with ongoing global trends.Design: This was a qualitative study. Data gathered from in-depth interviews with 22 clinicians were coded into themes and analyzed.Participants: Participants included hospital-based clinicians: four clinical specialists, eight emergency nurses, four emergency doctors, three general practitioners, and three clinical administrators.Setting: The study was conducted in university-affiliated hospitals.Results: All clinicians who were invited to participate believed that the use of telemedicine in first aid was </w:t>
      </w:r>
    </w:p>
    <w:p>
      <w:pPr>
        <w:pStyle w:val="Heading2"/>
      </w:pPr>
      <w:r>
        <w:t>813.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2024:</w:t>
      </w:r>
      <w:r>
        <w:t xml:space="preserve"> Dynamics of Legal Framework for Public-Private Partnership (PPP) in Infrastructure Provision — https://openalex.org/W7219943541</w:t>
      </w:r>
    </w:p>
    <w:p>
      <w:pPr/>
      <w:r>
        <w:rPr>
          <w:b/>
        </w:rPr>
        <w:t>Shared claim-specific concepts:</w:t>
      </w:r>
      <w:r>
        <w:t xml:space="preserve"> infrastructure, provision, but, other; EU scope not established. This is a provisional connection, not an outcome finding.</w:t>
      </w:r>
    </w:p>
    <w:p>
      <w:pPr>
        <w:pStyle w:val="SourceNote"/>
      </w:pPr>
      <w:r>
        <w:rPr>
          <w:b/>
        </w:rPr>
        <w:t>Available abstract (not full text):</w:t>
      </w:r>
      <w:r>
        <w:t xml:space="preserve">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pPr/>
      <w:r>
        <w:rPr>
          <w:b/>
        </w:rPr>
        <w:t>POSSIBLE 2022:</w:t>
      </w:r>
      <w:r>
        <w:t xml:space="preserve"> Technology Adoption and Early Network Infrastructure Provision in the Market for Electric Vehicles — https://doi.org/10.1007/s10640-022-00703-z</w:t>
      </w:r>
    </w:p>
    <w:p>
      <w:pPr/>
      <w:r>
        <w:rPr>
          <w:b/>
        </w:rPr>
        <w:t>Shared claim-specific concepts:</w:t>
      </w:r>
      <w:r>
        <w:t xml:space="preserve"> infrastructure, provision, early, stock; EU scope not established. This is a provisional connection, not an outcome finding.</w:t>
      </w:r>
    </w:p>
    <w:p>
      <w:pPr>
        <w:pStyle w:val="SourceNote"/>
      </w:pPr>
      <w:r>
        <w:rPr>
          <w:b/>
        </w:rPr>
        <w:t>Available abstract (not full text):</w:t>
      </w:r>
      <w:r>
        <w:t xml:space="preserve"> We document non-linear stock effects in the relationship linking emerging technology adoption and network infrastructure increments. We exploit 2010-2017 data covering nascent to mature electric vehicle (EV) markets across 422 Norwegian municipalities together with two complementary identification strategies: control function regressions of EV sales on flexible polynomials in the stock of charging stations and charging points, and synthetic control methods to quantify the impact of initial infrastructure provision in municipalities that previously had none. Our results are consistent with indirect network effects and the behavioral bias called "range anxiety," and support policies targeting early infrastructure provision to incentivize EV adoption.</w:t>
      </w:r>
    </w:p>
    <w:p>
      <w:pPr/>
      <w:r>
        <w:rPr>
          <w:b/>
        </w:rPr>
        <w:t>POSSIBLE 2022:</w:t>
      </w:r>
      <w:r>
        <w:t xml:space="preserve"> The Politics Of Infrastructural Provision in Rural Areas of Oyo State Nigeria — https://doi.org/10.57054/asr.v26i1.3992</w:t>
      </w:r>
    </w:p>
    <w:p>
      <w:pPr/>
      <w:r>
        <w:rPr>
          <w:b/>
        </w:rPr>
        <w:t>Shared claim-specific concepts:</w:t>
      </w:r>
      <w:r>
        <w:t xml:space="preserve"> infrastructure, provision, over; EU scope not established. This is a provisional connection, not an outcome finding.</w:t>
      </w:r>
    </w:p>
    <w:p>
      <w:pPr>
        <w:pStyle w:val="SourceNote"/>
      </w:pPr>
      <w:r>
        <w:rPr>
          <w:b/>
        </w:rPr>
        <w:t>Available abstract (not full text):</w:t>
      </w:r>
      <w:r>
        <w:t xml:space="preserve"> Over the years, rural service delivery is often subjected to political players and less of the rural public interest. The study examined rural people experiences of local government rural LGAs of Oyo state, Nigeria. The concept of governance provides the conceptual balance for this study. The study made use of a mixed approach for data collection, qualitative and quantitative tools of questionnaire and in-depth interview respectively. Two hundred and fifty (250) rural households across six (6) LGAs were administered questionnaire randomly from the purposively identified rural local government areas. Study revealed that infrastructure politicking is a challenge that limits sustainable rural facility delivery. This is because infrastructures such as water infrastructure, school buildings and drainage construction were provided based on political affiliation. Over half of the respondents consider rural governance not to be participatory and inclusive towards rural development. The study recommends that democratic local government autonomy remains the feasible and responsive solution to efficient service delivery in the local space.</w:t>
      </w:r>
    </w:p>
    <w:p>
      <w:pPr/>
      <w:r>
        <w:rPr>
          <w:b/>
        </w:rPr>
        <w:t>POSSIBLE 2021:</w:t>
      </w:r>
      <w:r>
        <w:t xml:space="preserve"> The sustainability of infrastructure provision of Montongsari Tourism Village Kendal — https://doi.org/10.1088/1755-1315/871/1/012010</w:t>
      </w:r>
    </w:p>
    <w:p>
      <w:pPr/>
      <w:r>
        <w:rPr>
          <w:b/>
        </w:rPr>
        <w:t>Shared claim-specific concepts:</w:t>
      </w:r>
      <w:r>
        <w:t xml:space="preserve"> infrastructure, provision, improving; EU scope not established. This is a provisional connection, not an outcome finding.</w:t>
      </w:r>
    </w:p>
    <w:p>
      <w:pPr>
        <w:pStyle w:val="SourceNote"/>
      </w:pPr>
      <w:r>
        <w:rPr>
          <w:b/>
        </w:rPr>
        <w:t>Available abstract (not full text):</w:t>
      </w:r>
      <w:r>
        <w:t xml:space="preserve"> Montongsari is one of the pilot tourism villages in the superior program of Kendal Regency to create village independence through tourism activities. However, the available infrastructure is still limited. This article aims to identify the sustainability of the provision of infrastructure as the main factor in tourism village development. Qualitative methods are used in this research, with data collection techniques through in-depth interviews and observation. In-depth interviews were carried out by asking village officials, and community leaders to gather information from tourism actors on the problems related to infrastructure and prioritizing infrastructure provision physically and spatially. Additionally, observations are conducted simultaneously to confirm the data. This research found that access to the tourism area is the most significant factor, followed by the provision of drainage to prevent flood hazards in tourist areas. The result also shows the strong role of community participation in the construction of bridges as the main access to improving the community's economy. The role and collaboration of stakeholders are needed in providing infrastructure to support the economic improvement of residents in the form of tourism activities.</w:t>
      </w:r>
    </w:p>
    <w:p>
      <w:pPr/>
      <w:r>
        <w:rPr>
          <w:b/>
        </w:rPr>
        <w:t>POSSIBLE 2021:</w:t>
      </w:r>
      <w:r>
        <w:t xml:space="preserve"> The state of play in electric vehicle charging services – A review of infrastructure provision, players, and policies — https://doi.org/10.1016/j.rser.2021.111733</w:t>
      </w:r>
    </w:p>
    <w:p>
      <w:pPr/>
      <w:r>
        <w:rPr>
          <w:b/>
        </w:rPr>
        <w:t>Shared claim-specific concepts:</w:t>
      </w:r>
      <w:r>
        <w:t xml:space="preserve"> infrastructure, provision, find, uptake; EU scope not established. This is a provisional connection, not an outcome finding.</w:t>
      </w:r>
    </w:p>
    <w:p>
      <w:pPr>
        <w:pStyle w:val="SourceNote"/>
      </w:pPr>
      <w:r>
        <w:rPr>
          <w:b/>
        </w:rPr>
        <w:t>Available abstract (not full text):</w:t>
      </w:r>
      <w:r>
        <w:t xml:space="preserve"> This paper reviews the market for electric vehicle (EV) charging infrastructure; it focuses on the types of existing charging, the main functions and actors in the market and the future policy actions required for widespread expansion. Electric vehicles represent a key technology in the mitigation of transportation greenhouse gas emissions and ambitious EV adoption targets have been set by many governments by 2030 and beyond. The rollout of EV charging infrastructure is vital in achieving this goal, as the uptake of EVs is linked to the level of coverage of EV chargers. To date, both the public and private sectors have been involved in the provision of charging stations and it is timely to consider the roles of the different actors in this market. We consider whether EV charging infrastructure is a public good or private asset and address the issues of the location of future chargers, the deployment models needed to develop, operate and own charging infrastructure, and finally the policy context for the development of charging infrastructure. We find that clear roles should be assigned to the individual public and private actors and funders, in order to achieve efficient development of the required infrastructure for large-scale EV deployment.</w:t>
      </w:r>
    </w:p>
    <w:p>
      <w:pPr/>
      <w:r>
        <w:rPr>
          <w:b/>
        </w:rPr>
        <w:t>POSSIBLE 2020:</w:t>
      </w:r>
      <w:r>
        <w:t xml:space="preserve"> INFRASTRUCTURE PROVISION OF THE AGRARIAN MARKET IN THE GLOBALIZED ENVIRONMENT — https://doi.org/10.30525/2256-0742/2019-5-5-39-46</w:t>
      </w:r>
    </w:p>
    <w:p>
      <w:pPr/>
      <w:r>
        <w:rPr>
          <w:b/>
        </w:rPr>
        <w:t>Shared claim-specific concepts:</w:t>
      </w:r>
      <w:r>
        <w:t xml:space="preserve"> infrastructure, provision; EU scope not established. This is a provisional connection, not an outcome finding.</w:t>
      </w:r>
    </w:p>
    <w:p>
      <w:pPr>
        <w:pStyle w:val="SourceNote"/>
      </w:pPr>
      <w:r>
        <w:rPr>
          <w:b/>
        </w:rPr>
        <w:t>Available abstract (not full text):</w:t>
      </w:r>
      <w:r>
        <w:t xml:space="preserve"> The main results of the research, which consist in determining the essence and features of the infrastructure provision of the agrarian market in the globalized environment, are formed. The priority of approaches in the development of logistics activities in the context of guaranteeing food security of regions and countries of the world is determined. The essence of the logistic process, strengthening the influence of the global market on the quality of agrarian products, is determined. The influence of the infrastructure provision of the agrarian market on the competitive positions of commodity producers is generalized, advantages and disadvantages in development are determined. The essence of informational logistics, its influence on the development of infrastructure provision of agricultural products market, satisfaction of consumers’ needs is investigated. The urgency of the introduction of e-commerce, which allows commodity producers to combine marketing activities with optimization of advertising costs, to ensure the efficiency and convenience of carrying out operations for the sale of agricultural products, its transportation, manage all logistics processes. It is proved that improvement of the infrastructure provision of the agrarian market of the world countries that adapts to the global market should be based on the dissemination of information opportunities, and the </w:t>
      </w:r>
    </w:p>
    <w:p>
      <w:pPr/>
      <w:r>
        <w:rPr>
          <w:b/>
        </w:rPr>
        <w:t>POSSIBLE 2020:</w:t>
      </w:r>
      <w:r>
        <w:t xml:space="preserve"> Infrastructure Provision as a Catalyst for Local Economic Development in South Africa — https://doi.org/10.35293/srsa.v42i1.198</w:t>
      </w:r>
    </w:p>
    <w:p>
      <w:pPr/>
      <w:r>
        <w:rPr>
          <w:b/>
        </w:rPr>
        <w:t>Shared claim-specific concepts:</w:t>
      </w:r>
      <w:r>
        <w:t xml:space="preserve"> infrastructure, provision, other, over; EU scope not established. This is a provisional connection, not an outcome finding.</w:t>
      </w:r>
    </w:p>
    <w:p>
      <w:pPr>
        <w:pStyle w:val="SourceNote"/>
      </w:pPr>
      <w:r>
        <w:rPr>
          <w:b/>
        </w:rPr>
        <w:t>Available abstract (not full text):</w:t>
      </w:r>
      <w:r>
        <w:t xml:space="preserve"> Throughout the era of the apartheid, the provision and accessibility of infrastructure in South Africa was skewed, and while the minority had access, the majority was overlooked. Local economic development (LED) has rested on the premise that the availability of infrastructure is likely to spur socio-economic development and to lift millions of South Africans out of poverty. However, with South Africa’s economy struggling to register consistent growth, there are difficulties accessing the much-needed finances needed to invest in infrastructure to spur LED. The study that this paper reflects upon used a qualitative research method and a systematic review of the literature relating to infrastructure provision and local economic development. It utilised thematic content analysis to deduce its findings with the hope of bringing in meaning to the overall content of the paper. The study revealed that indeed infrastructure provision is key to local economic development, that South Africa’s infrastructure provision is still skewed as urban areas continue receiving priority over rural areas; that local economic development is key in reducing inequality and spurring economic growth and sustaining the livelihoods of rural dwellers. However, limited investments in infrastructure in rural areas hinder the realization of such benefits. It recommends that the government prioritise LED in rura</w:t>
      </w:r>
    </w:p>
    <w:p>
      <w:pPr/>
      <w:r>
        <w:rPr>
          <w:b/>
        </w:rPr>
        <w:t>POSSIBLE 2019:</w:t>
      </w:r>
      <w:r>
        <w:t xml:space="preserve"> Implementing Green Infrastructure in Spatial Planning in Europe — https://doi.org/10.3390/land8040062</w:t>
      </w:r>
    </w:p>
    <w:p>
      <w:pPr/>
      <w:r>
        <w:rPr>
          <w:b/>
        </w:rPr>
        <w:t>Shared claim-specific concepts:</w:t>
      </w:r>
      <w:r>
        <w:t xml:space="preserve"> infrastructure, important; EU scope visible. This is a provisional connection, not an outcome finding.</w:t>
      </w:r>
    </w:p>
    <w:p>
      <w:pPr>
        <w:pStyle w:val="SourceNote"/>
      </w:pPr>
      <w:r>
        <w:rPr>
          <w:b/>
        </w:rPr>
        <w:t>Available abstract (not full text):</w:t>
      </w:r>
      <w:r>
        <w:t xml:space="preserve">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r>
        <w:rPr>
          <w:b/>
        </w:rPr>
        <w:t>POSSIBLE 2019:</w:t>
      </w:r>
      <w:r>
        <w:t xml:space="preserve"> Electric Mobility and Smart Mobility Concepts—Restrained Uptake in German Cities — https://doi.org/10.3390/wevj10040081</w:t>
      </w:r>
    </w:p>
    <w:p>
      <w:pPr/>
      <w:r>
        <w:rPr>
          <w:b/>
        </w:rPr>
        <w:t>Shared claim-specific concepts:</w:t>
      </w:r>
      <w:r>
        <w:t xml:space="preserve"> infrastructure, but, uptake; EU scope visible. This is a provisional connection, not an outcome finding.</w:t>
      </w:r>
    </w:p>
    <w:p>
      <w:pPr>
        <w:pStyle w:val="SourceNote"/>
      </w:pPr>
      <w:r>
        <w:rPr>
          <w:b/>
        </w:rPr>
        <w:t>Available abstract (not full text):</w:t>
      </w:r>
      <w:r>
        <w:t xml:space="preserve"> Ninety German cities exceeded the European threshold on NO2 in 2016, 65 of those cities developed countermeasures and strategies that were published in Green City Plans (GCP). In the scope of this study, 55 publicly available GCPs were evaluated in order to assess their potential for traffic turnaround at a municipal level. All GCPs were analyzed to determine in which of the mentioned five to seven fields of action the respective city had planned measures and which fields of action were prioritized. A more in-depth qualitative analysis of the main topics: Electric mobility, public transport, and mobility concepts was carried out. To get a better understanding of the potential impact of the measures elaborated in the GCPs, complementary information on municipal fleet vehicle stocks, requirements of charging infrastructure for public buses and results of the European roadmap on mobility concepts are given. The evaluation of the GCPs showed that to this day, city administrations mainly optimize the current system by measures of electrification and digitization. Electrification of municipal fleets, car-sharing fleets, and public transport buses is in the focus of the strategies. Instruments to increase non-motorised transport, sustainable commercial transport, and/or mobility concepts are mentioned, but play a minor role. However, there still has been no system change in Germany. T</w:t>
      </w:r>
    </w:p>
    <w:p>
      <w:pPr/>
      <w:r>
        <w:rPr>
          <w:b/>
        </w:rPr>
        <w:t>POSSIBLE 2018:</w:t>
      </w:r>
      <w:r>
        <w:t xml:space="preserve"> Unlocking Land Markets and Infrastructure Provision — https://doi.org/10.1057/978-1-137-59792-2_4</w:t>
      </w:r>
    </w:p>
    <w:p>
      <w:pPr/>
      <w:r>
        <w:rPr>
          <w:b/>
        </w:rPr>
        <w:t>Shared claim-specific concepts:</w:t>
      </w:r>
      <w:r>
        <w:t xml:space="preserve"> infrastructure, provision, important, but; EU scope not established. This is a provisional connection, not an outcome finding.</w:t>
      </w:r>
    </w:p>
    <w:p>
      <w:pPr>
        <w:pStyle w:val="SourceNote"/>
      </w:pPr>
      <w:r>
        <w:rPr>
          <w:b/>
        </w:rPr>
        <w:t>Available abstract (not full text):</w:t>
      </w:r>
      <w:r>
        <w:t xml:space="preserve"> Abstract This chapter focuses on the challenges and opportunities related to the provision of land and infrastructure for affordable housing. It drills down on three key challenges impeding the supply of affordable housing in Africa: poor land governance and weak management systems; the multiplicity of conflicting land tenure regimes; and the rapid growth of low-density, informal residential developments, leading to urban sprawl in peri-urban areas. The chapter also argues that the provision of basic infrastructure, especially transport infrastructure, not only shapes cities, but is also an important determinant of housing affordability, particularly for low-income families.</w:t>
      </w:r>
    </w:p>
    <w:p>
      <w:pPr>
        <w:pStyle w:val="Heading2"/>
      </w:pPr>
      <w:r>
        <w:t>814.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2023:</w:t>
      </w:r>
      <w:r>
        <w:t xml:space="preserve"> HOW IMPORTANT EDUCATION IS? AN EXPLORATIVE ANALYSIS OF THE DROPOUT PHENOMENON IN EASTERN EUROPE — https://doi.org/10.47535/1991auoes32(1)005</w:t>
      </w:r>
    </w:p>
    <w:p>
      <w:pPr/>
      <w:r>
        <w:rPr>
          <w:b/>
        </w:rPr>
        <w:t>Shared claim-specific concepts:</w:t>
      </w:r>
      <w:r>
        <w:t xml:space="preserve"> therefore, important, system, relationships; EU scope visible. This is a provisional connection, not an outcome finding.</w:t>
      </w:r>
    </w:p>
    <w:p>
      <w:pPr>
        <w:pStyle w:val="SourceNote"/>
      </w:pPr>
      <w:r>
        <w:rPr>
          <w:b/>
        </w:rPr>
        <w:t>Available abstract (not full text):</w:t>
      </w:r>
      <w:r>
        <w:t xml:space="preserve"> Early school leaving is a structural problem related to the socioeconomic environment involving aspects of local culture and customs that characterize a country. If not controlled, with the intent of hindering it, this phenomenon can generate unemployment, social exclusion, poverty, health problems and a slowdown in the country’s economic growth. Since education policies are one of the most important concerns of national governments and international organizations, the UN 2030 Agenda, containing the common ambitions of the signatory countries, proposes 17 sustainable development goals and specifically, among these, inclusive and equitable quality education. In some Eastern European countries, the percentage of young people who decide not to continue their studies is really too high, exceeding 10%. Therefore, the aim of the paper is to study the dropout phenomenon in this context. We employ a panel vector autoregressive model in first differences to test complex dynamic relationships between share of the population aged 18 to 24 not involved in any education or training (as a proxy for the dropout phenomenon), GDP per capita (as a proxy for a country’s wealth and industrial modernity), gross domestic expenditure on R&amp;D in higher education (as a proxy for a country’s effort to improve its education system), and share of people reporting crime, violence or vandalism (as a proxy fo</w:t>
      </w:r>
    </w:p>
    <w:p>
      <w:pPr/>
      <w:r>
        <w:rPr>
          <w:b/>
        </w:rPr>
        <w:t>POSSIBLE 2023:</w:t>
      </w:r>
      <w:r>
        <w:t xml:space="preserve"> Did We Miss Something Important? Studying and Exploring Variable-Aware Log Abstraction — https://doi.org/10.1109/icse48619.2023.00078</w:t>
      </w:r>
    </w:p>
    <w:p>
      <w:pPr/>
      <w:r>
        <w:rPr>
          <w:b/>
        </w:rPr>
        <w:t>Shared claim-specific concepts:</w:t>
      </w:r>
      <w:r>
        <w:t xml:space="preserve"> important, explore, different; EU scope not established. This is a provisional connection, not an outcome finding.</w:t>
      </w:r>
    </w:p>
    <w:p>
      <w:pPr>
        <w:pStyle w:val="SourceNote"/>
      </w:pPr>
      <w:r>
        <w:rPr>
          <w:b/>
        </w:rPr>
        <w:t>Available abstract (not full text):</w:t>
      </w:r>
      <w:r>
        <w:t xml:space="preserve"> Due to the sheer size of software logs, developers rely on automated techniques for log analysis. One of the first and most important steps of automated log analysis is log abstraction, which parses the raw logs into a structured format. Prior log abstraction techniques aim to identify and abstract all the dynamic variables in logs and output a static log template for automated log analysis. However, these abstracted dynamic variables may also contain important information that is useful to different tasks in log analysis. In this paper, we investigate the characteristics of dynamic variables and their importance in practice, and explore the potential of a variable-aware log abstraction technique. Through manual investigations and surveys with practitioners, we find that different categories of dynamic variables record various information that can be important depending on the given tasks, the distinction of dynamic variables in log abstraction can further assist in log analysis. We then propose a deep learning based log abstraction approach, named VALB, which can identify different categories of dynamic variables and preserve the value of specified categories of dynamic variables along with the log templates (i.e., variable-aware log abstraction). Through the evaluation on a widely used log abstraction benchmark, we find that VALB outperforms other state-of-the-art log abstrac</w:t>
      </w:r>
    </w:p>
    <w:p>
      <w:pPr/>
      <w:r>
        <w:rPr>
          <w:b/>
        </w:rPr>
        <w:t>POSSIBLE 2022:</w:t>
      </w:r>
      <w:r>
        <w:t xml:space="preserve"> ‘Reflexology: Exploring the mechanism of action’ — https://doi.org/10.1016/j.ctcp.2022.101606</w:t>
      </w:r>
    </w:p>
    <w:p>
      <w:pPr/>
      <w:r>
        <w:rPr>
          <w:b/>
        </w:rPr>
        <w:t>Shared claim-specific concepts:</w:t>
      </w:r>
      <w:r>
        <w:t xml:space="preserve"> therefore, important, individual; EU scope not established. This is a provisional connection, not an outcome finding.</w:t>
      </w:r>
    </w:p>
    <w:p>
      <w:pPr>
        <w:pStyle w:val="SourceNote"/>
      </w:pPr>
      <w:r>
        <w:rPr>
          <w:b/>
        </w:rPr>
        <w:t>Available abstract (not full text):</w:t>
      </w:r>
      <w:r>
        <w:t xml:space="preserve"> Reflexology is a complementary therapy focusing mainly on the application of pressure on the feet, hands and ears. A small but growing evidence base suggests that positive outcomes can be gained in the management and improvement of symptoms across a range of conditions. Biological plausibility is a key concept in the determination of the usefulness of therapies. Research which tests for safety and efficacy alongside the underpinning mechanism of action are therefore important. This paper explores the potential mechanism of action for the outcomes associated with reflexology treatment as reflected in the current evidence. The influences of therapeutic touch, relaxation, placebo effects and the similarities with other therapeutic methods of structural manipulation are considered. The lack of clarity around the precise definition of reflexology and the challenges of researching the therapy as a treatment tailored to individual need are discussed. A deeper understanding of the mechanism of action for reflexology may help to further develop research into safety and efficacy. Such an understanding may lead to the integration of knowledge which may provide both symptomatic support and longer term preventative health benefits.</w:t>
      </w:r>
    </w:p>
    <w:p>
      <w:pPr/>
      <w:r>
        <w:rPr>
          <w:b/>
        </w:rPr>
        <w:t>POSSIBLE 2022:</w:t>
      </w:r>
      <w:r>
        <w:t xml:space="preserve"> Does Value Lead to Loyalty? Exploring the Important Role of the Tourist–Destination Relationship — https://doi.org/10.3390/bs12050136</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The perceived value of a tourist's trip, representing a trade-off between costs and benefits of travelling to a destination, can exert a significant influence on tourists' loyalty, which is a main concern for managers of tourist destinations. However, the mechanism between the destination value and tourist loyalty remains unexplored, especially in the new context of relationship marketing. To advance the understanding of the mechanism, we introduced 3 variables of "tourist-destination relationship", namely place attachment (PA), destination trust (DT) and tourist satisfaction (TS), combined with perceived value (PV) and tourist loyalty (TL), and therefore constructed the conceptual model. Taking the Hangzhou City of China as an example, the conceptual model was fitted and tested using the structural equation model (SEM). The results show that: (1) PV can directly and positively affect TS and DT respectively, while there was no significant effect of PV on PA; (2) TS and DT can directly and positively influence TL, but the effect of PA on TL has not been supported empirically; (3) PV has a significant positive effect on TL; and (4) there are internal relationship among the 3 variables measuring the tourist-destination relationship, in other words, TS can significantly affects PA, DT respectively, and DT has a significant positive effect on PA. The findings of this study provide e</w:t>
      </w:r>
    </w:p>
    <w:p>
      <w:pPr/>
      <w:r>
        <w:rPr>
          <w:b/>
        </w:rPr>
        <w:t>POSSIBLE 2022:</w:t>
      </w:r>
      <w:r>
        <w:t xml:space="preserve"> Considering sustainability in projects: exploring the perspective of suppliers — https://doi.org/10.12821/ijispm060201</w:t>
      </w:r>
    </w:p>
    <w:p>
      <w:pPr/>
      <w:r>
        <w:rPr>
          <w:b/>
        </w:rPr>
        <w:t>Shared claim-specific concepts:</w:t>
      </w:r>
      <w:r>
        <w:t xml:space="preserve"> therefore, important, explore, different, society; EU scope not established. This is a provisional connection, not an outcome finding.</w:t>
      </w:r>
    </w:p>
    <w:p>
      <w:pPr>
        <w:pStyle w:val="SourceNote"/>
      </w:pPr>
      <w:r>
        <w:rPr>
          <w:b/>
        </w:rPr>
        <w:t>Available abstract (not full text):</w:t>
      </w:r>
      <w:r>
        <w:t xml:space="preserve"> Projects play an important role in the development towards a more sustainable society. Companies are integrating sustainability in their strategies, processes and actions. In the implementation of strategies, projects play an essential role. The relationship between sustainability and project management is therefore being addressed in a growing number of studies and publications and sustainability can be considered one of the recent trends in project management. However, there is still a gap between the literature on sustainability in project management and what is carried out in practice. A logical enabler for the consideration of sustainability in projects may be the demand of the client in the project, although the supplier’s strategy may also be an enabler of sustainability. This article therefore reports a study into the enablers of the integration of sustainability in projects as perceived by project suppliers. The study used Qmethodology to explore different subjective patterns of perceived enablers. Based on the factor analysis of 19 Q-sorts, we discovered three distinct patterns of enablers of the integration of sustainability, that we labelled as “Benefits driven”, “Demand and intrinsic motivation driven” and “Demand and Strategy driven”. As expected, the study found that for project suppliers, integrating sustainability in projects is strongly dependent on the demand</w:t>
      </w:r>
    </w:p>
    <w:p>
      <w:pPr/>
      <w:r>
        <w:rPr>
          <w:b/>
        </w:rPr>
        <w:t>POSSIBLE 2021:</w:t>
      </w:r>
      <w:r>
        <w:t xml:space="preserve"> Exploring Sparsity in Image Super-Resolution for Efficient Inference — https://doi.org/10.1109/cvpr46437.2021.00488</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Current CNN-based super-resolution (SR) methods process all locations equally with computational resources being uniformly assigned in space. However, since missing details in low-resolution (LR) images mainly exist in regions of edges and textures, less computational resources are required for those flat regions. Therefore, existing CNN-based methods involve redundant computation in flat regions, which increases their computational cost and limits their applications on mobile devices. In this paper, we explore the sparsity in image SR to improve inference efficiency of SR networks. Specifically, we develop a Sparse Mask SR (SMSR) network to learn sparse masks to prune redundant computation. Within our SMSR, spatial masks learn to identify "important" regions while channel masks learn to mark redundant channels in those "unimportant" regions. Consequently, redundant computation can be accurately localized and skipped while maintaining comparable performance. It is demonstrated that our SMSR achieves state-of-the-art performance with 41%/33%/27% FLOPs being reduced for ×2/3/4 SR. Code is available at: https://github.com/LongguangWang/SMSR.</w:t>
      </w:r>
    </w:p>
    <w:p>
      <w:pPr/>
      <w:r>
        <w:rPr>
          <w:b/>
        </w:rPr>
        <w:t>POSSIBLE 2021:</w:t>
      </w:r>
      <w:r>
        <w:t xml:space="preserve"> Exploring Maieutic Instruction — https://doi.org/10.4018/978-1-7998-7172-9.ch006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General views of the Socratic Method consist of it being a dialectical exchange based on probing questions concerning a topic. While this definition may prove practical, it may not do justice to the broad nature and practice of the instructional strategy. It is, therefore, equally important to explore how maieutic questioning grounds the Socratic Method as a viable instructional strategy. By realizing the maieutic process as giving birth to discoveries, educationists and students are given a clearer framework in implementing the Socratic Method in educational experiences. In further elucidating this claim, this chapter first draws from the maieutic practice found in Plato's dialogues. Second, the chapter explores research on maieutic questioning in teaching and learning experiences. Lastly, a recognition of both Socrates' original maieutic practice and the modern conception of it are advanced as strategies educationists can implement in their courses.</w:t>
      </w:r>
    </w:p>
    <w:p>
      <w:pPr/>
      <w:r>
        <w:rPr>
          <w:b/>
        </w:rPr>
        <w:t>POSSIBLE 2021:</w:t>
      </w:r>
      <w:r>
        <w:t xml:space="preserve"> Role of Biofuels in Energy Transition, Green Economy and Carbon Neutrality — https://doi.org/10.3390/su132212374</w:t>
      </w:r>
    </w:p>
    <w:p>
      <w:pPr/>
      <w:r>
        <w:rPr>
          <w:b/>
        </w:rPr>
        <w:t>Shared claim-specific concepts:</w:t>
      </w:r>
      <w:r>
        <w:t xml:space="preserve"> different, energy; EU scope not established. This is a provisional connection, not an outcome finding.</w:t>
      </w:r>
    </w:p>
    <w:p>
      <w:pPr>
        <w:pStyle w:val="SourceNote"/>
      </w:pPr>
      <w:r>
        <w:rPr>
          <w:b/>
        </w:rPr>
        <w:t>Available abstract (not full text):</w:t>
      </w:r>
      <w:r>
        <w:t xml:space="preserve"> Modern civilization is heavily reliant on petroleum-based fuels to meet the energy demand of the transportation sector. However, burning fossil fuels in engines emits greenhouse gas emissions that harm the environment. Biofuels are commonly regarded as an alternative for sustainable transportation and economic development. Algal-based fuels, solar fuels, e-fuels, and CO2-to-fuels are marketed as next-generation sources that address the shortcomings of first-generation and second-generation biofuels. This article investigates the benefits, limitations, and trends in different generations of biofuels through a review of the literature. The study also addresses the newer generation of biofuels highlighting the social, economic, and environmental aspects, providing the reader with information on long-term sustainability. The use of nanoparticles in the commercialization of biofuel is also highlighted. Finally, the paper discusses the recent advancements that potentially enable a sustainable energy transition, green economy, and carbon neutrality in the biofuel sector.</w:t>
      </w:r>
    </w:p>
    <w:p>
      <w:pPr/>
      <w:r>
        <w:rPr>
          <w:b/>
        </w:rPr>
        <w:t>POSSIBLE 2021:</w:t>
      </w:r>
      <w:r>
        <w:t xml:space="preserve"> Low-carbon energy democracy in the Global South? — https://doi.org/10.4324/9780429402302-41</w:t>
      </w:r>
    </w:p>
    <w:p>
      <w:pPr/>
      <w:r>
        <w:rPr>
          <w:b/>
        </w:rPr>
        <w:t>Shared claim-specific concepts:</w:t>
      </w:r>
      <w:r>
        <w:t xml:space="preserve"> energy, businesses; EU scope not established. This is a provisional connection, not an outcome finding.</w:t>
      </w:r>
    </w:p>
    <w:p>
      <w:pPr>
        <w:pStyle w:val="SourceNote"/>
      </w:pPr>
      <w:r>
        <w:rPr>
          <w:b/>
        </w:rPr>
        <w:t>Available abstract (not full text):</w:t>
      </w:r>
      <w:r>
        <w:t xml:space="preserve"> Social science tools and practitioner experiences help to understand relations of democratic processes to low-carbon energy transitions in the Global South. This requires interrogating Euro-centric assumptions about participation, national development, and infrastructure models in conditions of inequality and state capture. Issues of historical extractive energy injustice and the asymmetries of Southern climate vulnerability, as compared to Northern GHG emission sources, drag this topic into political focus for questioning the models of mass consumption that have driven economic development for over two centuries. Can democracy be reinvented with renewables? The UK Low Carbon Energy for Development Network (LCEDN) has since 2012 pooled expertise across disciplines involved in energy research in the developing world in order to enhance the ability of renewable energy systems to address poverty and gender inequality issues off-grid. The LCEDN has come to constitute an overarching community of practice linked to other communities of practice formed by the NGOs, businesses, and policy community committed to low-carbon transitions and centered on energy development justice. The LCEDN and associate communities have determined to widen an agenda of acquiring evidence from case studies, critical participatory approaches, and research into grassroots and municipal initiatives, thereby i</w:t>
      </w:r>
    </w:p>
    <w:p>
      <w:pPr/>
      <w:r>
        <w:rPr>
          <w:b/>
        </w:rPr>
        <w:t>POSSIBLE 2021:</w:t>
      </w:r>
      <w:r>
        <w:t xml:space="preserve"> Exploring biometric identification in FinTech applications based on the modified TAM — https://doi.org/10.1186/s40854-021-00260-2</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Abstract In recent years, biometric technologies have been widely embedded in mobile devices; these technologies were originally employed to enhance the security of mobile devices. With the rise of financial technology (FinTech), which uses mobile devices and applications as promotional platforms, biometrics has the important role of strengthening the identification of such applications for security. However, users still have privacy and trust concerns about biometrics. Previous studies have demonstrated that the technology acceptance model (TAM) can rigorously explain and predict user acceptance of new technologies. This study therefore modifies the TAM as a basic research architecture. Based on a literature review, we add two new variables, namely, “perceived privacy” and “perceived trust,” to extend the traditional TAM to examine user acceptance of biometric identification in FinTech applications. First, we apply the analytic hierarchy process (AHP) to evaluate the defined objects and relevant criteria of the research framework. Second, we use the AHP results in the scenario analysis to explore biometric identification methods that correspond to objects and criteria. The results indicate that face and voice recognition are the two most preferred identification methods in FinTech applications. In addition, there are significant changes in the results of the perceived trust an</w:t>
      </w:r>
    </w:p>
    <w:p>
      <w:pPr/>
      <w:r>
        <w:rPr>
          <w:b/>
        </w:rPr>
        <w:t>POSSIBLE 2021:</w:t>
      </w:r>
      <w:r>
        <w:t xml:space="preserve"> Exploring long-term effects of biochar on mitigating methane emissions from paddy soil: a review — https://doi.org/10.1007/s42773-021-00096-0</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Abstract Biochar has been reported to mitigate short-term methane (CH 4 ) emissions from paddy soil. Currently, CH 4 mitigation by biochar has primarily focused on the abundance and variations of methanogens and methanotrophs, and changes in their activities during methane production and consumption. However, long-term effects of biochar on methane mitigation from paddy soil remain controversial. This review overviewed the existing mechanisms for CH 4 mitigation as a result of biochar application. In addition, the two existing opinions on the long-term CH 4 mitigation effect upon biochar application were highlighted. Combining the already explored mechanisms of fresh biochar on CH 4 mitigation from paddy soil and a novel discovery, the potential mechanisms of biochar on long-term methane emission response were proposed. This review also revealed the uncertain responses of biochar on long-term CH 4 mitigation. Therefore, to achieve carbon neutral goal, it is important to further explore the mechanisms of long-term CH 4 mitigation under biochar application.</w:t>
      </w:r>
    </w:p>
    <w:p>
      <w:pPr>
        <w:pStyle w:val="Heading2"/>
      </w:pPr>
      <w:r>
        <w:t>815.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stakeholder, efficient;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2020:</w:t>
      </w:r>
      <w:r>
        <w:t xml:space="preserve"> An assessment of attitudes towards plastics and bioplastics in Europe — https://doi.org/10.1016/j.scitotenv.2020.142732</w:t>
      </w:r>
    </w:p>
    <w:p>
      <w:pPr/>
      <w:r>
        <w:rPr>
          <w:b/>
        </w:rPr>
        <w:t>Shared claim-specific concepts:</w:t>
      </w:r>
      <w:r>
        <w:t xml:space="preserve"> assessment, used, therefore, about; EU scope visible. This is a provisional connection, not an outcome finding.</w:t>
      </w:r>
    </w:p>
    <w:p>
      <w:pPr>
        <w:pStyle w:val="SourceNote"/>
      </w:pPr>
      <w:r>
        <w:rPr>
          <w:b/>
        </w:rPr>
        <w:t>Available abstract (not full text):</w:t>
      </w:r>
      <w:r>
        <w:t xml:space="preserve">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pPr/>
      <w:r>
        <w:rPr>
          <w:b/>
        </w:rPr>
        <w:t>POSSIBLE 2020:</w:t>
      </w:r>
      <w:r>
        <w:t xml:space="preserve"> Integrated assessment projections for the impact of innovation on CCS deployment in Europe — https://doi.org/10.1016/j.ijggc.2020.103133</w:t>
      </w:r>
    </w:p>
    <w:p>
      <w:pPr/>
      <w:r>
        <w:rPr>
          <w:b/>
        </w:rPr>
        <w:t>Shared claim-specific concepts:</w:t>
      </w:r>
      <w:r>
        <w:t xml:space="preserve"> assessment, about, achieving, system; EU scope visible. This is a provisional connection, not an outcome finding.</w:t>
      </w:r>
    </w:p>
    <w:p>
      <w:pPr>
        <w:pStyle w:val="SourceNote"/>
      </w:pPr>
      <w:r>
        <w:rPr>
          <w:b/>
        </w:rPr>
        <w:t>Available abstract (not full text):</w:t>
      </w:r>
      <w:r>
        <w:t xml:space="preserve"> CCS is expected to play a sizeable role over the next several decades to drastically abate greenhouse gas emissions in the energy system by 2050. With the integrated assessment model TIAM-ECN we project how large its contribution could be in Europe in the power sector and industry, and analyze how this contribution may be affected by cost decline (driven by technological innovation) and ambitious greenhouse gas emission reduction targets. If Europe stays on track of achieving zero net emissions by mid-century, we find that CO2 capture activities in Europe may grow to a total amount of some 1700 MtCO2/yr in 2050. We project that by 2050 power plants equipped with CCS could contribute by approximately 25 % to total electricity generation, in competition with low-carbon alternatives such as nuclear energy and renewables like solar photovoltaic and wind power. CCS in association with the use of natural gas could account for about 35 % of energy use in industrial applications, while the use of biomass and coal combined with CCS could be employed for the production of hydrogen. We find that stringent climate policy measures constitute a bigger driver of broad CCS diffusion than CCS technology cost reductions. We project that under stringent climate policy targeting zero net emissions by 2050, a 30 % CCS capital cost reduction as a result of technological advancement could proffer Eur</w:t>
      </w:r>
    </w:p>
    <w:p>
      <w:pPr/>
      <w:r>
        <w:rPr>
          <w:b/>
        </w:rPr>
        <w:t>POSSIBLE 2020:</w:t>
      </w:r>
      <w:r>
        <w:t xml:space="preserve"> European biodiversity assessments in livestock science: A review of research characteristics and indicators — https://doi.org/10.1016/j.ecolind.2019.105902</w:t>
      </w:r>
    </w:p>
    <w:p>
      <w:pPr/>
      <w:r>
        <w:rPr>
          <w:b/>
        </w:rPr>
        <w:t>Shared claim-specific concepts:</w:t>
      </w:r>
      <w:r>
        <w:t xml:space="preserve"> used, therefore, about; EU scope visible. This is a provisional connection, not an outcome finding.</w:t>
      </w:r>
    </w:p>
    <w:p>
      <w:pPr>
        <w:pStyle w:val="SourceNote"/>
      </w:pPr>
      <w:r>
        <w:rPr>
          <w:b/>
        </w:rPr>
        <w:t>Available abstract (not full text):</w:t>
      </w:r>
      <w:r>
        <w:t xml:space="preserve"> Developments in agriculture are a main driver for biodiversity loss, in which livestock play a major role through pastures and feed crop cultivation. Addressing biodiversity loss is challenging due to the broad definition of and the multitude of indicators for biodiversity. We reviewed scientific literature assessing effects of livestock on biodiversity in Europe, to provide an overview of general characteristics of these studies and their indicators for biodiversity. The search was performed in SCOPUS and Web of Science and yielded 857 records after deduplication, which was narrowed down to 131 articles that assessed biodiversity impacts of livestock in Europe. Analysis of these articles focused on general characteristics of the research (i.e. context, scale, species, function of livestock, approach), indicators used, and the general conclusion regarding the impact of livestock on biodiversity. The majority of articles studied biodiversity in France, UK, Italy, Germany and Spain; and studied the direct impact of grazing cattle and sheep on biodiversity at field scale. Indirect impacts of livestock on biodiversity through feed production were assessed in few studies. In about one third of the studies, the function of livestock was not related to food production, but to conservation of open landscapes through grazing. We found a large variety of indicators used to assess the imp</w:t>
      </w:r>
    </w:p>
    <w:p>
      <w:pPr/>
      <w:r>
        <w:rPr>
          <w:b/>
        </w:rPr>
        <w:t>POSSIBLE 2019:</w:t>
      </w:r>
      <w:r>
        <w:t xml:space="preserve"> Plantation forests in Europe: challenges and opportunities — https://doi.org/10.36333/fs09</w:t>
      </w:r>
    </w:p>
    <w:p>
      <w:pPr/>
      <w:r>
        <w:rPr>
          <w:b/>
        </w:rPr>
        <w:t>Shared claim-specific concepts:</w:t>
      </w:r>
      <w:r>
        <w:t xml:space="preserve"> stakeholder, therefore, about, options, achieving;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2019:</w:t>
      </w:r>
      <w:r>
        <w:t xml:space="preserve"> A climatological assessment of balancing effects and shortfall risks of photovoltaics and wind energy in Germany and Europe — https://doi.org/10.5194/asr-16-119-2019</w:t>
      </w:r>
    </w:p>
    <w:p>
      <w:pPr/>
      <w:r>
        <w:rPr>
          <w:b/>
        </w:rPr>
        <w:t>Shared claim-specific concepts:</w:t>
      </w:r>
      <w:r>
        <w:t xml:space="preserve"> illustrate, assessment, system; EU scope visible. This is a provisional connection, not an outcome finding.</w:t>
      </w:r>
    </w:p>
    <w:p>
      <w:pPr>
        <w:pStyle w:val="SourceNote"/>
      </w:pPr>
      <w:r>
        <w:rPr>
          <w:b/>
        </w:rPr>
        <w:t>Available abstract (not full text):</w:t>
      </w:r>
      <w:r>
        <w:t xml:space="preserve"> Abstract. With an increased share of solar and wind energy e.g. in the German and European energy systems it is becoming increasingly important to analyze the impact of weather variability on the reliability of the energy production. In this study, we calculate solar PV and wind power capacity factors using two recently developed climatological datasets that provide information with high spatial and temporal details on the continental (European) scale and are of sufficient length for assessments at climatological time scales: Surface radiation derived from meteorological satellites (SARAH-2) and wind speed from a high-resolution regional reanalysis (COSMO-REA6). Balancing effects are analysed: On average, the seasonal cycles of PV and wind power production complement each other in Germany as well as in Europe. The frequency of events with a risk of low electricity generation is analyzed under different assumptions. When using wind energy over German land areas as a reference case, the results illustrate that the number of low production events is reduced when Germany's Exclusive Economic Zone is included into the analysis, or when a combined system of PV and wind energy is considered. A European-wide analysis also leads to a distinct reduction of such events.</w:t>
      </w:r>
    </w:p>
    <w:p>
      <w:pPr/>
      <w:r>
        <w:rPr>
          <w:b/>
        </w:rPr>
        <w:t>POSSIBLE 2019:</w:t>
      </w:r>
      <w:r>
        <w:t xml:space="preserve"> Is the nitrogen footprint fit for purpose? An assessment of models and proposed uses — https://doi.org/10.1016/j.jenvman.2019.03.083</w:t>
      </w:r>
    </w:p>
    <w:p>
      <w:pPr/>
      <w:r>
        <w:rPr>
          <w:b/>
        </w:rPr>
        <w:t>Shared claim-specific concepts:</w:t>
      </w:r>
      <w:r>
        <w:t xml:space="preserve"> purpose, assessment, used, therefore, debate, options; EU scope not established. This is a provisional connection, not an outcome finding.</w:t>
      </w:r>
    </w:p>
    <w:p>
      <w:pPr>
        <w:pStyle w:val="SourceNote"/>
      </w:pPr>
      <w:r>
        <w:rPr>
          <w:b/>
        </w:rPr>
        <w:t>Available abstract (not full text):</w:t>
      </w:r>
      <w:r>
        <w:t xml:space="preserve"> The nitrogen footprint has been proposed as an environmental indicator to quantify and highlight how individuals, organizations, or countries contribute to nitrogen pollution. While some footprint indicators have been successful in raising awareness of environmental pressures among the public and policy-makers, they have also attracted criticism from members of the life cycle assessment (LCA) community who find some footprints confusing and misleading as they measure substance and energy flows without considering their environmental impacts. However, there are also legitimate reasons to defend footprints as a useful class of indicators despite their incompatibility with LCA principles. Here, in light of this previous research and debate, we critically assess models and proposed uses for the nitrogen footprint, and explore options for further development. As the nitrogen footprint merely quantifies gross nitrogen emissions irrespective of time, location, and chemical form, it is a crude proxy of environmental and health impacts compared to other, more sophisticated environmental impact indicators. However, developing the nitrogen footprint toward LCA-compatible impact assessment would imply more uncertainty, more complexity, and more work. Furthermore, we emphasize that impact assessment has an unavoidable subjective dimension that should be recognized in any development toward </w:t>
      </w:r>
    </w:p>
    <w:p>
      <w:pPr/>
      <w:r>
        <w:rPr>
          <w:b/>
        </w:rPr>
        <w:t>POSSIBLE 2018:</w:t>
      </w:r>
      <w:r>
        <w:t xml:space="preserve"> Are advisory services “fit for purpose” to support sustainable soil management? An assessment of advice in Europe — https://doi.org/10.1111/sum.12452</w:t>
      </w:r>
    </w:p>
    <w:p>
      <w:pPr/>
      <w:r>
        <w:rPr>
          <w:b/>
        </w:rPr>
        <w:t>Shared claim-specific concepts:</w:t>
      </w:r>
      <w:r>
        <w:t xml:space="preserve"> purpose, assessment, structured, about, achieving; EU scope visible. This is a provisional connection, not an outcome finding.</w:t>
      </w:r>
    </w:p>
    <w:p>
      <w:pPr>
        <w:pStyle w:val="SourceNote"/>
      </w:pPr>
      <w:r>
        <w:rPr>
          <w:b/>
        </w:rPr>
        <w:t>Available abstract (not full text):</w:t>
      </w:r>
      <w:r>
        <w:t xml:space="preserve"> Abstract This assessment examines the extent to which advisory services are able to address current and emerging knowledge needs of practitioners (primarily farmers) about sustainable soil management ( SSM ) in Europe. The assessment is structured around the following components: the context of advice (policy, market, socio‐economic conditions, privatization of advisory systems); the challenges that SSM presents for advice; the current and emerging practitioner knowledge needs; and the existing structure and function of advisory services for SSM . The analysis reveals fragmented policy and advisory services, paralleled by the multi‐scale character of SSM and a diverse audience for advice. The challenges and opportunities this complex arena presents are analysed, and suggestions made for achieving more effective advisory services for SSM , together with examples of existing approaches.</w:t>
      </w:r>
    </w:p>
    <w:p>
      <w:pPr/>
      <w:r>
        <w:rPr>
          <w:b/>
        </w:rPr>
        <w:t>POSSIBLE 2018:</w:t>
      </w:r>
      <w:r>
        <w:t xml:space="preserve"> Assessment and quantification of marginal lands for biomass production in Europe using soil-quality indicators — https://doi.org/10.5194/soil-4-267-2018</w:t>
      </w:r>
    </w:p>
    <w:p>
      <w:pPr/>
      <w:r>
        <w:rPr>
          <w:b/>
        </w:rPr>
        <w:t>Shared claim-specific concepts:</w:t>
      </w:r>
      <w:r>
        <w:t xml:space="preserve"> assessment, therefore, system; EU scope visible. This is a provisional connection, not an outcome finding.</w:t>
      </w:r>
    </w:p>
    <w:p>
      <w:pPr>
        <w:pStyle w:val="SourceNote"/>
      </w:pPr>
      <w:r>
        <w:rPr>
          <w:b/>
        </w:rPr>
        <w:t>Available abstract (not full text):</w:t>
      </w:r>
      <w:r>
        <w:t xml:space="preserve"> Abstract. The cultivation of bioenergy plants at fertile, arable lands increasingly results in new land use conflicts with food production and cannot be considered as sustainable, therefore. Marginal lands have been frequently considered as potential alternative for producing bioenergy from biomass. However, clear definitions and assessment methods for selecting marginal lands and for calculating potentials are still widely missing. The project "SEEMLA" aims at triggering the exploitation of currently underused marginal lands for biomass production for energy purposes. Study sites have been selected in different European countries: Germany, Greece and Ukraine. The selected sites represent a wide variety of different types of marginal lands. Based on a soil assessment set given by the Muencheberg Soil Quality Rating (SQR) system potentially "marginal" sites have been investigated. The SQR system allows for clearly distinguishing between soils of higher and lower quality. Soils with SQR scores below 40 are regarded as "marginal". They can be classified into different groups with regard to the importance of soil hazard indicators as valuated by the SQR approach. The calculated SQR scores correlate significantly with biomass yields of bioenergy plants. Further, the SQR method was adapted for use in a GIS study on marginal land potentials in Europe. 46 % of the investigated European</w:t>
      </w:r>
    </w:p>
    <w:p>
      <w:pPr>
        <w:pStyle w:val="Heading2"/>
      </w:pPr>
      <w:r>
        <w:t>816.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r>
        <w:rPr>
          <w:b/>
        </w:rPr>
        <w:t>POSSIBLE 2023:</w:t>
      </w:r>
      <w:r>
        <w:t xml:space="preserve"> Exploring pathways to 100% renewable energy in European industry — https://doi.org/10.1016/j.energy.2023.126687</w:t>
      </w:r>
    </w:p>
    <w:p>
      <w:pPr/>
      <w:r>
        <w:rPr>
          <w:b/>
        </w:rPr>
        <w:t>Shared claim-specific concepts:</w:t>
      </w:r>
      <w:r>
        <w:t xml:space="preserve"> however, renewable, available;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2022:</w:t>
      </w:r>
      <w:r>
        <w:t xml:space="preserve"> Assessment of the 2021 summer flood in Central Europe — https://doi.org/10.1186/s12302-022-00685-1</w:t>
      </w:r>
    </w:p>
    <w:p>
      <w:pPr/>
      <w:r>
        <w:rPr>
          <w:b/>
        </w:rPr>
        <w:t>Shared claim-specific concepts:</w:t>
      </w:r>
      <w:r>
        <w:t xml:space="preserve"> however, even, though, become; EU scope visible. This is a provisional connection, not an outcome finding.</w:t>
      </w:r>
    </w:p>
    <w:p>
      <w:pPr>
        <w:pStyle w:val="SourceNote"/>
      </w:pPr>
      <w:r>
        <w:rPr>
          <w:b/>
        </w:rPr>
        <w:t>Available abstract (not full text):</w:t>
      </w:r>
      <w:r>
        <w:t xml:space="preserve"> Abstract The flood event in July 2021 in the uplands of the Eifel-Ardennes mountains in Germany, Belgium and The Netherlands and their foreland was caused by heavy rainfall and resulted in one of the largest flood disasters in Western Europe for decades. Due to climate change, it can be assumed that such events will become more frequent in future. Even though such extreme flood can happen at any time, the consequences and impacts can be significantly reduced by appropriate technical and non-technical measures. However, such measures always require a comprehensive understanding and knowledge of previous events and comparable processes. Therefore, this special issue aims at collecting the scientific evaluation and its implications of the 2021 extreme summer flood. This editorial serves as an introduction for an article collection published in the journal Environmental Sciences Europe, providing an overview of the current state of integrative assessment of the 2021 summer flood in Central Europe.</w:t>
      </w:r>
    </w:p>
    <w:p>
      <w:pPr/>
      <w:r>
        <w:rPr>
          <w:b/>
        </w:rPr>
        <w:t>POSSIBLE 2022:</w:t>
      </w:r>
      <w:r>
        <w:t xml:space="preserve"> A copula-based assessment of renewable energy droughts across Europe — https://doi.org/10.1016/j.renene.2022.10.091</w:t>
      </w:r>
    </w:p>
    <w:p>
      <w:pPr/>
      <w:r>
        <w:rPr>
          <w:b/>
        </w:rPr>
        <w:t>Shared claim-specific concepts:</w:t>
      </w:r>
      <w:r>
        <w:t xml:space="preserve"> renewable; EU scope visible. This is a provisional connection, not an outcome finding.</w:t>
      </w:r>
    </w:p>
    <w:p>
      <w:pPr>
        <w:pStyle w:val="SourceNote"/>
      </w:pPr>
      <w:r>
        <w:rPr>
          <w:b/>
        </w:rPr>
        <w:t>Available abstract (not full text):</w:t>
      </w:r>
      <w:r>
        <w:t xml:space="preserve"> Meeting carbon-reduction targets will require thorough consideration of climate variability and climate change due to the increasing share of climate-sensitive renewable energy sources (RES). One of the main concerns arises from situations of low renewable production and high demand, which can hinder the power system. We analysed energy droughts, defined as periods of low energy production (wind plus solar generation) or high residual load (demand minus production), in terms of two main properties: duration and severity. We estimated the joint return periods associated with energy droughts of residual load and power production. We showed that moderate winter energy droughts of both low renewable production and high residual load occur every half a year, while summer events occur every 3.6 and 2.4 years (on average). As expected, the occurrence of energy droughts tends to decrease with the degree of the severity of the energy drought, and moderate and extreme energy droughts showed longer return periods for most countries. In general, we found a large variability across Europe in summer, with some countries (e.g. Italy) being more sensitive to energy droughts. Our results highlight the relevance of sharing RES during prolonged periods of low production and high demand.</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however, even, though, use;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r>
        <w:rPr>
          <w:b/>
        </w:rPr>
        <w:t>POSSIBLE 2021:</w:t>
      </w:r>
      <w:r>
        <w:t xml:space="preserve"> The Expiry of Humira® Market Exclusivity and the Entry of Adalimumab Biosimilars in Europe: An Overview of Pricing and National Policy Measures — https://doi.org/10.3389/fphar.2020.591134</w:t>
      </w:r>
    </w:p>
    <w:p>
      <w:pPr/>
      <w:r>
        <w:rPr>
          <w:b/>
        </w:rPr>
        <w:t>Shared claim-specific concepts:</w:t>
      </w:r>
      <w:r>
        <w:t xml:space="preserve"> however, even, though, use, available; EU scope visible. This is a provisional connection, not an outcome finding.</w:t>
      </w:r>
    </w:p>
    <w:p>
      <w:pPr>
        <w:pStyle w:val="SourceNote"/>
      </w:pPr>
      <w:r>
        <w:rPr>
          <w:b/>
        </w:rPr>
        <w:t>Available abstract (not full text):</w:t>
      </w:r>
      <w:r>
        <w:t xml:space="preserve"> Background: From October 2018, adalimumab biosimilars could enter the European market. However, in some countries, such as Netherlands, high discounts reported for the originator product may have influenced biosimilar entry. Objectives: The aim of this paper is to provide a European overview of (list) prices of originator adalimumab, before and after loss of exclusivity; to report changes in the reimbursement status of adalimumab products; and discuss relevant policy measures. Methods: Experts in European countries received a survey consisting of three parts: 1) general financing/co-payment of medicines, 2) reimbursement status and prices of originator adalimumab, and availability of biosimilars, and 3) policy measures related to the use of adalimumab. Results: In May 2019, adalimumab biosimilars were available in 24 of the 30 countries surveyed. Following introduction of adalimumab biosimilars, a number of countries have made changes in relation to the reimbursement status of adalimumab products. Originator adalimumab list prices varied between countries by a factor of 2.8 before and 4.1 after loss of exclusivity. Overall, list prices of originator adalimumab decreased after loss of exclusivity, although for 13 countries list prices were unchanged. When reported, discounts/rebates on originator adalimumab after loss of exclusivity ranged from 0% to approximately 26% (Romania),</w:t>
      </w:r>
    </w:p>
    <w:p>
      <w:pPr/>
      <w:r>
        <w:rPr>
          <w:b/>
        </w:rPr>
        <w:t>POSSIBLE 2021:</w:t>
      </w:r>
      <w:r>
        <w:t xml:space="preserve"> Governing the European Intelligence: Multilateral Intelligence Cooperation in the European Union — https://doi.org/10.53451/ijps.900302</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Since intelligence is an essential part of national security, a high volume of cooperation in this area is not expected. An assessment of the literature shows that there are several obstacles to intelligence cooperation. More precisely, states are reluctant to involve in intelligence cooperation because of trust factors and other factors such as bureaucratic culture and resistance, regime type, lack of normative motivation and shared identities. Even if they are compelled to cooperate, they prefer bilateral intelligence cooperation. However, due to the globalization of national security threats in the last two decades, intelligence organizations are currently obliged to cooperate multilaterally even though they do not prefer to do so. Multilateral intelligence cooperation within the European Union is a unique example of relatively successful multilateral intelligence cooperation. On the one hand, official European intelligence agencies INTCEN and Europol provide the legal framework of intelligence cooperation among the Union. On the other hand, informal channels such as the Club of Berne are also proven useful for the EU’s intelligence cooperation. We argue that the relative success of European intelligence cooperation derives from at least three factors. These are institutionalized demand for intelligence governance, the delegated authority of the members of the EU’s (epistemi</w:t>
      </w:r>
    </w:p>
    <w:p>
      <w:pPr>
        <w:pStyle w:val="Heading2"/>
      </w:pPr>
      <w:r>
        <w:t>817.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2024:</w:t>
      </w:r>
      <w:r>
        <w:t xml:space="preserve"> Experience in applying large language models to analyse sociological data obtained as a result of interviews on students’ perception of entrepreneurial activity — https://doi.org/10.26425/2658-347x-2024-7-3-4-14</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Modern society is experiencing a digital transformation of various spheres associated with the development of artificial intelligence and big data. The introduction of large language models (hereinafter referred to as LLM) into scientific research opens new opportunities, but also raises a number of questions, which makes it relevant to study the peculiarities of their application for qualitative data analysis in sociology. The purpose of this article is to explore how LLM can influence the methodology and practice of sociological research, and to identify the advantages and disadvantages of their application. The authors rely on the use of the Calude-3 LLM to qualitatively analyse empirical data from a sociological study of students’ perception of ­entrepreneurship. The possibilities of LLM in the analysis of qualitative data are revealed: analysis of sentiment, construction of logical conclusions, classification, clustering, and formation of typologies. The advantages of using LLM are shown: increased data processing speed, saving time and resources. The application of LLM becomes a tool to optimise the research process in sociology, allowing to deepen the analysis of qualitative data, but it also has a number of limitations: social and political bias, difficulties with hallucinations. It is necessary to increase the transparency of models, improve their interpretability and </w:t>
      </w:r>
    </w:p>
    <w:p>
      <w:pPr/>
      <w:r>
        <w:rPr>
          <w:b/>
        </w:rPr>
        <w:t>POSSIBLE 2024:</w:t>
      </w:r>
      <w:r>
        <w:t xml:space="preserve"> DELAY RED FLAG CONSTRUCTION COMPANY: CONTROL ANALYSIS WITH FOUR LEVER OF CONTROL — https://doi.org/10.37641/riset.v6i2.2118</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Despite extensive research on construction delays, this persistent issue continues to challenge the global construction industry. This case study aims to enhance the theoretical and practical understanding of management control systems (MCS) in construction firms by identifying the primary causes of project delays and examining the MCS components involved. A qualitative case study was conducted at a national private construction company (Jakons) to identify delay factors and propose solutions by linking them to MCS. The study focused on two Jakons projects that experienced delays, with primary data collected through interviews with five key informants directly engaged in MCS for the projects. Analysis of the interviews revealed common delay causes related to the project owner, consultants, labor, and materials. These causes were then connected to MCS practices and assessed using the four Levers of Control (LoC) framework, including Belief, Boundary, Diagnostic, and Interactive control systems. The study identified areas for improvement in MCS related to communication management, coordination, competence, and risk management that impact schedule delays. These findings provide valuable guidance for construction practitioners in planning and managing projects and offer insights to reassess MCS strategies to mitigate delays and achieve timely project completion.</w:t>
      </w:r>
    </w:p>
    <w:p>
      <w:pPr/>
      <w:r>
        <w:rPr>
          <w:b/>
        </w:rPr>
        <w:t>POSSIBLE 2022:</w:t>
      </w:r>
      <w:r>
        <w:t xml:space="preserve"> Analysis of the Drivers of Highway Construction Companies Adopting Smart Construction Technology — https://doi.org/10.3390/su15010703</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In this study, we aimed to identify the influencing factors that drive highway construction companies to adopt smart construction technologies. Using expert interviews and expert scoring, we collected interview data from 25 experts in the field and we proposed the TOSE framework based on the TOE framework, identifying four dimensions and fourteen influencing factors. We analyzed the results using the Fuzzy DEMATEL-ISM method, and we then summarized the findings according to the evaluation criteria to determine the validity of the fourteen hypotheses and the extent to which they drive highway construction companies to adopt smart construction technologies. The findings of this paper are of high value to decision makers and participants in highway construction companies, as well as to other companies in the construction industry, in their decision to adopt smart construction technologies.</w:t>
      </w:r>
    </w:p>
    <w:p>
      <w:pPr/>
      <w:r>
        <w:rPr>
          <w:b/>
        </w:rPr>
        <w:t>POSSIBLE 2022:</w:t>
      </w:r>
      <w:r>
        <w:t xml:space="preserve"> Construction Path of Smart City Under Mobile Big Data — https://doi.org/10.1109/icerect56837.2022.10060717</w:t>
      </w:r>
    </w:p>
    <w:p>
      <w:pPr/>
      <w:r>
        <w:rPr>
          <w:b/>
        </w:rPr>
        <w:t>Shared claim-specific concepts:</w:t>
      </w:r>
      <w:r>
        <w:t xml:space="preserve"> data, construction, four; EU scope not established. This is a provisional connection, not an outcome finding.</w:t>
      </w:r>
    </w:p>
    <w:p>
      <w:pPr>
        <w:pStyle w:val="SourceNote"/>
      </w:pPr>
      <w:r>
        <w:rPr>
          <w:b/>
        </w:rPr>
        <w:t>Available abstract (not full text):</w:t>
      </w:r>
      <w:r>
        <w:t xml:space="preserve"> Establishing a new model of smart city is one of the significant work of urban development and construction, and the built of the smart city is inseparable with the support of big data technology. Through literature reading and interview method, this paper studies the smart city construction in Wuhan with the support of mobile big data technology, analyzes some current situation of Wuhan smart city construction, discusses the experience and shortcomings of smart construction under mobile big data, and analyzes four aspects about system, technology, management and personnel, then innovative construction methods are proposed. In the conclusion, firstly strengthen the overall integration of smart city construction, secondly broaden the channels and ways for citizens to participate, thirdly strengthen the construction of information security, lastly strengthen the construction of relevant systems. This paper suggests jointly promoting the development the new smart city of new technologies under the mobile big data, further promoting the realization of the harmonious society.</w:t>
      </w:r>
    </w:p>
    <w:p>
      <w:pPr/>
      <w:r>
        <w:rPr>
          <w:b/>
        </w:rPr>
        <w:t>POSSIBLE 2022:</w:t>
      </w:r>
      <w:r>
        <w:t xml:space="preserve"> Factoring construction and demolition waste in the Zambian construction industry — https://doi.org/10.30574/gjeta.2022.11.2.0089</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The Zambian Construction Industry (ZCI) is one of the fastest growing sectors in Zambia arising from increased infrastructure development. The ZCI, like elsewhere, is composed of many players including designers, contractors, regulators, manufacturers and suppliers of construction materials. The country has seen an upsurge in Construction and Demolition Waste (CDW) generation due to increased construction activities. However, opportunities for utilizing CDW for sustainable construction and management have been minimal. Most research in developing countries has focused on Municipal Waste Management (MWM) rather CDW. In Zambia, CDW is a challenge in the absence of legislation, guidelines and regulation. In the developed countries, guidelines, legislation and regulation, exist. Sustainable utilization of CDW in Zambia is limited due to inadequate policy guidelines and legislation. The research aimed at estimating the levels of CDW waste generation and utilization, and proposing a framework for sustainable utilization and management of CDW. The research required both qualitative and quantitative data. Primary data was collected through questionnaires, interviews and site visits whilst secondary data was obtained through literature review. The research, conducted in four provinces of Zambia, established that CDW generation rates were mainly in the 1-10% levels and utilization was lo</w:t>
      </w:r>
    </w:p>
    <w:p>
      <w:pPr/>
      <w:r>
        <w:rPr>
          <w:b/>
        </w:rPr>
        <w:t>POSSIBLE 2022:</w:t>
      </w:r>
      <w:r>
        <w:t xml:space="preserve"> Four Themes About Construction of Histograms — https://doi.org/10.52041/iase.icots11.t14i3</w:t>
      </w:r>
    </w:p>
    <w:p>
      <w:pPr/>
      <w:r>
        <w:rPr>
          <w:b/>
        </w:rPr>
        <w:t>Shared claim-specific concepts:</w:t>
      </w:r>
      <w:r>
        <w:t xml:space="preserve"> data, construction, four; EU scope not established. This is a provisional connection, not an outcome finding.</w:t>
      </w:r>
    </w:p>
    <w:p>
      <w:pPr>
        <w:pStyle w:val="SourceNote"/>
      </w:pPr>
      <w:r>
        <w:rPr>
          <w:b/>
        </w:rPr>
        <w:t>Available abstract (not full text):</w:t>
      </w:r>
      <w:r>
        <w:t xml:space="preserve"> This article reports findings from a multi-year mixed-method study that explored the challenges students encountered while answering fundamental histogram questions. In the first stage in 2017, an exploratory study was conducted using think-aloud protocols. In the second stage in 2019, an online survey was developed to confirm the preliminary themes. Four themes were identified. The themes are as follows: (a) identify the correct type of graph to explore the center and variability of one quantitative variable; (b) realize data has its own expressed shape; (c) lose concrete identifiers; and (d) create bins and count individual values. These themes will add to the current knowledge of students' difficulty with interpreting and describing histograms. This knowledge can help teachers prepare activities to promote understanding of histograms.</w:t>
      </w:r>
    </w:p>
    <w:p>
      <w:pPr>
        <w:pStyle w:val="Heading2"/>
      </w:pPr>
      <w:r>
        <w:t>818.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Forest-based climate change mitigation and adaptation in Europe — https://doi.org/10.36333/fs14</w:t>
      </w:r>
    </w:p>
    <w:p>
      <w:pPr/>
      <w:r>
        <w:rPr>
          <w:b/>
        </w:rPr>
        <w:t>Shared claim-specific concepts:</w:t>
      </w:r>
      <w:r>
        <w:t xml:space="preserve"> climate, sector;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Central European forest–steppe: An ecosystem shaped by climate, topography and disturbances — https://doi.org/10.1111/jbi.14364</w:t>
      </w:r>
    </w:p>
    <w:p>
      <w:pPr/>
      <w:r>
        <w:rPr>
          <w:b/>
        </w:rPr>
        <w:t>Shared claim-specific concepts:</w:t>
      </w:r>
      <w:r>
        <w:t xml:space="preserve"> develop, here, climate, framework, general; EU scope visible. This is a provisional connection, not an outcome finding.</w:t>
      </w:r>
    </w:p>
    <w:p>
      <w:pPr>
        <w:pStyle w:val="SourceNote"/>
      </w:pPr>
      <w:r>
        <w:rPr>
          <w:b/>
        </w:rPr>
        <w:t>Available abstract (not full text):</w:t>
      </w:r>
      <w:r>
        <w:t xml:space="preserve"> Abstract The occurrence and origin of dry grasslands and their rich biota in the moderately humid Central‐European climate have fascinated scientists for over a century. Modern palaeoecological and phylogeographical data support earlier hypotheses that these grasslands are late Pleistocene relicts and can therefore be considered part of the Eurasian forest–steppe biome. However, it is still unclear which factors fostered the maintenance of steppe patches in Central Europe throughout the Holocene. Here, we provide an overview of the main hypotheses, which stress, respectively, the effects of climate, edaphic conditions and disturbances. We then develop a general conceptual framework on how these three factors interact to form forest–steppe mosaics. We thereby emphasize the role of topography as a crucial control on forest–steppe patterns at the landscape scale. Topography is related to several mechanistic drivers that influence vegetation processes, such as near‐surface microclimate and soil formation. Consequently, topographic variation allows both forest and steppe patches to occur beyond their macroclimatic niche, favouring the development of forest–steppe mosaics. To illustrate our framework, we demonstrate the interactive effect of macroclimate and topography on the occurrence of steppe patches at 108 selected Central European forest–steppe sites. Although we developed our </w:t>
      </w:r>
    </w:p>
    <w:p>
      <w:pPr/>
      <w:r>
        <w:rPr>
          <w:b/>
        </w:rPr>
        <w:t>POSSIBLE 2021:</w:t>
      </w:r>
      <w:r>
        <w:t xml:space="preserve"> Gastrointestinal cancers in China, the USA, and Europe — https://doi.org/10.1093/gastro/goab010</w:t>
      </w:r>
    </w:p>
    <w:p>
      <w:pPr/>
      <w:r>
        <w:rPr>
          <w:b/>
        </w:rPr>
        <w:t>Shared claim-specific concepts:</w:t>
      </w:r>
      <w:r>
        <w:t xml:space="preserve"> thus, here; EU scope visible. This is a provisional connection, not an outcome finding.</w:t>
      </w:r>
    </w:p>
    <w:p>
      <w:pPr>
        <w:pStyle w:val="SourceNote"/>
      </w:pPr>
      <w:r>
        <w:rPr>
          <w:b/>
        </w:rPr>
        <w:t>Available abstract (not full text):</w:t>
      </w:r>
      <w:r>
        <w:t xml:space="preserve"> Gastrointestinal (GI) cancers, including colorectal cancer, gastric cancer, and esophageal cancer, are a major medical and economic burden worldwide and have the largest number of new cancer cases and cancer deaths each year. Esophageal and gastric cancers are most common in developing countries, while colorectal cancer forms the major GI malignancy in Western countries. However, a great shift in the predominant GI-cancer type is happening in countries under economically transitioning and, at the same time, esophageal and gastric cancers are reigniting in Western countries due to the higher exposure to certain risk factors. The development of all GI cancers is highly associated with lifestyle habits and all can be detected by identified precancerous diseases. Thus, they are all suitable for cancer screening. Here, we review the epidemiological status of GI cancers in China, the USA, and Europe; the major risk factors and their distribution in these regions; and the current screening strategies.</w:t>
      </w:r>
    </w:p>
    <w:p>
      <w:pPr/>
      <w:r>
        <w:rPr>
          <w:b/>
        </w:rPr>
        <w:t>POSSIBLE 2021:</w:t>
      </w:r>
      <w:r>
        <w:t xml:space="preserve"> Current and projected regional economic impacts of heatwaves in Europe — https://doi.org/10.1038/s41467-021-26050-z</w:t>
      </w:r>
    </w:p>
    <w:p>
      <w:pPr/>
      <w:r>
        <w:rPr>
          <w:b/>
        </w:rPr>
        <w:t>Shared claim-specific concepts:</w:t>
      </w:r>
      <w:r>
        <w:t xml:space="preserve"> thus, here;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climate, assessment;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thus, develop, here;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pStyle w:val="Heading2"/>
      </w:pPr>
      <w:r>
        <w:t>819.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2023:</w:t>
      </w:r>
      <w:r>
        <w:t xml:space="preserve"> Unveiling the Carbon Footprint of Europe and Central Asia: Insights into the Impact of Key Factors on CO2 Emissions — https://doi.org/10.5281/zenodo.7669782</w:t>
      </w:r>
    </w:p>
    <w:p>
      <w:pPr/>
      <w:r>
        <w:rPr>
          <w:b/>
        </w:rPr>
        <w:t>Shared claim-specific concepts:</w:t>
      </w:r>
      <w:r>
        <w:t xml:space="preserve"> key, negative, emissions, carbon; EU scope visible. This is a provisional connection, not an outcome finding.</w:t>
      </w:r>
    </w:p>
    <w:p>
      <w:pPr>
        <w:pStyle w:val="SourceNote"/>
      </w:pPr>
      <w:r>
        <w:rPr>
          <w:b/>
        </w:rPr>
        <w:t>Available abstract (not full text):</w:t>
      </w:r>
      <w:r>
        <w:t xml:space="preserve"> This study delves into the intricate relationship between carbon dioxide (CO2) emissions and crucial variables in Europe and Central Asia from 1990-2021. By examining the impact of renewable energy, industry value added, foreign direct investment (FDI), gross domestic product (GDP) per capita, and population density on CO2 emissions using the autoregressive distributed lag (ARDL) method, the study uncovers intriguing findings. The study reveals a significant negative correlation between linear per capita income and CO2 emissions in both the short and long run. Moreover, it confirms the inverted N-shaped environmental Kuznets curve (EKC) relationship between the variables. The study further highlights the unfavorable impact of renewable energy and industry value added on CO2 emissions, pointing to the fact that their growth increases CO2 emissions. On the other hand, population density is found to be a vital factor in reducing CO2 emissions. FDI is identified to have a negative and insignificant impact on CO2 emissions, suggesting that it may not be an effective tool for reducing carbon emissions in the region. The insights from this study have significant implications for policymakers in the region to design and implement effective strategies to reduce CO2 emissions.</w:t>
      </w:r>
    </w:p>
    <w:p>
      <w:pPr/>
      <w:r>
        <w:rPr>
          <w:b/>
        </w:rPr>
        <w:t>POSSIBLE 2022:</w:t>
      </w:r>
      <w:r>
        <w:t xml:space="preserve"> Key factors for successful uptake of biosimilars: Europe and the US — https://doi.org/10.5639/gabij.2022.1103.018</w:t>
      </w:r>
    </w:p>
    <w:p>
      <w:pPr/>
      <w:r>
        <w:rPr>
          <w:b/>
        </w:rPr>
        <w:t>Shared claim-specific concepts:</w:t>
      </w:r>
      <w:r>
        <w:t xml:space="preserve"> key, via, also; EU scope visible. This is a provisional connection, not an outcome finding.</w:t>
      </w:r>
    </w:p>
    <w:p>
      <w:pPr>
        <w:pStyle w:val="SourceNote"/>
      </w:pPr>
      <w:r>
        <w:rPr>
          <w:b/>
        </w:rPr>
        <w:t>Available abstract (not full text):</w:t>
      </w:r>
      <w:r>
        <w:t xml:space="preserve"> Introduction: Biosimilars were first introduced in Europe in 2006 and then in the US in 2015. An online webinar on the successful uptake in Europe and the US was held to discuss measures taken for improving biosimilar uptake, and trends in uptake. Methods: The webinar was held by the Alliance for Safe Biologic Medicines (ASBM) in collaboration with Generics and Biosimilars Initiative (GaBI) on 29 June 2022. It consisted of a number of expert speaker presentations followed by a Q&amp;A with the panel and the audience also had the opportunity to ask questions online throughout the webinar. Results: Presentations discussed key elements contributing to the wide uptake of biosimilars in Europe and the US and physicians’ trust in prescribing and switching of biosimilars. Further details of the presentations were discussed during the Q&amp;A and clarifications made via the concurrent online Q&amp;A. Conclusion: The webinar enabled in-depth discussion of the current status of biosimilar adoption in Europe and the US. It was highlighted that, although the US adopted biosimilars at a later date, their uptake is starting to rival that of Europe. Aspects of forced switching policies in Canada and Australia were also discussed.</w:t>
      </w:r>
    </w:p>
    <w:p>
      <w:pPr/>
      <w:r>
        <w:rPr>
          <w:b/>
        </w:rPr>
        <w:t>POSSIBLE 2022:</w:t>
      </w:r>
      <w:r>
        <w:t xml:space="preserve"> Environmental sustainability of negative emissions technologies: A review — https://doi.org/10.1016/j.spc.2022.06.028</w:t>
      </w:r>
    </w:p>
    <w:p>
      <w:pPr/>
      <w:r>
        <w:rPr>
          <w:b/>
        </w:rPr>
        <w:t>Shared claim-specific concepts:</w:t>
      </w:r>
      <w:r>
        <w:t xml:space="preserve"> negative, emissions, use, biomass, carbon, capture; EU scope not established. This is a provisional connection, not an outcome finding.</w:t>
      </w:r>
    </w:p>
    <w:p>
      <w:pPr>
        <w:pStyle w:val="SourceNote"/>
      </w:pPr>
      <w:r>
        <w:rPr>
          <w:b/>
        </w:rPr>
        <w:t>Available abstract (not full text):</w:t>
      </w:r>
      <w:r>
        <w:t xml:space="preserve"> Negative emissions technologies (NETs) are expected to play a significant role in mitigating climate change. However, there are also concerns that a large scale deployment of NETs may cause various environmental impacts due to the use of land, water and energy resources. A number of studies have assessed the environmental performance of various NETs; however, a comprehensive review comparing a range of different NETs is not available in the literature. To address this research gap, this paper compares life cycle assessment (LCA) studies of the following options for which the data were available in the literature: bioenergy with carbon capture and storage (BECCS), biochar incorporation into soil, afforestation and reforestation, soil carbon sequestration, building with biomass, direct air carbon capture and storage (DACCS), enhanced weathering and mineral carbonation. It is evident from this review that these technologies can have net negative life cycle GHG emissions, ranging from −603 kg CO 2 eq./t CO 2 removed for building with biomass to −1173 kg CO 2 eq./t CO 2 removed for biochar incorporation into soil. However, the estimates of GHG removal potentials vary widely among the studies for each technology as well as among the NETs owing to technological differences, methodological choices and differing assumptions. For example, the net global warming potential (GWP) of biochar</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Carbon capture and biomass in industry: A techno-economic analysis and comparison of negative emission options — https://doi.org/10.1016/j.rser.2021.111028</w:t>
      </w:r>
    </w:p>
    <w:p>
      <w:pPr/>
      <w:r>
        <w:rPr>
          <w:b/>
        </w:rPr>
        <w:t>Shared claim-specific concepts:</w:t>
      </w:r>
      <w:r>
        <w:t xml:space="preserve"> negative, emissions, sector, use, biomass, carbon; EU scope not established. This is a provisional connection, not an outcome finding.</w:t>
      </w:r>
    </w:p>
    <w:p>
      <w:pPr>
        <w:pStyle w:val="SourceNote"/>
      </w:pPr>
      <w:r>
        <w:rPr>
          <w:b/>
        </w:rPr>
        <w:t>Available abstract (not full text):</w:t>
      </w:r>
      <w:r>
        <w:t xml:space="preserve"> Meeting the Paris Agreement will most likely require the combination of CO2 capture and biomass in the industrial sector, resulting in net negative emissions. CO2 capture within the industry has been extensively investigated. However, biomass options have been poorly explored, with literature alluding to technical and economic barriers. In addition, a lack of consistency among studies makes comparing the performance of CO2 capture and/or biomass use between studies and sectors difficult. These inconsistencies include differences in methodology, system boundaries, level of integration, costs, greenhouse gas intensity of feedstock and energy carriers, and capital cost estimations. Therefore, an integrated evaluation of the techno-economic performance regarding CO2 capture and biomass use was performed for five energy-intensive industrial sub-sectors. Harmonization results indicate that CO2 mitigation potentials vary for each sub-sector, resulting in reductions of 1.4–2.7 t CO2/t steel (77%–149%), 0.7 t CO2/t cement (92%), 0.2 t CO2/t crude oil (68%), 1.9 t CO2/t pulp (1663%–2548%), and 34.9 t CO2/t H2 (313%). Negative emissions can be reached in the steel, paper and H2 sectors. Novel bio-based production routes might enable net negative emissions in the cement and (petro)chemical sectors as well. All the above-mentioned potentials can be reached for 100 €/t CO2 or less. Implement</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emissions, power, sector, transport, sectors, also;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2020:</w:t>
      </w:r>
      <w:r>
        <w:t xml:space="preserve"> Congenital Hypothyroidism: A 2020–2021 Consensus Guidelines Update—An ENDO-European Reference Network Initiative Endorsed by the European Society for Pediatric Endocrinology and the European Society for Endocrinology — https://doi.org/10.1089/thy.2020.0333</w:t>
      </w:r>
    </w:p>
    <w:p>
      <w:pPr/>
      <w:r>
        <w:rPr>
          <w:b/>
        </w:rPr>
        <w:t>Shared claim-specific concepts:</w:t>
      </w:r>
      <w:r>
        <w:t xml:space="preserve"> key, conclusions, also; EU scope visible. This is a provisional connection, not an outcome finding.</w:t>
      </w:r>
    </w:p>
    <w:p>
      <w:pPr>
        <w:pStyle w:val="SourceNote"/>
      </w:pPr>
      <w:r>
        <w:rPr>
          <w:b/>
        </w:rPr>
        <w:t>Available abstract (not full text):</w:t>
      </w:r>
      <w:r>
        <w:t xml:space="preserve"> Background: An ENDO-European Reference Network (ERN) initiative was launched that was endorsed by the European Society for Pediatric Endocrinology and the European Society for Endocrinology with 22 participants from the ENDO-ERN and the two societies. The aim was to update the practice guidelines for the diagnosis and management of congenital hypothyroidism (CH). A systematic literature search was conducted to identify key articles on neonatal screening, diagnosis, and management of primary and central CH. The evidence-based guidelines were graded with the Grading of Recommendations, Assessment, Development and Evaluation system, describing both the strength of recommendations and the quality of evidence. In the absence of sufficient evidence, conclusions were based on expert opinion. Summary: The recommendations include the various neonatal screening approaches for CH as well as the etiology (also genetics), diagnostics, treatment, and prognosis of both primary and central CH. When CH is diagnosed, the expert panel recommends the immediate start of correctly dosed levothyroxine treatment and frequent follow-up including laboratory testing to keep thyroid hormone levels in their target ranges, timely assessment of the need to continue treatment, attention for neurodevelopment and neurosensory functions, and, if necessary, consulting other health professionals, and education of </w:t>
      </w:r>
    </w:p>
    <w:p>
      <w:pPr>
        <w:pStyle w:val="Heading2"/>
      </w:pPr>
      <w:r>
        <w:t>820.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r>
        <w:rPr>
          <w:b/>
        </w:rPr>
        <w:t>POSSIBLE 2024:</w:t>
      </w:r>
      <w:r>
        <w:t xml:space="preserve"> Determinants of Financial Security of European Union Farms—A Factor Analysis Model Approach — https://doi.org/10.3390/agriculture14010119</w:t>
      </w:r>
    </w:p>
    <w:p>
      <w:pPr/>
      <w:r>
        <w:rPr>
          <w:b/>
        </w:rPr>
        <w:t>Shared claim-specific concepts:</w:t>
      </w:r>
      <w:r>
        <w:t xml:space="preserve"> factors, number, between, union; EU scope visible. This is a provisional connection, not an outcome finding.</w:t>
      </w:r>
    </w:p>
    <w:p>
      <w:pPr>
        <w:pStyle w:val="SourceNote"/>
      </w:pPr>
      <w:r>
        <w:rPr>
          <w:b/>
        </w:rPr>
        <w:t>Available abstract (not full text):</w:t>
      </w:r>
      <w:r>
        <w:t xml:space="preserve"> The objective of this study was to assess the level of financial security of farms and identify its determinants based on factor analysis. The data used in this research were obtained from the European FADN (Farm Accountancy Data Network). Factor analysis (FA) was employed to reduce the number of variables that potentially determine the financial security of farms. The results indicate that the surveyed entities maintained financial security between 2014 and 2021. This study suggests that it is necessary to examine these factors separately for farms engaged in crop farming and animal production. The results obtained for all farms were less satisfactory than those that took into account the specifics of agricultural production. This study addresses a gap in the literature by including highly correlated variables in the analysis of the determinants of financial security. Factor analysis is used to reduce the number of variables without losing important information. Firstly, seventeen variables related to the financial security of all farms were assigned to six factors. These were income and self-financing of operations; area and subsidies; long-term investments and financial decisions consequences; economic size, taxes, and non-breeding livestocks; investment activity; and inputs, stock, short-term loans, and labor. Then, the determinants of the financial security of farms were e</w:t>
      </w:r>
    </w:p>
    <w:p>
      <w:pPr/>
      <w:r>
        <w:rPr>
          <w:b/>
        </w:rPr>
        <w:t>POSSIBLE 2022:</w:t>
      </w:r>
      <w:r>
        <w:t xml:space="preserve"> Factors influencing antimicrobial resistance in the European food system and potential leverage points for intervention: A participatory, One Health study — https://doi.org/10.1371/journal.pone.0263914</w:t>
      </w:r>
    </w:p>
    <w:p>
      <w:pPr/>
      <w:r>
        <w:rPr>
          <w:b/>
        </w:rPr>
        <w:t>Shared claim-specific concepts:</w:t>
      </w:r>
      <w:r>
        <w:t xml:space="preserve"> factors, number, between; EU scope visible. This is a provisional connection, not an outcome finding.</w:t>
      </w:r>
    </w:p>
    <w:p>
      <w:pPr>
        <w:pStyle w:val="SourceNote"/>
      </w:pPr>
      <w:r>
        <w:rPr>
          <w:b/>
        </w:rPr>
        <w:t>Available abstract (not full text):</w:t>
      </w:r>
      <w:r>
        <w:t xml:space="preserve"> INTRODUCTION: Antimicrobial resistance (AMR) is a global crisis that evolves from a complex system of factors. Understanding what factors interact is key to finding solutions. Our objective was to identify the factors influencing AMR in the European food system and places to intervene. MATERIALS AND METHODS: We conducted two workshops involving participants with diverse perspectives to identify the factors influencing AMR and leverage points (places) to target interventions. Transcripts were open coded for factors and connections, then transcribed into Vensim 8.0.4 to develop a causal loop diagram (CLD) and compute the number of feedback loops. Thematic analysis followed to describe AMR dynamics in Europe's food system and places for intervention. The CLD and themes were confirmed via participant feedback. RESULTS: Seventeen participants representing human, animal and agricultural sectors identified 91 CLD factors and 331 connections. Seven themes (e.g., social and economic conditions) describing AMR dynamics in Europe's food system, five 'overarching factors' that impact the entire CLD system (e.g., leadership) and fourteen places for intervention (e.g., consumer demand) emerged from workshop discussions. Most leverage points fell on highly networked feedback loops suggesting that intervening at these places may create unpredictable consequences. CONCLUSIONS: Our study produce</w:t>
      </w:r>
    </w:p>
    <w:p>
      <w:pPr/>
      <w:r>
        <w:rPr>
          <w:b/>
        </w:rPr>
        <w:t>POSSIBLE 2022:</w:t>
      </w:r>
      <w:r>
        <w:t xml:space="preserve"> INFLUENCE OF THE EUROPEAN INTEGRATION ON LINGUISTIC ASPECTS — https://doi.org/10.52058/2786-6165-2022-4(4)-8-21</w:t>
      </w:r>
    </w:p>
    <w:p>
      <w:pPr/>
      <w:r>
        <w:rPr>
          <w:b/>
        </w:rPr>
        <w:t>Shared claim-specific concepts:</w:t>
      </w:r>
      <w:r>
        <w:t xml:space="preserve"> factors, influence, between, federation, significant, union; EU scope visible. This is a provisional connection, not an outcome finding.</w:t>
      </w:r>
    </w:p>
    <w:p>
      <w:pPr>
        <w:pStyle w:val="SourceNote"/>
      </w:pPr>
      <w:r>
        <w:rPr>
          <w:b/>
        </w:rPr>
        <w:t>Available abstract (not full text):</w:t>
      </w:r>
      <w:r>
        <w:t xml:space="preserve"> The article deals with factors of linguistic integration and the role of the European Union in these processes.The issue of the influence of English loanwords on the Ukrainian linguistic picture of the world is under consideration.Linguistic policy aimed at preserving national identity acts as an opposition to integration.The European choice of Ukraine is conditioned by the awareness of integration as a factor contributing to state independence, national security, political stability, economic development, intellectual progress, and restoration of the country's European essence.The topic of language in modern conditions is significant and interesting within various disciplines of social and humanitarian knowledge: linguistics, sociolinguistics, ethnolinguistics, pedagogy and psychology, sociology, political science, ethnopolitical science.Language is a dominant factor in the development of any society.Ukraine's acquisition of associate membership in the European Federation of National Language Institutes (EFNIL) will significantly strengthen the position of the Ukrainian language as the state language and contribute to its prospective use as a mandatory language in EU countries.The main importance of linguistic identity is one of the key factors in the formation of a single political community capable of developing a common national course, the clear and consistent observance o</w:t>
      </w:r>
    </w:p>
    <w:p>
      <w:pPr/>
      <w:r>
        <w:rPr>
          <w:b/>
        </w:rPr>
        <w:t>POSSIBLE 2022:</w:t>
      </w:r>
      <w:r>
        <w:t xml:space="preserve"> Modelling site response at regional scale for the 2020 European Seismic Risk Model (ESRM20) — https://doi.org/10.1007/s10518-022-01526-5</w:t>
      </w:r>
    </w:p>
    <w:p>
      <w:pPr/>
      <w:r>
        <w:rPr>
          <w:b/>
        </w:rPr>
        <w:t>Shared claim-specific concepts:</w:t>
      </w:r>
      <w:r>
        <w:t xml:space="preserve"> influence, stations; EU scope visible. This is a provisional connection, not an outcome finding.</w:t>
      </w:r>
    </w:p>
    <w:p>
      <w:pPr>
        <w:pStyle w:val="SourceNote"/>
      </w:pPr>
      <w:r>
        <w:rPr>
          <w:b/>
        </w:rPr>
        <w:t>Available abstract (not full text):</w:t>
      </w:r>
      <w:r>
        <w:t xml:space="preserve">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influence, between, significant;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2021:</w:t>
      </w:r>
      <w:r>
        <w:t xml:space="preserve"> Comparison of factors influencing liquidity of European Islamic and conventional banks — https://doi.org/10.24136/oc.2021.013</w:t>
      </w:r>
    </w:p>
    <w:p>
      <w:pPr/>
      <w:r>
        <w:rPr>
          <w:b/>
        </w:rPr>
        <w:t>Shared claim-specific concepts:</w:t>
      </w:r>
      <w:r>
        <w:t xml:space="preserve"> factors, influence, due; EU scope visible. This is a provisional connection, not an outcome finding.</w:t>
      </w:r>
    </w:p>
    <w:p>
      <w:pPr>
        <w:pStyle w:val="SourceNote"/>
      </w:pPr>
      <w:r>
        <w:rPr>
          <w:b/>
        </w:rPr>
        <w:t>Available abstract (not full text):</w:t>
      </w:r>
      <w:r>
        <w:t xml:space="preserve"> Research background: The innovation in Shar??ah-compliant banking products has resulted in the rapidly increasing size of assets in Islamic banks worldwide. The assets of such banks have been growing twice as fast as those of conventional banks. Islamic banks do not depend on conventional interest, speculation, or complex derivatives stemming from banking operations. Instead, their actions in respect of profit/risk sharing, and the clarity of the contract are consistent with Islamic Shar??ah principles, which seek to promote a more equal society. Purpose of the article: This research aims to identify and compare factors influencing the liquidity of Islamic and conventional banks in Europe. Candidate factors are sought amongst profitability, credit quality, credit expansion and capital adequacy indicators. Methodology: First, relevant financial ratios for 249 observations on Islamic banks and 2,306 observations on conventional banks are selected and compared for the period 2013?2017. Second, liquidity is explained separately for each type of banks by panel data regression to identify its determinants in a comparative context. Findings &amp; value added: The results indicate that the impact of the net interest margin on the liquidity ratio of Islamic banks is insignificant, which is obviously due to the prohibition of the use of interest (riba). To the contrary, in conventional banki</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factors, traffic, due;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2021:</w:t>
      </w:r>
      <w:r>
        <w:t xml:space="preserve"> The open source electricity Model Base for Europe - An engagement framework for open and transparent European energy modelling — https://doi.org/10.1016/j.energy.2021.121973</w:t>
      </w:r>
    </w:p>
    <w:p>
      <w:pPr/>
      <w:r>
        <w:rPr>
          <w:b/>
        </w:rPr>
        <w:t>Shared claim-specific concepts:</w:t>
      </w:r>
      <w:r>
        <w:t xml:space="preserve"> presents, between; EU scope visible. This is a provisional connection, not an outcome finding.</w:t>
      </w:r>
    </w:p>
    <w:p>
      <w:pPr>
        <w:pStyle w:val="SourceNote"/>
      </w:pPr>
      <w:r>
        <w:rPr>
          <w:b/>
        </w:rPr>
        <w:t>Available abstract (not full text):</w:t>
      </w:r>
      <w:r>
        <w:t xml:space="preserve"> The transition to a low carbon energy system as laid out in the Paris Agreement and the European Green Deal presents challenges that involve society at all levels from planners to consumers. A key challenge is the communication across these levels. Tools to foster engagement and discussion between the different actors are open-source models with a low threshold for uptake. This paper presents the Open-Source electricity Model Base for Europe an electricity sector engagement model covering all member states of the EU, Norway, Switzerland and the United Kingdom. Built in OSeMOSYS and available on GitHub, the model provides a starting point into energy systems modelling and can be further developed in a collaborative manner. It enables non-experts to develop an understanding of energy systems models and energy planning. Thereby, it can serve as an engagement tool to carry the debate on the future of the European power system beyond the academy, which might contribute to finding societal consensus on how to decarbonise our energy system. The model allows dynamic power sector expansion analysis of the European power system till 2050. It can be used for scenario analysis and is expandable to other sectors to analyse the benefits of sector coupling.</w:t>
      </w:r>
    </w:p>
    <w:p>
      <w:pPr/>
      <w:r>
        <w:rPr>
          <w:b/>
        </w:rPr>
        <w:t>POSSIBLE 2021:</w:t>
      </w:r>
      <w:r>
        <w:t xml:space="preserve"> Fine-scale variation in projected climate change presents opportunities for biodiversity conservation in Europe — https://doi.org/10.1038/s41598-021-96717-6</w:t>
      </w:r>
    </w:p>
    <w:p>
      <w:pPr/>
      <w:r>
        <w:rPr>
          <w:b/>
        </w:rPr>
        <w:t>Shared claim-specific concepts:</w:t>
      </w:r>
      <w:r>
        <w:t xml:space="preserve"> factors, presents, land; EU scope visible. This is a provisional connection, not an outcome finding.</w:t>
      </w:r>
    </w:p>
    <w:p>
      <w:pPr>
        <w:pStyle w:val="SourceNote"/>
      </w:pPr>
      <w:r>
        <w:rPr>
          <w:b/>
        </w:rPr>
        <w:t>Available abstract (not full text):</w:t>
      </w:r>
      <w:r>
        <w:t xml:space="preserve"> Climate change is a major threat to global biodiversity, although projected changes show remarkable geographical and temporal variability. Understanding this variability allows for the identification of regions where the present-day conservation objectives may be at risk or where opportunities for biodiversity conservation emerge. We use a multi-model ensemble of regional climate models to identify areas with significantly high and low climate stability persistent throughout the twenty-first century in Europe. We then confront our predictions with the land coverage of three prominent biodiversity conservation initiatives at two scales. The continental-scale assessment shows that areas with the least stable future climate in Europe are likely to occur at low and high latitudes, with the Iberian Peninsula and the Boreal zones identified as prominent areas of low climatic stability. A follow-up regional scale investigation shows that robust climatic refugia exist even within the highly exposed southern and northern macro-regions. About 23-31% of assessed biodiversity conservation sites in Europe coincide with areas of high future climate stability, we contend that these sites should be prioritised in the formulation of future conservation priorities as the stability of future climate is one of the key factors determining their conservation prospects. Although such focus on climate</w:t>
      </w:r>
    </w:p>
    <w:p>
      <w:pPr/>
      <w:r>
        <w:rPr>
          <w:b/>
        </w:rPr>
        <w:t>POSSIBLE 2020:</w:t>
      </w:r>
      <w:r>
        <w:t xml:space="preserve"> Factors Influencing Adoption of Sustainable Farming Practices in Europe: A Systemic Review of Empirical Literature — https://doi.org/10.3390/su12229719</w:t>
      </w:r>
    </w:p>
    <w:p>
      <w:pPr/>
      <w:r>
        <w:rPr>
          <w:b/>
        </w:rPr>
        <w:t>Shared claim-specific concepts:</w:t>
      </w:r>
      <w:r>
        <w:t xml:space="preserve"> factors, influence, land, between; EU scope visible. This is a provisional connection, not an outcome finding.</w:t>
      </w:r>
    </w:p>
    <w:p>
      <w:pPr>
        <w:pStyle w:val="SourceNote"/>
      </w:pPr>
      <w:r>
        <w:rPr>
          <w:b/>
        </w:rPr>
        <w:t>Available abstract (not full text):</w:t>
      </w:r>
      <w:r>
        <w:t xml:space="preserve"> Modern practices of industrial farming, such as mineral fertilization, caused a widespread degradation of agricultural land and water bodies in Europe. Different farm management strategies exist to reduce the impact of mineral fertilization while preserving soil productivity. The aim of this paper is to provide a thorough systemic review of contemporary literature exploring factors and conditions affecting EU farmers’ adoption of sustainable farming practices. The specific focus is on widely adopted and empirically explored measures, such as organic farming, manure treatment technologies and manure fertilization, as well as soil and water conservation methods. In total, 23 peer-reviewed studies were extracted by means of Google Scholar covering the time period between 2003 and 2019. The main findings show that farmers’ environmental and economic attitudes in addition to their sources of information have a strong effect on the adoption of organic farming, although there is a lack of evidence of their impact on adopting manure treatment and conservation measures. Similarly, farmers’ age and education are found to systemically influence organic farming adoption, but not adoption of other reviewed technologies. While other factors, such as farm physical characteristics or technological attributes, may be important determinants of adoption, it is hard to recognize definite patterns </w:t>
      </w:r>
    </w:p>
    <w:p>
      <w:pPr/>
      <w:r>
        <w:rPr>
          <w:b/>
        </w:rPr>
        <w:t>POSSIBLE 2020:</w:t>
      </w:r>
      <w:r>
        <w:t xml:space="preserve"> European Regional Airport: Factors Influencing Efficency — https://doi.org/10.2478/ttj-2020-0017</w:t>
      </w:r>
    </w:p>
    <w:p>
      <w:pPr/>
      <w:r>
        <w:rPr>
          <w:b/>
        </w:rPr>
        <w:t>Shared claim-specific concepts:</w:t>
      </w:r>
      <w:r>
        <w:t xml:space="preserve"> factors, number, traffic, trend, due; EU scope visible. This is a provisional connection, not an outcome finding.</w:t>
      </w:r>
    </w:p>
    <w:p>
      <w:pPr>
        <w:pStyle w:val="SourceNote"/>
      </w:pPr>
      <w:r>
        <w:rPr>
          <w:b/>
        </w:rPr>
        <w:t>Available abstract (not full text):</w:t>
      </w:r>
      <w:r>
        <w:t xml:space="preserve"> Abstract During the recent decade a lot of research has been focused on identification of the importance of regional airport for the local economy and the measuring and predicting of the airport’s efficiency. With regard to individual airport planning it turns out that airports are not free in the optimization of infrastructure due the need to comply international aviation standards and recommended practices, one the one hand, and the tendency of air transportation system development including aircraft design and airlines’ fleet development, on the other. Furthermore, it is also important to take into account the specificity of each particular airport, including the traffic variability resulting from seasonality, with the airport’s mission geared to it. We found, tha t one of the reasons for the relatively low efficiency of regional airports, given the general trend in the growth in the number of seats for narrow-body aircraft. Likewise, it has been found, that the seasonality of air traffic at regional airports is comparatively high. In addition, this paper spotlights the ways the theoretical model of returns to scale affects the efficiency of the apron of the regional airport and briefly discusses the different interpretations of the definition of regional airport.</w:t>
      </w:r>
    </w:p>
    <w:p>
      <w:pPr>
        <w:pStyle w:val="Heading2"/>
      </w:pPr>
      <w:r>
        <w:t>821.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r>
        <w:rPr>
          <w:b/>
        </w:rPr>
        <w:t>POSSIBLE 2023:</w:t>
      </w:r>
      <w:r>
        <w:t xml:space="preserve"> Empirical Assessment of Carbon Reduction and Energy Transition Targets of European Companies — https://doi.org/10.2478/picbe-2023-0067</w:t>
      </w:r>
    </w:p>
    <w:p>
      <w:pPr/>
      <w:r>
        <w:rPr>
          <w:b/>
        </w:rPr>
        <w:t>Shared claim-specific concepts:</w:t>
      </w:r>
      <w:r>
        <w:t xml:space="preserve"> show, reduction, energy; EU scope visible. This is a provisional connection, not an outcome finding.</w:t>
      </w:r>
    </w:p>
    <w:p>
      <w:pPr>
        <w:pStyle w:val="SourceNote"/>
      </w:pPr>
      <w:r>
        <w:rPr>
          <w:b/>
        </w:rPr>
        <w:t>Available abstract (not full text):</w:t>
      </w:r>
      <w:r>
        <w:t xml:space="preserve"> Abstract The paper presents an analysis of the carbon reduction and energy transition targets set by all companies included in the STOXX All Europe 100 index. This is an emerging topic, and the scientific literature is scarce. We employ a quantitative research method, as we extract by hand the targets from various sources: corporate annual reports, Refinitiv Database, Science Based Targets etc. The research question is: Which are the directions of corporate European strategies regarding carbon emissions and reduction targets? The total number of emissions reduction targets in the sample is 427, while renewable energy targets are 89, efficiency targets are 33, and electric vehicle adoption targets are 29. The analysis reveals that most of the targets are set for a short or medium time frame. Also, most of them are expressed in absolute terms and some of them have already been achieved. The research has implications for policy setting, as we show that the regulations should be an incentive for companies to strive to achieve meaningful targets. Thus, the results show that longer term targets are more difficult to track, and progress is less disclosed in the annual reports. The countries in which the sample companies are headquartered are not yet on track to achieve the goals of the Paris Agreement, which means that environmental and disclosure policies need to be improved.</w:t>
      </w:r>
    </w:p>
    <w:p>
      <w:pPr/>
      <w:r>
        <w:rPr>
          <w:b/>
        </w:rPr>
        <w:t>POSSIBLE 2023:</w:t>
      </w:r>
      <w:r>
        <w:t xml:space="preserve"> Assessing WHO2021 air quality guideline levels in Europe: Population exposure and PM2.5 reduction potential — https://doi.org/10.5194/egusphere-egu23-15917</w:t>
      </w:r>
    </w:p>
    <w:p>
      <w:pPr/>
      <w:r>
        <w:rPr>
          <w:b/>
        </w:rPr>
        <w:t>Shared claim-specific concepts:</w:t>
      </w:r>
      <w:r>
        <w:t xml:space="preserve"> implementing, emission, reduction, however; EU scope visible. This is a provisional connection, not an outcome finding.</w:t>
      </w:r>
    </w:p>
    <w:p>
      <w:pPr>
        <w:pStyle w:val="SourceNote"/>
      </w:pPr>
      <w:r>
        <w:rPr>
          <w:b/>
        </w:rPr>
        <w:t>Available abstract (not full text):</w:t>
      </w:r>
      <w:r>
        <w:t xml:space="preserve"> Although anthropogenic emissions have decreased during the last two decades, air pollution is still problematic in many regions in Europe. In 2021, the World Health Organisation has released updated air quality guideline levels that base on newest medical research and have drastically decreased in comparison to the previous levels, except for SO2. These levels reflect the minimum concentration for which evidence of adverse health effects have been found. This study analyses the air quality in Europe using simulations by EURAD-IM for the year 2016 with optimized emissions to evaluate guideline exceedances for PM2.5, NO2, and O3. All air pollutant concentrations in Europe exceed the WHO2021 annual guideline levels by a large amount. High PM2.5 and O3 concentrations are homogeneously distributed across Europe with 99 % and 100 % of the EU38 population (European Union and eleven other European states) exposed to concentrations above the guideline levels. High NO2 concentrations are linked to densely populated areas. However, 61% of the EU38 population is exposed to concentrations above the guideline level. For PM2.5, the effect of different aerosol classes on the bulk mass and different PM reduction scenarios are analysed. NO3- shows the largest contribution to total PM2.5 while primary anthropogenic aerosols are mainly responsible for extremely high PM2.5 concentrations of up to 3</w:t>
      </w:r>
    </w:p>
    <w:p>
      <w:pPr/>
      <w:r>
        <w:rPr>
          <w:b/>
        </w:rPr>
        <w:t>POSSIBLE 2022:</w:t>
      </w:r>
      <w:r>
        <w:t xml:space="preserve"> How COVID-19 Affected GHG Emissions of Ferries in Europe — https://doi.org/10.3390/su14095287</w:t>
      </w:r>
    </w:p>
    <w:p>
      <w:pPr/>
      <w:r>
        <w:rPr>
          <w:b/>
        </w:rPr>
        <w:t>Shared claim-specific concepts:</w:t>
      </w:r>
      <w:r>
        <w:t xml:space="preserve"> ghg, reduction, additional;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 reduction,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show, ghg, target, energy, however;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2022:</w:t>
      </w:r>
      <w:r>
        <w:t xml:space="preserve"> Targeted, Implementable, and Practical Energy Relief Measures for Households in Europe — https://doi.org/10.5089/9798400227400.001</w:t>
      </w:r>
    </w:p>
    <w:p>
      <w:pPr/>
      <w:r>
        <w:rPr>
          <w:b/>
        </w:rPr>
        <w:t>Shared claim-specific concepts:</w:t>
      </w:r>
      <w:r>
        <w:t xml:space="preserve"> energy, however; EU scope visible. This is a provisional connection, not an outcome finding.</w:t>
      </w:r>
    </w:p>
    <w:p>
      <w:pPr>
        <w:pStyle w:val="SourceNote"/>
      </w:pPr>
      <w:r>
        <w:rPr>
          <w:b/>
        </w:rPr>
        <w:t>Available abstract (not full text):</w:t>
      </w:r>
      <w:r>
        <w:t xml:space="preserve"> The recommended way of helping households during the ongoing European energy crisis is to allow price signals to operate freely while providing targeted compensation to the vulnerable. In practice, however, institutional, political, and technical constraints have led many European governments to adopt broad, price-suppressing measures, which impede the adjustment in demand, have high fiscal costs, and widen cross-country gaps in prices. This paper focuses on easy-to-implement, second-best policies. Bonuses or rebates on energy bills (that are not linked to the current volume of consumption) or block tariffs are simple options which would improve on the current policy design in many countries. To avoid stoking inflation, fiscal policy should not add to aggregate demand, so relief for energy bills should be targeted and coupled with offsetting fiscal measures. One option is to reclaim the relief from the better-off through income taxation, which would also make support more progressive.</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emission, reduction, target, mostly, however;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r>
        <w:rPr>
          <w:b/>
        </w:rPr>
        <w:t>POSSIBLE 2022:</w:t>
      </w:r>
      <w:r>
        <w:t xml:space="preserve"> Greenhouse Gas Emission Reduction Potentials in Europe by Sector: A Bootstrap-Based Nonparametric Efficiency Analysis — https://doi.org/10.1007/s10640-022-00660-7</w:t>
      </w:r>
    </w:p>
    <w:p>
      <w:pPr/>
      <w:r>
        <w:rPr>
          <w:b/>
        </w:rPr>
        <w:t>Shared claim-specific concepts:</w:t>
      </w:r>
      <w:r>
        <w:t xml:space="preserve"> show, emission, reduction; EU scope visible. This is a provisional connection, not an outcome finding.</w:t>
      </w:r>
    </w:p>
    <w:p>
      <w:pPr>
        <w:pStyle w:val="SourceNote"/>
      </w:pPr>
      <w:r>
        <w:rPr>
          <w:b/>
        </w:rPr>
        <w:t>Available abstract (not full text):</w:t>
      </w:r>
      <w:r>
        <w:t xml:space="preserve"> Abstract The reduction of greenhouse gas emissions is the key action to limit global warming. An important source of greenhouse gas emissions and pollution is the inefficiency of production processes. We report results from a stochastic nonparametric efficiency analysis using directional distance functions to take account of undesirable outputs like greenhouse gases. With this approach, we are able to provide estimates of the potential emission reductions for 7 main sectors in 16 European countries. A specially adapted bootstrapping approach allows to implement a bias correction of the estimates and to compute confidence intervals. The results show that static efficiency improvements are a quantitatively important element of the emission reductions which are required to achieve the reduction targets of the European Union.</w:t>
      </w:r>
    </w:p>
    <w:p>
      <w:pPr>
        <w:pStyle w:val="Heading2"/>
      </w:pPr>
      <w:r>
        <w:t>822.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also, different, technologies;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2021:</w:t>
      </w:r>
      <w:r>
        <w:t xml:space="preserve"> Wind resource evolution in Europe under different scenarios of climate change characterised by the novel Shared Socioeconomic Pathways — https://doi.org/10.1016/j.enconman.2021.113961</w:t>
      </w:r>
    </w:p>
    <w:p>
      <w:pPr/>
      <w:r>
        <w:rPr>
          <w:b/>
        </w:rPr>
        <w:t>Shared claim-specific concepts:</w:t>
      </w:r>
      <w:r>
        <w:t xml:space="preserve"> also, different, regions, political; EU scope visible. This is a provisional connection, not an outcome finding.</w:t>
      </w:r>
    </w:p>
    <w:p>
      <w:pPr>
        <w:pStyle w:val="SourceNote"/>
      </w:pPr>
      <w:r>
        <w:rPr>
          <w:b/>
        </w:rPr>
        <w:t>Available abstract (not full text):</w:t>
      </w:r>
      <w:r>
        <w:t xml:space="preserve"> Wind energy is a fundamental pillar of the energy mix in Europe – hence the need for understanding the evolution of the wind energy resource under climate change. For this purpose, near-, mid- and long-term wind speed projections from 18 global climate models are considered and a multi-model ensemble is constructed with the ones found to best reproduce past-present conditions. The evolution and temporal variability of wind power is investigated considering different climate change scenarios through the novel Shared Socioeconomic Pathways (SSPs). More specifically, two SSPs are considered, each corresponding to its own socio-economic and political environment and, therefore, its own level of greenhouse emissions: SSP5-8.5 (highest emissions scenario) and SSP2-4.5 (intermediate emissions scenario). Both scenarios lead to a significant reduction (up to 35%) in wind power density in northern Continental Europe and the Central Mediterranean, and an increase of similar magnitude in West Finland. Over the Atlantic Ocean, Ireland and Britain the resource is also projected to decrease significantly. In other regions, however, the general trend (positive or negative) depends on the SSP scenario. This is the case, notably, of Central Europe, with considerable growth in SSP2-4.5 but some reduction in SSP5-8.5. Thus, in the intermediate emissions scenario (SSP2-4.5) both growth and decline </w:t>
      </w:r>
    </w:p>
    <w:p>
      <w:pPr/>
      <w:r>
        <w:rPr>
          <w:b/>
        </w:rPr>
        <w:t>POSSIBLE 2021:</w:t>
      </w:r>
      <w:r>
        <w:t xml:space="preserve"> Assessing the Distribution of Exotic Egg Parasitoids of Halyomorpha halys in Europe with a Large-Scale Monitoring Program — https://doi.org/10.3390/insects12040316</w:t>
      </w:r>
    </w:p>
    <w:p>
      <w:pPr/>
      <w:r>
        <w:rPr>
          <w:b/>
        </w:rPr>
        <w:t>Shared claim-specific concepts:</w:t>
      </w:r>
      <w:r>
        <w:t xml:space="preserve"> also, present, assess; EU scope visible. This is a provisional connection, not an outcome finding.</w:t>
      </w:r>
    </w:p>
    <w:p>
      <w:pPr>
        <w:pStyle w:val="SourceNote"/>
      </w:pPr>
      <w:r>
        <w:rPr>
          <w:b/>
        </w:rPr>
        <w:t>Available abstract (not full text):</w:t>
      </w:r>
      <w:r>
        <w:t xml:space="preserve"> The brown marmorated stink bug Halyomorpha halys is an invasive agricultural pest with a worldwide distribution. Classical biological control has been identified as the most promising method to reduce the populations of H. halys. Adventive populations of two candidates for releases, Trissolcus japonicus and Trissolcus mitsukurii, have recently been detected in Europe. To assess their distribution and abundance, a large-scale survey was performed. From May to September 2019, a wide area covering northern Italy and parts of Switzerland was surveyed, highlighting the expanding distribution of both Tr. japonicus and Tr. mitsukurii. Within four years after their first detection in Europe, both species have rapidly spread into all types of habitats where H. halys is present, showing a wide distribution and continuous expansion. Both exotic Trissolcus showed high levels of parasitism rate towards H. halys, while parasitization of non-target species was a rare event. The generalist Anastatus bifasciatus was the predominant native parasitoid of H. halys, while the emergence of native scelionids from H. halys eggs was rarely observed. The presence of the hyperparasitoid Acroclisoides sinicus was also recorded. This study provided fundamental data that supported the development of the first inoculative release program of Tr. japonicus in Europe.</w:t>
      </w:r>
    </w:p>
    <w:p>
      <w:pPr/>
      <w:r>
        <w:rPr>
          <w:b/>
        </w:rPr>
        <w:t>POSSIBLE 2021:</w:t>
      </w:r>
      <w:r>
        <w:t xml:space="preserve"> European Stroke Organisation and European Society for Swallowing Disorders guideline for the diagnosis and treatment of post-stroke dysphagia — https://doi.org/10.1177/23969873211039721</w:t>
      </w:r>
    </w:p>
    <w:p>
      <w:pPr/>
      <w:r>
        <w:rPr>
          <w:b/>
        </w:rPr>
        <w:t>Shared claim-specific concepts:</w:t>
      </w:r>
      <w:r>
        <w:t xml:space="preserve"> also, present, different, interventions; EU scope visible. This is a provisional connection, not an outcome finding.</w:t>
      </w:r>
    </w:p>
    <w:p>
      <w:pPr>
        <w:pStyle w:val="SourceNote"/>
      </w:pPr>
      <w:r>
        <w:rPr>
          <w:b/>
        </w:rPr>
        <w:t>Available abstract (not full text):</w:t>
      </w:r>
      <w:r>
        <w:t xml:space="preserve"> Post-stroke dysphagia (PSD) is present in more than 50% of acute stroke patients, increases the risk of complications, in particular aspiration pneumonia, malnutrition and dehydration, and is linked to poor outcome and mortality. The aim of this guideline is to assist all members of the multidisciplinary team in their management of patients with PSD. These guidelines were developed based on the European Stroke Organisation (ESO) standard operating procedure and followed the Grading of Recommendations, Assessment, Development and Evaluation (GRADE) approach. An interdisciplinary working group identified 20 relevant questions, performed systematic reviews and meta-analyses of the literature, assessed the quality of the available evidence and wrote evidence-based recommendations. Expert opinion was provided if not enough evidence was available to provide recommendations based on the GRADE approach. We found moderate quality of evidence to recommend dysphagia screening in all stroke patients to prevent post-stroke pneumonia and to early mortality and low quality of evidence to suggest dysphagia assessment in stroke patients having been identified at being at risk of PSD. We found low to moderate quality of evidence for a variety of treatment options to improve swallowing physiology and swallowing safety. These options include dietary interventions, behavioural swallowing treatment </w:t>
      </w:r>
    </w:p>
    <w:p>
      <w:pPr/>
      <w:r>
        <w:rPr>
          <w:b/>
        </w:rPr>
        <w:t>POSSIBLE 2021:</w:t>
      </w:r>
      <w:r>
        <w:t xml:space="preserve"> Assessing Nearly Zero Energy Buildings (NZEBs) development in Europe — https://doi.org/10.1016/j.esr.2021.100680</w:t>
      </w:r>
    </w:p>
    <w:p>
      <w:pPr/>
      <w:r>
        <w:rPr>
          <w:b/>
        </w:rPr>
        <w:t>Shared claim-specific concepts:</w:t>
      </w:r>
      <w:r>
        <w:t xml:space="preserve"> also, different, diffusion, technologies; EU scope visible. This is a provisional connection, not an outcome finding.</w:t>
      </w:r>
    </w:p>
    <w:p>
      <w:pPr>
        <w:pStyle w:val="SourceNote"/>
      </w:pPr>
      <w:r>
        <w:rPr>
          <w:b/>
        </w:rPr>
        <w:t>Available abstract (not full text):</w:t>
      </w:r>
      <w:r>
        <w:t xml:space="preserve"> Decarbonising the energy sector is crucial to reach future climate and energy goals. As established by the Energy Performance of Building Directive recast, Nearly Zero Energy Buildings (NZEBs) are the mandatory building target in Europe for all new buildings from 2021 onwards. In the light of the approaching deadline, this paper assesses the development of NZEBs in Europe based on the most recent collected data and information. This paper provides an overview of the implementation of national definitions and energy performance values for new, existing, residential, and non-residential buildings in Member States. It evaluates the differences with the established European benchmark and cost-optimal levels. An overview of the most commonly implemented technologies in NZEBs is given together with costs and the relative projections over next decades. Finally, quantitative data on the NZEBs diffusion in Member States are given as recently assessed. The evolution of the NZEB concept and the future NZEBs role is also forecasted. The results assume a strategic value in the light of future targets for the building sector, showing the progress made by Member States in relation to different NZEBs aspects. They provide a comprehensive analysis of the European NZEBs implementation depicting a positive overall progress improvement for NZEBs definitions, uptake, technology development, and ene</w:t>
      </w:r>
    </w:p>
    <w:p>
      <w:pPr/>
      <w:r>
        <w:rPr>
          <w:b/>
        </w:rPr>
        <w:t>POSSIBLE 2020:</w:t>
      </w:r>
      <w:r>
        <w:t xml:space="preserve"> Economic analysis of BIPV systems as a building envelope material for building skins in Europe — https://doi.org/10.1016/j.energy.2020.117931</w:t>
      </w:r>
    </w:p>
    <w:p>
      <w:pPr/>
      <w:r>
        <w:rPr>
          <w:b/>
        </w:rPr>
        <w:t>Shared claim-specific concepts:</w:t>
      </w:r>
      <w:r>
        <w:t xml:space="preserve"> also, present, alternative; EU scope visible. This is a provisional connection, not an outcome finding.</w:t>
      </w:r>
    </w:p>
    <w:p>
      <w:pPr>
        <w:pStyle w:val="SourceNote"/>
      </w:pPr>
      <w:r>
        <w:rPr>
          <w:b/>
        </w:rPr>
        <w:t>Available abstract (not full text):</w:t>
      </w:r>
      <w:r>
        <w:t xml:space="preserve"> The main purpose of this study is to evaluate the economic feasibility of the BIPV system as a building envelope material for the whole building skins. The paper is dealing with the lifecycle cost analysis (LCCA) of BIPV system in the capitals of all the European Union member states (EU) as well as the capitals of Norway and Switzerland. The results revealed that by a discount rate of zero, BIPV system could refund all the investment even on the north facades while in terms of traditional building envelope materials as an alternative option for building skins, there would be rarely added benefits after investment. Furthermore, the societal and environmental benefits of a BIPV system in Europe have its greatest impact on the south façade. Moreover, for all the studied directions of building skins with a discount rate of five present in Europe except the north facade, just the quantified amount of societal and environmental advantages of BIPV systems could almost reimburse all the invested money. The results illustrated that the BIPV system as a building envelope material for the whole building skins could reimburse not only all the investment costs but also become a source of income for the building.</w:t>
      </w:r>
    </w:p>
    <w:p>
      <w:pPr/>
      <w:r>
        <w:rPr>
          <w:b/>
        </w:rPr>
        <w:t>POSSIBLE 2020:</w:t>
      </w:r>
      <w:r>
        <w:t xml:space="preserve"> Flood trends in Europe: are changes in small and big floods different? — https://doi.org/10.5194/hess-24-1805-2020</w:t>
      </w:r>
    </w:p>
    <w:p>
      <w:pPr/>
      <w:r>
        <w:rPr>
          <w:b/>
        </w:rPr>
        <w:t>Shared claim-specific concepts:</w:t>
      </w:r>
      <w:r>
        <w:t xml:space="preserve"> also, assess, different, show, regions;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pStyle w:val="Heading2"/>
      </w:pPr>
      <w:r>
        <w:t>823.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r>
        <w:rPr>
          <w:b/>
        </w:rPr>
        <w:t>POSSIBLE 2021:</w:t>
      </w:r>
      <w:r>
        <w:t xml:space="preserve"> Double materiality and the shift from non-financial to European sustainability reporting: review, outlook and implications — https://doi.org/10.1108/jaar-04-2021-0114</w:t>
      </w:r>
    </w:p>
    <w:p>
      <w:pPr/>
      <w:r>
        <w:rPr>
          <w:b/>
        </w:rPr>
        <w:t>Shared claim-specific concepts:</w:t>
      </w:r>
      <w:r>
        <w:t xml:space="preserve"> implications, number, fully; EU scope visible. This is a provisional connection, not an outcome finding.</w:t>
      </w:r>
    </w:p>
    <w:p>
      <w:pPr>
        <w:pStyle w:val="SourceNote"/>
      </w:pPr>
      <w:r>
        <w:rPr>
          <w:b/>
        </w:rPr>
        <w:t>Available abstract (not full text):</w:t>
      </w:r>
      <w:r>
        <w:t xml:space="preserve"> Purpose This paper outlines the development of the principle of materiality in the European accounting framework, from the Modernization Directive (2003/51/EC) to the NFI Directive (2014/95/EU) and on to the proposals for a Corporate Sustainability Reporting (CSR) Directive (2021/0104 (COD)). The authors highlight how the requirements for corporate reporting in terms of sustainability matters have changed, underlining the main issues that require further attention by practitioners, researchers and legislators. Design/methodology/approach This paper is based upon a historic analysis of European Union (EU) regulations in the field of non-financial and sustainability reporting and how these have changed over time. A conceptual comparison of different reporting concepts is presented, and changes in their relevance to the EU accounting framework are discussed as part of the historic analysis. Implications from corporate practice are derived from previous empirical findings from the EU Commission's consultations. Findings The proposed change from non-financial to sustainability reporting within the EU affects more than simply the terminology used. It implies that a different understanding is needed of both the purposes of company reporting on sustainability matters and the aims of carrying out such reporting. This change was driven by the need and desire to appropriately interpret th</w:t>
      </w:r>
    </w:p>
    <w:p>
      <w:pPr/>
      <w:r>
        <w:rPr>
          <w:b/>
        </w:rPr>
        <w:t>POSSIBLE 2020:</w:t>
      </w:r>
      <w:r>
        <w:t xml:space="preserve"> European environment policy for the circular economy: Implications for business and industry stakeholders — https://doi.org/10.1002/sd.2113</w:t>
      </w:r>
    </w:p>
    <w:p>
      <w:pPr/>
      <w:r>
        <w:rPr>
          <w:b/>
        </w:rPr>
        <w:t>Shared claim-specific concepts:</w:t>
      </w:r>
      <w:r>
        <w:t xml:space="preserve"> implications, number; EU scope visible. This is a provisional connection, not an outcome finding.</w:t>
      </w:r>
    </w:p>
    <w:p>
      <w:pPr>
        <w:pStyle w:val="SourceNote"/>
      </w:pPr>
      <w:r>
        <w:rPr>
          <w:b/>
        </w:rPr>
        <w:t>Available abstract (not full text):</w:t>
      </w:r>
      <w:r>
        <w:t xml:space="preserve"> Abstract European Union (EU) institutions and agencies are increasingly raising awareness on the circular economy agenda. They are encouraging marketplace stakeholders to engage in sustainable production and consumption behaviors by reducing, reusing, restoring, refurbishing, and recycling resources in all stages of their value chain. Therefore, this research evaluates the latest European environmental policies including its “new circular economy plans for a cleaner and more competitive Europe.” Afterwards, it presents a systematic literature review that is focused on the circular economy in the EU context. The findings suggest that there are a number of opportunities as well as challenges for the successful planning, organization, implementation, and measurement of circular economy practices for sustainable supply chains in Europe. This contribution identifies key implications and provides reasonable recommendations to policy makers and industry practitioners.</w:t>
      </w:r>
    </w:p>
    <w:p>
      <w:pPr/>
      <w:r>
        <w:rPr>
          <w:b/>
        </w:rPr>
        <w:t>POSSIBLE 2020:</w:t>
      </w:r>
      <w:r>
        <w:t xml:space="preserve"> Mapping the evidence of climate change adaptation policy instruments in Europe — https://doi.org/10.1088/1748-9326/ab8fd1</w:t>
      </w:r>
    </w:p>
    <w:p>
      <w:pPr/>
      <w:r>
        <w:rPr>
          <w:b/>
        </w:rPr>
        <w:t>Shared claim-specific concepts:</w:t>
      </w:r>
      <w:r>
        <w:t xml:space="preserve"> number, instruments; EU scope visible. This is a provisional connection, not an outcome finding.</w:t>
      </w:r>
    </w:p>
    <w:p>
      <w:pPr>
        <w:pStyle w:val="SourceNote"/>
      </w:pPr>
      <w:r>
        <w:rPr>
          <w:b/>
        </w:rPr>
        <w:t>Available abstract (not full text):</w:t>
      </w:r>
      <w:r>
        <w:t xml:space="preserve"> Abstract With climate change impacts being felt across Europe, governments have started to invest in designing and implementing adaptation actions. The means through which governments adapt is generally referred to as policy instruments. Although there is a large body of adaptation policy literature emerging, our comprehensive understanding of policy instruments is limited nor do we know much about how scholarship on adaptation is addressing critical questions about policy instrument choice and effectiveness to support policy practice. In this article we map academic scholarship on climate change adaptation policy instruments in Europe. Using systematic approaches, we identify 184 relevant articles published 2014–2019. Our findings show that research is heavily concentrated on a limited number of western-European countries, with hardly any insights from eastern Europe and smaller countries. Most studies do not connect climate change impacts and risks with policy instruments, making assessment of policy effectiveness difficult, if not impossible. We argue that expanding the geographical scope of future research and enhancing the diversity of study types across Europe is critical for advancing theories on climate change adaptation policy, as well as providing useful recommendations for policy makers to strengthen the solution space and accelerate climate change adaptation.</w:t>
      </w:r>
    </w:p>
    <w:p>
      <w:pPr/>
      <w:r>
        <w:rPr>
          <w:b/>
        </w:rPr>
        <w:t>POSSIBLE 2018:</w:t>
      </w:r>
      <w:r>
        <w:t xml:space="preserve"> Regional inequality in Europe: evidence, theory and policy implications — https://doi.org/10.1093/jeg/lby021</w:t>
      </w:r>
    </w:p>
    <w:p>
      <w:pPr/>
      <w:r>
        <w:rPr>
          <w:b/>
        </w:rPr>
        <w:t>Shared claim-specific concepts:</w:t>
      </w:r>
      <w:r>
        <w:t xml:space="preserve"> implications, effective;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pStyle w:val="Heading2"/>
      </w:pPr>
      <w:r>
        <w:t>824.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2024:</w:t>
      </w:r>
      <w:r>
        <w:t xml:space="preserve"> The water footprint of hydrogen production — https://doi.org/10.1016/j.scitotenv.2024.172384</w:t>
      </w:r>
    </w:p>
    <w:p>
      <w:pPr/>
      <w:r>
        <w:rPr>
          <w:b/>
        </w:rPr>
        <w:t>Shared claim-specific concepts:</w:t>
      </w:r>
      <w:r>
        <w:t xml:space="preserve"> water, footprint, production;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Advancing water footprint assessments: Combining the impacts of water pollution and scarcity — https://doi.org/10.1016/j.scitotenv.2023.161910</w:t>
      </w:r>
    </w:p>
    <w:p>
      <w:pPr/>
      <w:r>
        <w:rPr>
          <w:b/>
        </w:rPr>
        <w:t>Shared claim-specific concepts:</w:t>
      </w:r>
      <w:r>
        <w:t xml:space="preserve"> water, footprint, level, consumption, use; EU scope visible. This is a provisional connection, not an outcome finding.</w:t>
      </w:r>
    </w:p>
    <w:p>
      <w:pPr>
        <w:pStyle w:val="SourceNote"/>
      </w:pPr>
      <w:r>
        <w:rPr>
          <w:b/>
        </w:rPr>
        <w:t>Available abstract (not full text):</w:t>
      </w:r>
      <w:r>
        <w:t xml:space="preserve"> Several water footprint indicators have been developed to curb freshwater stress. Volumetric footprints support water allocation decisions and strive to increase water productivity in all sectors. In contrast, impact-oriented footprints are used to minimize the impacts of water use on human health, ecosystems, and freshwater resources. Efforts to combine both perspectives in a harmonized framework have been undertaken, but common challenges remain, such as pollution and ecosystems impacts modelling. To address these knowledge gaps, we build upon a water footprint assessment framework proposed at conceptual level to expand and operationalize relevant features. We propose two regionalized indicators, namely the water biodiversity footprint and the water resource footprint, that aggregate all impacts from toxic chemicals, nutrients, and water scarcity. The first impact indicator represents the impacts on freshwater ecosystems. The second one models the competition for freshwater resources and its consequences on freshwater availability. As part of the framework, we complement the two indicators with a sustainability assessment representing the levels above which ecological and human freshwater needs are no longer sustained. We test our approach assessing the sustainability of water use in the European Union in 2010. Water stress hampers 15 % of domestic, agricultural and industria</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footprint, population, consumption, technological;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European Union Regulation of Water Stress Risks — https://doi.org/10.1017/err.2023.76</w:t>
      </w:r>
    </w:p>
    <w:p>
      <w:pPr/>
      <w:r>
        <w:rPr>
          <w:b/>
        </w:rPr>
        <w:t>Shared claim-specific concepts:</w:t>
      </w:r>
      <w:r>
        <w:t xml:space="preserve"> water, level, based; EU scope visible. This is a provisional connection, not an outcome finding.</w:t>
      </w:r>
    </w:p>
    <w:p>
      <w:pPr>
        <w:pStyle w:val="SourceNote"/>
      </w:pPr>
      <w:r>
        <w:rPr>
          <w:b/>
        </w:rPr>
        <w:t>Available abstract (not full text):</w:t>
      </w:r>
      <w:r>
        <w:t xml:space="preserve"> Abstract Water stress is a growing concern in Europe, partly due to the changing climate context. Despite the cross-cutting impacts that water availability has on different areas under the competence of the European Union (EU), there is not currently a comprehensive and systematic legal framework addressing this issue. The purpose of this article is therefore to examine the EU legislation that concerns the measures aimed at mitigating these risks. To this purpose, it is first examined how droughts and water scarcity are framed within EU legal acts. Based on such an overview, the analysis is directed to the mechanisms developed at the EU level for monitoring, identifying and forecasting water stress risks, as well as the legal provisions relating to the planning tools. The remainder of the article is devoted to the regulation of preventative measures for water scarcity and drought risk reduction, following the water hierarchy resulting from COM(2007) 414.</w:t>
      </w:r>
    </w:p>
    <w:p>
      <w:pPr/>
      <w:r>
        <w:rPr>
          <w:b/>
        </w:rPr>
        <w:t>POSSIBLE 2022:</w:t>
      </w:r>
      <w:r>
        <w:t xml:space="preserve"> Analysis of the Water Footprint of Central and Eastern Europe Countries — https://doi.org/10.21697/seb.2022.27</w:t>
      </w:r>
    </w:p>
    <w:p>
      <w:pPr/>
      <w:r>
        <w:rPr>
          <w:b/>
        </w:rPr>
        <w:t>Shared claim-specific concepts:</w:t>
      </w:r>
      <w:r>
        <w:t xml:space="preserve"> water, footprint, production; EU scope visible. This is a provisional connection, not an outcome finding.</w:t>
      </w:r>
    </w:p>
    <w:p>
      <w:pPr>
        <w:pStyle w:val="SourceNote"/>
      </w:pPr>
      <w:r>
        <w:rPr>
          <w:b/>
        </w:rPr>
        <w:t>Available abstract (not full text):</w:t>
      </w:r>
      <w:r>
        <w:t xml:space="preserve"> The article presents an analysis of the water footprint of five Central and Eastern European countries, i.e. Poland, Slovakia, Lithuania, Ukraine and Belarus. The first three are members of the European Union, the other two are not. These countries also differ in terms of climate. The green, blue and grey water footprints of crop production, grazing, animal water supply, industrial production and domestic water supply are analysed. The per capita water footprint is also calculated. It is the highest for the countries of the former Soviet Union, that is Ukraine, Belarus and Lithuania, and half as low for Poland and Slovakia. In the case of virtual water, Poland dominates in the area of import, and Ukraine in export. The index of the net import of virtual water is unfavourable for Ukraine and Lithuania and is much more positive for Poland and Belarus. When calculated per capita, the net import of green virtual water is the highest for Belarus (340 m3/person/year) and Poland (148 m3/person/year). A positive value of this index was also recorded for Slovakia and negative for Lithuania and Ukraine (-282 m3/person/year). Taking into account the exposure of the southern Ukraine steppe to water stress, this is not a favourable situation for greater export of virtual water than its import.</w:t>
      </w:r>
    </w:p>
    <w:p>
      <w:pPr/>
      <w:r>
        <w:rPr>
          <w:b/>
        </w:rPr>
        <w:t>POSSIBLE 2022:</w:t>
      </w:r>
      <w:r>
        <w:t xml:space="preserve"> IoT-Based Solutions to Monitor Water Level, Leakage, and Motor Control for Smart Water Tanks — https://doi.org/10.3390/w14030309</w:t>
      </w:r>
    </w:p>
    <w:p>
      <w:pPr/>
      <w:r>
        <w:rPr>
          <w:b/>
        </w:rPr>
        <w:t>Shared claim-specific concepts:</w:t>
      </w:r>
      <w:r>
        <w:t xml:space="preserve"> water, level, population; EU scope not established. This is a provisional connection, not an outcome finding.</w:t>
      </w:r>
    </w:p>
    <w:p>
      <w:pPr>
        <w:pStyle w:val="SourceNote"/>
      </w:pPr>
      <w:r>
        <w:rPr>
          <w:b/>
        </w:rPr>
        <w:t>Available abstract (not full text):</w:t>
      </w:r>
      <w:r>
        <w:t xml:space="preserve"> Today, a large portion of the human population around the globe has no access to freshwater for drinking, cooking, and other domestic applications. Water resources in numerous countries are becoming scarce due to over urbanization, rapid industrial growth, and current global warming. Water is often stored in the aboveground or underground tanks. In developing countries, these tanks are maintained manually, and in some cases, water is wasted due to human negligence. In addition, water could also leak out from tanks and supply pipes due to the decayed infrastructure. To address these issues, researchers worldwide turned to the Internet-of-Things (IoT) technology to efficiently monitor water levels, detect leakage, and auto refill tanks whenever needed. Notably, this technology can also supply real-time feedback to end-users and other experts through a webpage or a smartphone. Literature reveals a plethora of review articles on smart water monitoring, including water quality, supply pipes leakage, and water waste recycling. However, none of the reviews focus on the IoT-based solution to monitor water level, detect water leakage, and auto control water pumps, especially at the induvial level that form a vast proportion of water consumers worldwide. To fill this gap in the literature, this study presents a review of IoT-controlled water storage tanks (IoT-WST). Some important contri</w:t>
      </w:r>
    </w:p>
    <w:p>
      <w:pPr/>
      <w:r>
        <w:rPr>
          <w:b/>
        </w:rPr>
        <w:t>POSSIBLE 2022:</w:t>
      </w:r>
      <w:r>
        <w:t xml:space="preserve"> A Water Level Measurement Approach Based on YOLOv5s — https://doi.org/10.3390/s22103714</w:t>
      </w:r>
    </w:p>
    <w:p>
      <w:pPr/>
      <w:r>
        <w:rPr>
          <w:b/>
        </w:rPr>
        <w:t>Shared claim-specific concepts:</w:t>
      </w:r>
      <w:r>
        <w:t xml:space="preserve"> water, level, based; EU scope not established. This is a provisional connection, not an outcome finding.</w:t>
      </w:r>
    </w:p>
    <w:p>
      <w:pPr>
        <w:pStyle w:val="SourceNote"/>
      </w:pPr>
      <w:r>
        <w:rPr>
          <w:b/>
        </w:rPr>
        <w:t>Available abstract (not full text):</w:t>
      </w:r>
      <w:r>
        <w:t xml:space="preserve"> Existing water gauge reading approaches based on image analysis have problems such as poor scene adaptability and weak robustness. Here, we proposed a novel water level measurement method based on deep learning (YOLOv5s, convolutional neural network) to overcome these problems. The proposed method uses the YOLOv5s to extract the water gauge area and all scale character areas in the original video image, uses image processing technology to identify the position of the water surface line, and then calculates the actual water level elevation. The proposed method is validated with a video monitoring station on a river in Beijing, and the results show that the systematic error of the proposed method is only 7.7 mm, the error is within 1 cm/the error is between 1 cm and 3 cm, and the proportion of the number of images is 95%/5% (daylight), 98%/2% (infrared lighting at night), 97%/2% (strong light), 45%/44% (transparent water body), 91%/9% (rainfall), and 90%/10% (water gauge is slightly dirty). The results demonstrate that the proposed method shows good performance in different scenes, and its effectiveness has been confirmed. At the same time, it has a strong robustness and provides a certain reference for the application of deep learning in the field of hydrological monitoring.</w:t>
      </w:r>
    </w:p>
    <w:p>
      <w:pPr/>
      <w:r>
        <w:rPr>
          <w:b/>
        </w:rPr>
        <w:t>POSSIBLE 2021:</w:t>
      </w:r>
      <w:r>
        <w:t xml:space="preserve"> A Review of Water Stress and Water Footprint Accounting — https://doi.org/10.3390/w13020201</w:t>
      </w:r>
    </w:p>
    <w:p>
      <w:pPr/>
      <w:r>
        <w:rPr>
          <w:b/>
        </w:rPr>
        <w:t>Shared claim-specific concepts:</w:t>
      </w:r>
      <w:r>
        <w:t xml:space="preserve"> water, footprint, production, consumption, use; EU scope not established. This is a provisional connection, not an outcome finding.</w:t>
      </w:r>
    </w:p>
    <w:p>
      <w:pPr>
        <w:pStyle w:val="SourceNote"/>
      </w:pPr>
      <w:r>
        <w:rPr>
          <w:b/>
        </w:rPr>
        <w:t>Available abstract (not full text):</w:t>
      </w:r>
      <w:r>
        <w:t xml:space="preserve"> Production and consumption activities deplete freshwater, generate water pollution and may further lead to water stress. The accurate measurement of water stress is a precondition for sustainable water management. This paper reviews the literature on physical water stress induced by blue and green water use and by water pollution. Specifically, we clarify several key concepts (i.e., water stress, scarcity, availability, withdrawal, consumption and the water footprint) for water stress evaluation, and review physical water stress indicators in terms of quantity and quality. Furthermore, we identify research gaps in physical water stress assessment, related to environmental flow requirements, return flows, outsourcing of water pollution and standardization of terminology and approaches. These research gaps can serve as venues for further research dealing with the evaluation and reduction of water stress.</w:t>
      </w:r>
    </w:p>
    <w:p>
      <w:pPr/>
      <w:r>
        <w:rPr>
          <w:b/>
        </w:rPr>
        <w:t>POSSIBLE 2021:</w:t>
      </w:r>
      <w:r>
        <w:t xml:space="preserve"> Possibilities of the Development of Edible Insect-Based Foods in Europe — https://doi.org/10.3390/foods10040766</w:t>
      </w:r>
    </w:p>
    <w:p>
      <w:pPr/>
      <w:r>
        <w:rPr>
          <w:b/>
        </w:rPr>
        <w:t>Shared claim-specific concepts:</w:t>
      </w:r>
      <w:r>
        <w:t xml:space="preserve"> population, production, consumption;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2020:</w:t>
      </w:r>
      <w:r>
        <w:t xml:space="preserve"> The Water Footprint of Global Food Production — https://doi.org/10.3390/w12102696</w:t>
      </w:r>
    </w:p>
    <w:p>
      <w:pPr/>
      <w:r>
        <w:rPr>
          <w:b/>
        </w:rPr>
        <w:t>Shared claim-specific concepts:</w:t>
      </w:r>
      <w:r>
        <w:t xml:space="preserve"> water, footprint, population, production, diets, use; EU scope not established. This is a provisional connection, not an outcome finding.</w:t>
      </w:r>
    </w:p>
    <w:p>
      <w:pPr>
        <w:pStyle w:val="SourceNote"/>
      </w:pPr>
      <w:r>
        <w:rPr>
          <w:b/>
        </w:rPr>
        <w:t>Available abstract (not full text):</w:t>
      </w:r>
      <w:r>
        <w:t xml:space="preserve"> Agricultural production is the main consumer of water. Future population growth, income growth, and dietary shifts are expected to increase demand for water. The paper presents a brief review of the water footprint of crop production and the sustainability of the blue water footprint. The estimated global consumptive (green plus blue) water footprint ranges from 5938 to 8508 km3/year. The water footprint is projected to increase by as much as 22% due to climate change and land use change by 2090. Approximately 57% of the global blue water footprint is shown to violate the environmental flow requirements. This calls for action to improve the sustainability of water and protect ecosystems that depend on it. Some of the measures include increasing water productivity, setting benchmarks, setting caps on the water footprint per river basin, shifting the diets to food items with low water requirements, and reducing food waste.</w:t>
      </w:r>
    </w:p>
    <w:p>
      <w:pPr>
        <w:pStyle w:val="Heading2"/>
      </w:pPr>
      <w:r>
        <w:t>825.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2024:</w:t>
      </w:r>
      <w:r>
        <w:t xml:space="preserve"> Stronger Member States for a Stronger European Union — https://doi.org/10.62733/2024.2.143-161</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Conservation needs and opportunities drive LIFE funding allocation for European birds — https://doi.org/10.1016/j.biocon.2024.110833</w:t>
      </w:r>
    </w:p>
    <w:p>
      <w:pPr/>
      <w:r>
        <w:rPr>
          <w:b/>
        </w:rPr>
        <w:t>Shared claim-specific concepts:</w:t>
      </w:r>
      <w:r>
        <w:t xml:space="preserve"> member, tend, but, funding, expected; EU scope visible. This is a provisional connection, not an outcome finding.</w:t>
      </w:r>
    </w:p>
    <w:p>
      <w:pPr>
        <w:pStyle w:val="SourceNote"/>
      </w:pPr>
      <w:r>
        <w:rPr>
          <w:b/>
        </w:rPr>
        <w:t>Available abstract (not full text):</w:t>
      </w:r>
      <w:r>
        <w:t xml:space="preserve"> Conservation resources are unevenly distributed among species and this can hamper conservation efforts. Previous research indicates that species popularity can be strongly associated with conservation funding allocation, suggesting conservation outcomes can be partly influenced by subjective human perceptions. We assessed the allocation of European Union LIFE projects targeting species conservation among European birds (548 species) and how it associates with species' conservation priorities, scientific knowledge availability, distribution, popularity and visual aesthetic attractiveness. We modelled how these factors relate to the probability that a species has received EU LIFE funding, and how many projects have targeted it. As expected given LIFE funding regulations, species listed in the EU Birds Directive Annex I are more likely to receive funding than non-listed species, and receive more projects. We also found that knowledge availability, presence in more EU member countries with access to LIFE funding, and higher conservation priority in Europe are positively associated with the probability of receiving funding, and the number of projects received. More popular species are less likely to receive conservation funding, but tend to receive more projects when allocated funding. Visual attractiveness was not associated with funding. These results suggest that pragmatic factor</w:t>
      </w:r>
    </w:p>
    <w:p>
      <w:pPr/>
      <w:r>
        <w:rPr>
          <w:b/>
        </w:rPr>
        <w:t>POSSIBLE 2024:</w:t>
      </w:r>
      <w:r>
        <w:t xml:space="preserve"> THE INFLUENCE OF EUROPEAN FISCAL POLICIES ON STRATEGIES FOR ATTRACTING EUROPEAN FUNDS – A COMPARATIVE ANALYSIS — https://doi.org/10.61846/cuji-ssh.2024.4.08</w:t>
      </w:r>
    </w:p>
    <w:p>
      <w:pPr/>
      <w:r>
        <w:rPr>
          <w:b/>
        </w:rPr>
        <w:t>Shared claim-specific concepts:</w:t>
      </w:r>
      <w:r>
        <w:t xml:space="preserve"> member, states, fund, commission, funding, framework; EU scope visible. This is a provisional connection, not an outcome finding.</w:t>
      </w:r>
    </w:p>
    <w:p>
      <w:pPr>
        <w:pStyle w:val="SourceNote"/>
      </w:pPr>
      <w:r>
        <w:rPr>
          <w:b/>
        </w:rPr>
        <w:t>Available abstract (not full text):</w:t>
      </w:r>
      <w:r>
        <w:t xml:space="preserve"> European fiscal policies significantly shape member states' strategies for attracting and utilising European funds, influencing the allocation of resources, compliance requirements, and fund accessibility. This article explores the comparative impact of these policies on fund attraction strategies across EU member states, focusing on how fiscal regulations either facilitate or restrict effective fund utilisation. Using a legislative comparative analysis alongside cause-effect methodology, this study examines variations in fiscal policy frameworks, compliance dynamics, and administrative capacities. Findings suggest that while aligned fiscal policies can foster efficiency and transparency, variations in national frameworks create disparities in fund attraction success, requiring adaptive strategies tailored to each member state. KEYWORDS: comparative analysis, european fiscal policies, EU member states, fiscal strategy, fund attraction, legislative impact. J.E.L. CLASSIFICATION: H77, H87, E62 1. INTRODUCTION European fiscal policies play a pivotal role in shaping the ability of member states to attract and utilise European funds, which are essential for financing local development, infrastructure, and economic growth. By setting overarching regulatory frameworks, the European Union (EU) aims to standardise fund accessibility and encourage fiscal responsibility across its member </w:t>
      </w:r>
    </w:p>
    <w:p>
      <w:pPr/>
      <w:r>
        <w:rPr>
          <w:b/>
        </w:rPr>
        <w:t>POSSIBLE 2023:</w:t>
      </w:r>
      <w:r>
        <w:t xml:space="preserve"> The impact of the European social fund on youth education and employment — https://doi.org/10.1016/j.seps.2023.101650</w:t>
      </w:r>
    </w:p>
    <w:p>
      <w:pPr/>
      <w:r>
        <w:rPr>
          <w:b/>
        </w:rPr>
        <w:t>Shared claim-specific concepts:</w:t>
      </w:r>
      <w:r>
        <w:t xml:space="preserve"> fund, funding, both; EU scope visible. This is a provisional connection, not an outcome finding.</w:t>
      </w:r>
    </w:p>
    <w:p>
      <w:pPr>
        <w:pStyle w:val="SourceNote"/>
      </w:pPr>
      <w:r>
        <w:rPr>
          <w:b/>
        </w:rPr>
        <w:t>Available abstract (not full text):</w:t>
      </w:r>
      <w:r>
        <w:t xml:space="preserve"> The effectiveness of the European Union's Cohesion Policy in reducing regional socio-economic gaps remains an open empirical issue, while evidence as to how the policy is affected by specific territorial factors and which social groups benefit most from it remains sparse. This article seeks to address this gap by disentangling the impact of the European Social Fund (ESF) on youth education and employment prospects. Drawing on macro-level data for the European NUTS-2 regions, we assess the impact that this fund has on different education-specific youth population shares and employment rates. In the case of education, we find that the receipt of funding is associated with a human capital polarization of regional populations. Specifically, we identify a positive impact of the ESF on population shares with lower-secondary and tertiary education, and a simultaneous negative impact on the share of those with upper-secondary education. In the case of employment, we find a positive response for youth of all education levels. A heterogeneity analysis indicates that both the education and employment responses of the youth population to the receipt of the ESF are strongly influenced by local specialization in high-skilled activities.</w:t>
      </w:r>
    </w:p>
    <w:p>
      <w:pPr/>
      <w:r>
        <w:rPr>
          <w:b/>
        </w:rPr>
        <w:t>POSSIBLE 2021:</w:t>
      </w:r>
      <w:r>
        <w:t xml:space="preserve"> Hydrogen in the Strategies of the European Union Member States — https://doi.org/10.24425/gsm.2021.138660</w:t>
      </w:r>
    </w:p>
    <w:p>
      <w:pPr/>
      <w:r>
        <w:rPr>
          <w:b/>
        </w:rPr>
        <w:t>Shared claim-specific concepts:</w:t>
      </w:r>
      <w:r>
        <w:t xml:space="preserve"> member, states, currently, but, sources, climate; EU scope visible. This is a provisional connection, not an outcome finding.</w:t>
      </w:r>
    </w:p>
    <w:p>
      <w:pPr>
        <w:pStyle w:val="SourceNote"/>
      </w:pPr>
      <w:r>
        <w:rPr>
          <w:b/>
        </w:rPr>
        <w:t>Available abstract (not full text):</w:t>
      </w:r>
      <w:r>
        <w:t xml:space="preserve"> Strategies and roadmaps are essential in areas that require long-term planning, such as the energy transition. Strategic plans can play an important role in developing visions for reducing CO2 emissions, developing renewable energy sources (RES) and hydrogen technologies. Hydrogen can be included in value chains in various sectors of the economy as raw material, emission-free fuel, or as an energy carrier and storage. The analysis of the future of hydrogen energy, which is an essential component of transforming the economy into an environmentally neutral one, is an integral part of the strategies of the European Union (EU) Member States. This article reviews the strategic documents of the EU countries in the field of a hydrogen economy. Currently, six EU Member States have approved the hydrogen strategy (Germany, France, the Netherlands, Portugal, Hungary, Czech Republic), and two of them have roadmaps (Spain, Finland). The others are working on their completion in 2021. EU countries have the possibility of energy transformation based on a hydrogen policy, including green hydrogen, within the framework of the European Green Deal, i.e. aiming for climate neutrality and creating a modern and environmentally friendly economy. By 2030, some of the countries plan to become a leader not only in the field of hydrogen production or RES development aimed at this process but also in the </w:t>
      </w:r>
    </w:p>
    <w:p>
      <w:pPr/>
      <w:r>
        <w:rPr>
          <w:b/>
        </w:rPr>
        <w:t>POSSIBLE 2020:</w:t>
      </w:r>
      <w:r>
        <w:t xml:space="preserve"> Overview of BIM integration into the Construction Sector in European Member States and European Union Acquis — https://doi.org/10.1088/1755-1315/410/1/012073</w:t>
      </w:r>
    </w:p>
    <w:p>
      <w:pPr/>
      <w:r>
        <w:rPr>
          <w:b/>
        </w:rPr>
        <w:t>Shared claim-specific concepts:</w:t>
      </w:r>
      <w:r>
        <w:t xml:space="preserve"> indicate, member, states, but, energy; EU scope visible. This is a provisional connection, not an outcome finding.</w:t>
      </w:r>
    </w:p>
    <w:p>
      <w:pPr>
        <w:pStyle w:val="SourceNote"/>
      </w:pPr>
      <w:r>
        <w:rPr>
          <w:b/>
        </w:rPr>
        <w:t>Available abstract (not full text):</w:t>
      </w:r>
      <w:r>
        <w:t xml:space="preserve"> Abstract The amount of information involved in any construction project and the necessity of control of time, cost and waste, has established Building Information Modelling (BIM) as an integral part of construction sector towards achieving adequate communication of information among various parties involved in construction projects. Moreover, it can be considered as a valuable tool for the optimum selection of materials, systems and design decisions, regarding not only the improve of a structure’s performance, but also in terms of reducing its carbon footprint during its life cycle. The study attempts to present the integration of BIM into the national legislation of European Member States, with a special focus on the energy related aspects of BIM analysis. This study performs an overview of the introduction of BIM into different aspects and requirements of the EU Member States building practices, through a comprehensive literature and legislation review of relative legislative documents of the construction sector. According to the findings of this overview study, the concept of BIM has already been incorporated in many aspects of the Acquis of EU Member States, which is recognized as a valuable tool to be exploited by the construction sector, however there is still room for development in this area. The study has revealed that especially in the energy assessment of the built e</w:t>
      </w:r>
    </w:p>
    <w:p>
      <w:pPr/>
      <w:r>
        <w:rPr>
          <w:b/>
        </w:rPr>
        <w:t>POSSIBLE 2020:</w:t>
      </w:r>
      <w:r>
        <w:t xml:space="preserve"> Scope and Exercise of the Exclusive Competences of the Member States of the European Union — https://doi.org/10.31743/recl.6056</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The process of European integration has introduced the Member States into a new legal reality. The existing exclusivity in the area of competence implementation has been replaced by a two-stage model of their exercise. The Member States, when conferring part of their supervisory powers, did not specify the scope of their own competences. The so-called European clauses were analysed in the Constitutions of selected Member States, which showed that they define the recipient of the conferral and, in a non-uniform manner, specify the subject of the conferral. The analysis of the indicated provisions clearly shows that the Constitutions of the Member States exclude full conferral of competences on the European Union. There is no specification of the scope of competences that may be conferred. However, this issue was addressed by Constitutional Courts of the Member States. The article refers to the judgements of the German Federal Constitutional Court and the Polish Constitutional Court. It has been shown that they equate exclusive competences of the Member States with the scope of the concept of constitutional identity reduced to basic principles of the state. The Court of Justice of the European Union analysed the scope of competences of both entities. The article presents the analysis of judgements on: entries in Civil Registry regarding transcription of surnames, the issue of rec</w:t>
      </w:r>
    </w:p>
    <w:p>
      <w:pPr/>
      <w:r>
        <w:rPr>
          <w:b/>
        </w:rPr>
        <w:t>POSSIBLE 2019:</w:t>
      </w:r>
      <w:r>
        <w:t xml:space="preserve"> Differentiation in the production potential and efficiency of farms in the member states of the European Union — https://doi.org/10.17221/378/2018-agricecon</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paper contains an evaluation of the differentiation of the production potential and efficiency of farms in the member states of the European Union in 2013-2016. To this end, a taxonomic method - Hellwig's development measure - was used. The study was based on data from the European Union Farm Accountancy Data Network (FADN). The study results indicate that member states such as the Netherlands, Denmark, Luxembourg, Belgium, the United Kingdom and Slovakia were characterised by the best agricultural production potential. The first four member states also showed the highest efficiency with regard to the utilisation of production factors. On the other hand, low and average potential and efficiency were characteristic of farms in most of the new member states.</w:t>
      </w:r>
    </w:p>
    <w:p>
      <w:pPr/>
      <w:r>
        <w:rPr>
          <w:b/>
        </w:rPr>
        <w:t>POSSIBLE 2019:</w:t>
      </w:r>
      <w:r>
        <w:t xml:space="preserve"> Analysis of the Energy Consumption Behavior of European RES Cooperative Members — https://doi.org/10.3390/en12060970</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REScoops are cooperatives of renewable energy producers and/or consumers that are being formed in the developing European Smart Grid. Today, there are more than 2397 REScoops with more than 650,000 members. Their development indicates the necessity of producing and consuming green energy, assists the fight against energy poverty, and reduces greenhouse gas emissions by utilizing smart management systems and self-consumption techniques. An essential objective of the H2020 REScoop Plus project is to stimulate better understanding and promote the cooperatives’ commitment to behavioral change. To achieve such a goal, this paper presents the methodology adopted to assess the energy-saving activities and behavior of the REScoops. In order to obtain relevant conclusions, a detailed statistical analysis was undertaken. Moreover, the analysis led to an effective classification of the various members, providing insights regarding their contribution to consumption reduction according to various specific characteristics. The statistical analysis showed that REScoop members contribute significantly to energy conservation and the reduction of harmful gas emissions, and subsequently, the majority of the energy efficiency (EE) interventions led to achieving more than 20% reductions. Specific practices, already adopted by the REScoops, lead to increased energy efficiency and environmental benef</w:t>
      </w:r>
    </w:p>
    <w:p>
      <w:pPr/>
      <w:r>
        <w:rPr>
          <w:b/>
        </w:rPr>
        <w:t>POSSIBLE 2019:</w:t>
      </w:r>
      <w:r>
        <w:t xml:space="preserve"> Implementing Green Infrastructure in Spatial Planning in Europe — https://doi.org/10.3390/land8040062</w:t>
      </w:r>
    </w:p>
    <w:p>
      <w:pPr/>
      <w:r>
        <w:rPr>
          <w:b/>
        </w:rPr>
        <w:t>Shared claim-specific concepts:</w:t>
      </w:r>
      <w:r>
        <w:t xml:space="preserve"> member, states, fund, funding, sources, climate; EU scope visible. This is a provisional connection, not an outcome finding.</w:t>
      </w:r>
    </w:p>
    <w:p>
      <w:pPr>
        <w:pStyle w:val="SourceNote"/>
      </w:pPr>
      <w:r>
        <w:rPr>
          <w:b/>
        </w:rPr>
        <w:t>Available abstract (not full text):</w:t>
      </w:r>
      <w:r>
        <w:t xml:space="preserve">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pStyle w:val="Heading2"/>
      </w:pPr>
      <w:r>
        <w:t>826.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r>
        <w:rPr>
          <w:b/>
        </w:rPr>
        <w:t>POSSIBLE 2021:</w:t>
      </w:r>
      <w:r>
        <w:t xml:space="preserve"> Assessing the Economic Structure, Climate Change and Decarbonisation in Europe — https://doi.org/10.1007/s41748-021-00232-7</w:t>
      </w:r>
    </w:p>
    <w:p>
      <w:pPr/>
      <w:r>
        <w:rPr>
          <w:b/>
        </w:rPr>
        <w:t>Shared claim-specific concepts:</w:t>
      </w:r>
      <w:r>
        <w:t xml:space="preserve"> assuming, strong, climate, mitigation, emission, reduction; EU scope visible. This is a provisional connection, not an outcome finding.</w:t>
      </w:r>
    </w:p>
    <w:p>
      <w:pPr>
        <w:pStyle w:val="SourceNote"/>
      </w:pPr>
      <w:r>
        <w:rPr>
          <w:b/>
        </w:rPr>
        <w:t>Available abstract (not full text):</w:t>
      </w:r>
      <w:r>
        <w:t xml:space="preserve"> Abstract Anthropogenic greenhouse gas (GHG) emissions coming mainly from fossil fuel combustion for energy use are causing air temperature increases resulting in climate change. This study employs an environmentally extended input–output model to conduct an economy-wide assessment of GHG emissions in the European Union (EU). Model results indicate that the assumed growth of economic activity by 2030 will lead to a large increase in GHG emissions by 89%, assuming no technological change and no additional policy mitigation efforts. The electricity sector and agriculture create the highest direct and indirect GHG emissions per unit of economic output across the 27 EU member states (EU-27); for every 1-million-euro-increase in the final demand for the products and services of the electricity sector and agriculture, 2198 and 1410 additional tons of GHG emit, respectively. Regional climate projections under a low-decarbonisation pathway (RCP8.5), in accordance with our economic analysis, indicate a further increase of regional warming, combined with pronounced changes in the hydrological cycle. Contrariwise, following a strong mitigation pathway (RCP2.6) will result in warming levels lower than 1.5 °C with respect to the 1986–2005 reference period. Our findings reveal the importance of both direct and indirect contribution of economic sectors in the generation of GHG emissions, takin</w:t>
      </w:r>
    </w:p>
    <w:p>
      <w:pPr/>
      <w:r>
        <w:rPr>
          <w:b/>
        </w:rPr>
        <w:t>POSSIBLE 2021:</w:t>
      </w:r>
      <w:r>
        <w:t xml:space="preserve"> Emergent vulnerability to climate-driven disturbances in European forests — https://doi.org/10.1038/s41467-021-21399-7</w:t>
      </w:r>
    </w:p>
    <w:p>
      <w:pPr/>
      <w:r>
        <w:rPr>
          <w:b/>
        </w:rPr>
        <w:t>Shared claim-specific concepts:</w:t>
      </w:r>
      <w:r>
        <w:t xml:space="preserve"> climate, mitigation, strategies, reduction, period, show; EU scope visible. This is a provisional connection, not an outcome finding.</w:t>
      </w:r>
    </w:p>
    <w:p>
      <w:pPr>
        <w:pStyle w:val="SourceNote"/>
      </w:pPr>
      <w:r>
        <w:rPr>
          <w:b/>
        </w:rPr>
        <w:t>Available abstract (not full text):</w:t>
      </w:r>
      <w:r>
        <w:t xml:space="preserve"> Forest disturbance regimes are expected to intensify as Earth's climate changes. Quantifying forest vulnerability to disturbances and understanding the underlying mechanisms is crucial to develop mitigation and adaptation strategies. However, observational evidence is largely missing at regional to continental scales. Here, we quantify the vulnerability of European forests to fires, windthrows and insect outbreaks during the period 1979-2018 by integrating machine learning with disturbance data and satellite products. We show that about 33.4 billion tonnes of forest biomass could be seriously affected by these disturbances, with higher relative losses when exposed to windthrows (40%) and fires (34%) compared to insect outbreaks (26%). The spatial pattern in vulnerability is strongly controlled by the interplay between forest characteristics and background climate. Hotspot regions for vulnerability are located at the borders of the climate envelope, in both southern and northern Europe. There is a clear trend in overall forest vulnerability that is driven by a warming-induced reduction in plant defence mechanisms to insect outbreaks, especially at high latitudes.</w:t>
      </w:r>
    </w:p>
    <w:p>
      <w:pPr/>
      <w:r>
        <w:rPr>
          <w:b/>
        </w:rPr>
        <w:t>POSSIBLE 2020:</w:t>
      </w:r>
      <w:r>
        <w:t xml:space="preserve"> Future Climate Change in the European Alps — https://doi.org/10.1093/acrefore/9780190228620.013.767</w:t>
      </w:r>
    </w:p>
    <w:p>
      <w:pPr/>
      <w:r>
        <w:rPr>
          <w:b/>
        </w:rPr>
        <w:t>Shared claim-specific concepts:</w:t>
      </w:r>
      <w:r>
        <w:t xml:space="preserve"> strong, climate, only, emission, until, projections; EU scope visible. This is a provisional connection, not an outcome finding.</w:t>
      </w:r>
    </w:p>
    <w:p>
      <w:pPr>
        <w:pStyle w:val="SourceNote"/>
      </w:pPr>
      <w:r>
        <w:rPr>
          <w:b/>
        </w:rPr>
        <w:t>Available abstract (not full text):</w:t>
      </w:r>
      <w:r>
        <w:t xml:space="preserve"> Abstract The analysis of state-of-the-art regional climate projections indicates a number of robust changes of the climate of the European Alps by the end of this century. Among these are a temperature increase in all seasons and at all elevations and a significant decrease in natural snow cover. Precipitation changes, however, are more subtle and subject to larger uncertainties. While annual precipitation sums are projected to remain rather constant until the end of the century, winter precipitation is projected to increase. Summer precipitation changes will most likely be negative, but increases are possible as well and are covered by the model uncertainty range. Precipitation extremes are expected to intensify in all seasons. The projected changes by the end of the century considerably depend on the greenhouse-gas scenario assumed, with the high-end RCP8.5 scenario being associated with the most prominent changes. Until the middle of the 21st century, however, it is projected that climate change in the Alpine area will only slightly depend on the specific emission scenario. These results indicate that harmful weather events in the Alpine area are likely to intensify in future. This particularly refers to extreme precipitation events, which can trigger flash floods and gravitational mass movements (debris flows, landslides) and lead to substantial damage. Convective precipita</w:t>
      </w:r>
    </w:p>
    <w:p>
      <w:pPr/>
      <w:r>
        <w:rPr>
          <w:b/>
        </w:rPr>
        <w:t>POSSIBLE 2020:</w:t>
      </w:r>
      <w:r>
        <w:t xml:space="preserve"> Climate change fingerprints in recent European plant phenology — https://doi.org/10.1111/gcb.15000</w:t>
      </w:r>
    </w:p>
    <w:p>
      <w:pPr/>
      <w:r>
        <w:rPr>
          <w:b/>
        </w:rPr>
        <w:t>Shared claim-specific concepts:</w:t>
      </w:r>
      <w:r>
        <w:t xml:space="preserve"> strong, climate, only, period; EU scope visible. This is a provisional connection, not an outcome finding.</w:t>
      </w:r>
    </w:p>
    <w:p>
      <w:pPr>
        <w:pStyle w:val="SourceNote"/>
      </w:pPr>
      <w:r>
        <w:rPr>
          <w:b/>
        </w:rPr>
        <w:t>Available abstract (not full text):</w:t>
      </w:r>
      <w:r>
        <w:t xml:space="preserve"> A paper published in Global Change Biology in 2006 revealed that phenological responses in 1971-2000 matched the warming pattern in Europe, but a lack of chilling and adaptation in farming may have reversed these findings. Therefore, for 1951-2018 in a corresponding data set, we determined changes as linear trends and analysed their variation by plant traits/groups, across season and time as well as their attribution to warming following IPCC methodology. Although spring and summer phases in wild plants advanced less (maximum advances in 1978-2007), more (~90%) and more significant (~60%) negative trends were present, being stronger in early spring, at higher elevations, but smaller for nonwoody insect-pollinated species. These trends were strongly attributable to winter and spring warming. Findings for crop spring phases were similar, but were less pronounced. There were clearer and attributable signs for a delayed senescence in response to winter and spring warming. These changes resulted in a longer growing season, but a constant generative period in wild plants and a shortened one in agricultural crops. Phenology determined by farmers' decisions differed noticeably from the purely climatic driven phases with smaller percentages of advancing (~75%) trends, but farmers' spring activities were the only group with reinforced advancement, suggesting adaptation. Trends in farmers</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climate, two, emission, until;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r>
        <w:rPr>
          <w:b/>
        </w:rPr>
        <w:t>POSSIBLE 2020:</w:t>
      </w:r>
      <w:r>
        <w:t xml:space="preserve"> EU Values Are Law, After All: Enforcing EU Values Through Systemic Infringement Actions by the European Commission and the Member States of the European Union — https://doi.org/10.1093/yel/yeaa012</w:t>
      </w:r>
    </w:p>
    <w:p>
      <w:pPr/>
      <w:r>
        <w:rPr>
          <w:b/>
        </w:rPr>
        <w:t>Shared claim-specific concepts:</w:t>
      </w:r>
      <w:r>
        <w:t xml:space="preserve"> action, after, two, show; EU scope visible. This is a provisional connection, not an outcome finding.</w:t>
      </w:r>
    </w:p>
    <w:p>
      <w:pPr>
        <w:pStyle w:val="SourceNote"/>
      </w:pPr>
      <w:r>
        <w:rPr>
          <w:b/>
        </w:rPr>
        <w:t>Available abstract (not full text):</w:t>
      </w:r>
      <w:r>
        <w:t xml:space="preserve"> Abstract Although compliance with the founding values is presumed in its law, the Union is now confronted with persistent disregard of these values in two Member States. If it ceases to be a union of Rule-of-Law-abiding democracies, the European Union (EU) is unthinkable. Purely political mechanisms to safeguard the Rule of Law, such as those in Article 7 Treaty of European Union (TEU), do not work. Worse still, their existence has disguised the fact that the violations of the values of Article 2 TEU are also violations of EU law. The legal mechanisms tried thus far, however, do not work either. The fundamental jurisprudence on judicial independence and irremovability under Article 19(1) TEU is a good start, but it has been unable to change the situation on the ground. Despite ten years of EU attempts at reining in Rule of Law violations and even as backsliding Member States have lost cases at the Court of Justice, illiberal regimes inside the EU have become more consolidated: the EU has been losing through winning. More creative work is needed to find ways to enforce the values of Article 2 TEU more effectively. Taking this insight, we propose to turn the EU into a militant democracy, able to defend its basic principles, by using the traditional tools for the enforcement of EU law in a novel manner. We demonstrate how the familiar infringement actions—both under Article 258 an</w:t>
      </w:r>
    </w:p>
    <w:p>
      <w:pPr/>
      <w:r>
        <w:rPr>
          <w:b/>
        </w:rPr>
        <w:t>POSSIBLE 2019:</w:t>
      </w:r>
      <w:r>
        <w:t xml:space="preserve"> Distribution trends of European dragonflies under climate change — https://doi.org/10.1111/ddi.12913</w:t>
      </w:r>
    </w:p>
    <w:p>
      <w:pPr/>
      <w:r>
        <w:rPr>
          <w:b/>
        </w:rPr>
        <w:t>Shared claim-specific concepts:</w:t>
      </w:r>
      <w:r>
        <w:t xml:space="preserve"> climate, only, main;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r>
        <w:rPr>
          <w:b/>
        </w:rPr>
        <w:t>POSSIBLE 2019:</w:t>
      </w:r>
      <w:r>
        <w:t xml:space="preserve"> A comparison of low carbon investment needs between China and Europe in stringent climate policy scenarios — https://doi.org/10.1088/1748-9326/ab0dd8</w:t>
      </w:r>
    </w:p>
    <w:p>
      <w:pPr/>
      <w:r>
        <w:rPr>
          <w:b/>
        </w:rPr>
        <w:t>Shared claim-specific concepts:</w:t>
      </w:r>
      <w:r>
        <w:t xml:space="preserve"> strong, climate, two; EU scope visible. This is a provisional connection, not an outcome finding.</w:t>
      </w:r>
    </w:p>
    <w:p>
      <w:pPr>
        <w:pStyle w:val="SourceNote"/>
      </w:pPr>
      <w:r>
        <w:rPr>
          <w:b/>
        </w:rPr>
        <w:t>Available abstract (not full text):</w:t>
      </w:r>
      <w:r>
        <w:t xml:space="preserve"> Abstract The radical change in recent global climate governance calls for China and Europe to ramp up their efforts in leading the world to reach the long-term climate goals. By analyzing the results from the state-of-the-art global integrated assessment model, MESSAGEix-GLOBIOM, this paper aims to understand the future levels of financial investment needed for building and maintaining energy-related infrastructure in the two regions for fulfilling stringent targets consistent with ‘well below 2 °C’. The results indicate that a rapid upscaling and structural change of these investments towards decarbonization are necessitated by the climate stringent scenarios. China and Europe need to increase their low carbon investments by 65% and 38% in a scenario reaching the 2° target relative to their respective reference scenarios which assume no such target from 2016–2050. In a more stringent climate policy scenario of the 1.5° target, these investment needs will increase by 149% and 79% for China and Europe respectively. Among all the energy sectors, energy efficiency, renewable electricity generation and electricity transmission and distribution are the three largest investing targets for the two regions. However, those investments will not likely be realized without strong policy incentives. Implications for green finance and multilateral cooperation initiatives are discussed in the</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strong, climate, only, until, projections;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Industry Concentration in Europe and North America — https://doi.org/10.1787/2ff98246-en</w:t>
      </w:r>
    </w:p>
    <w:p>
      <w:pPr/>
      <w:r>
        <w:rPr>
          <w:b/>
        </w:rPr>
        <w:t>Shared claim-specific concepts:</w:t>
      </w:r>
      <w:r>
        <w:t xml:space="preserve"> two, period, clear; EU scope visible. This is a provisional connection, not an outcome finding.</w:t>
      </w:r>
    </w:p>
    <w:p>
      <w:pPr>
        <w:pStyle w:val="SourceNote"/>
      </w:pPr>
      <w:r>
        <w:rPr>
          <w:b/>
        </w:rPr>
        <w:t>Available abstract (not full text):</w:t>
      </w:r>
      <w:r>
        <w:t xml:space="preserve"> This report presents new evidence on industry concentration trends in Europe and in North America. It uses two novel data sources: representative firm-level concentration measures from the OECD MultiProd project, and business-group-level concentration measures using matched Orbis-Worldscope-Zephyr data. Based on the MultiProd data, it finds that between 2001 and 2012 the average industry across 10 European economies saw a 2-3-percentage-point increase in the share of the 10% largest companies in industry sales. Using the Orbis-Worldscope-Zephyr data, it documents a clear increase in industry concentration in Europe as well as in North America between 2000 and 2014 of the order of 4-8 percentage points for the average industry. Over the period, about 3 out of 4 (2-digit) industries in each region saw their concentration increase. The increase is observed for both manufacturing and non-financial services and is not driven by digital-intensive sectors.</w:t>
      </w:r>
    </w:p>
    <w:p>
      <w:pPr/>
      <w:r>
        <w:rPr>
          <w:b/>
        </w:rPr>
        <w:t>POSSIBLE 2018:</w:t>
      </w:r>
      <w:r>
        <w:t xml:space="preserve"> Explaining European fungal fruiting phenology with climate variability — https://doi.org/10.1002/ecy.2237</w:t>
      </w:r>
    </w:p>
    <w:p>
      <w:pPr/>
      <w:r>
        <w:rPr>
          <w:b/>
        </w:rPr>
        <w:t>Shared claim-specific concepts:</w:t>
      </w:r>
      <w:r>
        <w:t xml:space="preserve"> climate, two, main; EU scope visible. This is a provisional connection, not an outcome finding.</w:t>
      </w:r>
    </w:p>
    <w:p>
      <w:pPr>
        <w:pStyle w:val="SourceNote"/>
      </w:pPr>
      <w:r>
        <w:rPr>
          <w:b/>
        </w:rPr>
        <w:t>Available abstract (not full text):</w:t>
      </w:r>
      <w:r>
        <w:t xml:space="preserve"> Here we assess the impact of geographically dependent (latitude, longitude, and altitude) changes in bioclimatic (temperature, precipitation, and primary productivity) variability on fungal fruiting phenology across Europe. Two main nutritional guilds of fungi, saprotrophic and ectomycorrhizal, were further separated into spring and autumn fruiters. We used a path analysis to investigate how biogeographic patterns in fungal fruiting phenology coincided with seasonal changes in climate and primary production. Across central to northern Europe, mean fruiting varied by approximately 25 d, primarily with latitude. Altitude affected fruiting by up to 30 d, with spring delays and autumnal accelerations. Fruiting was as much explained by the effects of bioclimatic variability as by their large-scale spatial patterns. Temperature drove fruiting of autumnal ectomycorrhizal and saprotrophic groups as well as spring saprotrophic groups, while primary production and precipitation were major drivers for spring-fruiting ectomycorrhizal fungi. Species-specific phenology predictors were not stable, instead deviating from the overall mean. There is significant likelihood that further climatic change, especially in temperature, will impact fungal phenology patterns at large spatial scales. The ecological implications are diverse, potentially affecting food webs (asynchrony), nutrient cycling and</w:t>
      </w:r>
    </w:p>
    <w:p>
      <w:pPr>
        <w:pStyle w:val="Heading2"/>
      </w:pPr>
      <w:r>
        <w:t>827.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2019:</w:t>
      </w:r>
      <w:r>
        <w:t xml:space="preserve"> Heat stress risk in European dairy cattle husbandry under different climate change scenarios – uncertainties and potential impacts — https://doi.org/10.5194/esd-10-859-2019</w:t>
      </w:r>
    </w:p>
    <w:p>
      <w:pPr/>
      <w:r>
        <w:rPr>
          <w:b/>
        </w:rPr>
        <w:t>Shared claim-specific concepts:</w:t>
      </w:r>
      <w:r>
        <w:t xml:space="preserve"> presently, rate, about, balance; EU scope visible. This is a provisional connection, not an outcome finding.</w:t>
      </w:r>
    </w:p>
    <w:p>
      <w:pPr>
        <w:pStyle w:val="SourceNote"/>
      </w:pPr>
      <w:r>
        <w:rPr>
          <w:b/>
        </w:rPr>
        <w:t>Available abstract (not full text):</w:t>
      </w:r>
      <w:r>
        <w:t xml:space="preserve"> Abstract. In the last decades, an exceptional global warming trend was observed. Along with the temperature increase, modifications in the humidity and wind regime amplify the regional and local impacts on livestock husbandry. Direct impacts include the occurrence of climatic stress conditions. In Europe, cows are economically highly relevant and are mainly kept in naturally ventilated buildings that are most susceptible to climate change. The high-yielding cows are particularly vulnerable to heat stress. Modifications in housing management are the main measures taken to improve the ability of livestock to cope with these conditions. Measures are, however, typically taken in direct reaction to uncomfortable conditions instead of in anticipation of a long term risk for climatic stress. Moreover, measures that balance welfare, environmental and economic issues are barely investigated in the context of climate change and are thus almost not available for commercial farms. Quantitative analysis of the climate change impacts on the animal welfare and linked economic and environmental factors are rare. Therefore, we used a numerical modeling approach to estimate the future heat stress risk in such dairy cattle husbandry systems. The indoor climate was monitored inside three reference barns in Central Europe and in the Mediterranean region. An artificial neuronal network (ANN) was tra</w:t>
      </w:r>
    </w:p>
    <w:p>
      <w:pPr/>
      <w:r>
        <w:rPr>
          <w:b/>
        </w:rPr>
        <w:t>POSSIBLE 2019:</w:t>
      </w:r>
      <w:r>
        <w:t xml:space="preserve"> Control of hospital acquired infections and antimicrobial resistance in Europe: the way to go — https://doi.org/10.1007/s10354-018-0676-5</w:t>
      </w:r>
    </w:p>
    <w:p>
      <w:pPr/>
      <w:r>
        <w:rPr>
          <w:b/>
        </w:rPr>
        <w:t>Shared claim-specific concepts:</w:t>
      </w:r>
      <w:r>
        <w:t xml:space="preserve"> level, reflect, use, classical; EU scope visible. This is a provisional connection, not an outcome finding.</w:t>
      </w:r>
    </w:p>
    <w:p>
      <w:pPr>
        <w:pStyle w:val="SourceNote"/>
      </w:pPr>
      <w:r>
        <w:rPr>
          <w:b/>
        </w:rPr>
        <w:t>Available abstract (not full text):</w:t>
      </w:r>
      <w:r>
        <w:t xml:space="preserve"> One of the major challenges for modern medicine is our ageing society and an increased level of immunocompromised hosts. More invasive and intensive medical interventions will increase the number of healthcare-associated infections (HCAI), which means infection that occur because of or in concomitance, but in any case, during or after healthcare interventions. Such infections are caused usually endogenously from microbial components of the patient's own microbiome. Usually, the microorganisms of the microbiome show a natural resistance against a few antibiotics. Due to selection processes and epidemic transmission of specific clones, microorganisms that have become resistant to multiple antibiotics become part of the patient's microbiome and can subsequently cause infections that are difficult or even impossible to treat. The kind of infections that will occur depends on diverse factors. Already today, according to Cassini et al., 2,609,911 new cases of HCAI occur every year in the European Union and European Economic Area (EU/EEA). The cumulative burden of the six HAIs was estimated at 501 disability-adjusted life years (DALYs) per 100,000 general population each year in the EU/EEA. In a recent publication, 426,277 healthcare-associated infections caused by antimicrobial resistant microorganisms were calculated to occur in the EU every year. Attributable deaths in the EU due t</w:t>
      </w:r>
    </w:p>
    <w:p>
      <w:pPr/>
      <w:r>
        <w:rPr>
          <w:b/>
        </w:rPr>
        <w:t>POSSIBLE 2018:</w:t>
      </w:r>
      <w:r>
        <w:t xml:space="preserve"> Molecular Epidemiology and Evolution of European Bat Lyssavirus 2 — https://doi.org/10.3390/ijms19010156</w:t>
      </w:r>
    </w:p>
    <w:p>
      <w:pPr/>
      <w:r>
        <w:rPr>
          <w:b/>
        </w:rPr>
        <w:t>Shared claim-specific concepts:</w:t>
      </w:r>
      <w:r>
        <w:t xml:space="preserve"> presently, rate, level; EU scope visible. This is a provisional connection, not an outcome finding.</w:t>
      </w:r>
    </w:p>
    <w:p>
      <w:pPr>
        <w:pStyle w:val="SourceNote"/>
      </w:pPr>
      <w:r>
        <w:rPr>
          <w:b/>
        </w:rPr>
        <w:t>Available abstract (not full text):</w:t>
      </w:r>
      <w:r>
        <w:t xml:space="preserve">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r>
        <w:rPr>
          <w:b/>
        </w:rPr>
        <w:t>POSSIBLE 2018:</w:t>
      </w:r>
      <w:r>
        <w:t xml:space="preserve"> Examining the Effects of Exogenous Ketones on Exercise Metabolism and Performance in Male Varsity Athletes — https://openalex.org/W2811360614</w:t>
      </w:r>
    </w:p>
    <w:p>
      <w:pPr/>
      <w:r>
        <w:rPr>
          <w:b/>
        </w:rPr>
        <w:t>Shared claim-specific concepts:</w:t>
      </w:r>
      <w:r>
        <w:t xml:space="preserve"> exogenous, reached, maintained; EU scope not established. This is a provisional connection, not an outcome finding.</w:t>
      </w:r>
    </w:p>
    <w:p>
      <w:pPr>
        <w:pStyle w:val="SourceNote"/>
      </w:pPr>
      <w:r>
        <w:rPr>
          <w:b/>
        </w:rPr>
        <w:t>Available abstract (not full text):</w:t>
      </w:r>
      <w:r>
        <w:t xml:space="preserve"> Previous research has shown that administration of exogenous acetoacetate (AcAc), beta-hydroxybutyrate (BHB) and glucose in a perfused rodent heart model can increase cardiac output while reducing oxygen uptake compared with glucose alone. With this apparent improvement in mechanical efficiency induced by AcAc and BHB, there is speculation that they may also enhance exercise performance in athletes. Although AcAc and BHB can be produced endogenously, exogenous BHB supplements have recently become commercially available in the form of ketone mineral salts (KS). Research to date has not found any performance enhancing effects of an acute dose of KS but the effects of more regular KS supplementation on whole body metabolism and exercise performance are unknown. Furthermore, medium-chain triglycerides (MCT) have recently been added to KS supplements, as the administration of KS plus MCT in rodents has been shown to increase blood BHB concentrations compared to KS administration alone. Therefore, the overall purpose of this study was to examine the hypotheses that a twice-daily KS plus MCT supplementation protocol would increase mechanical efficiency and improve exercise performance during a submaximal time to exhaustion (TTE) cycling protocol and a time trial (TT) cycling protocol in male varsity athletes. A single-blinded placebo-controlled crossover design was employed where part</w:t>
      </w:r>
    </w:p>
    <w:p>
      <w:pPr>
        <w:pStyle w:val="Heading2"/>
      </w:pPr>
      <w:r>
        <w:t>828.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2025:</w:t>
      </w:r>
      <w:r>
        <w:t xml:space="preserve"> An innovative methodology in analyzing certain pendulum oscillators — https://doi.org/10.1038/s41598-025-99645-x</w:t>
      </w:r>
    </w:p>
    <w:p>
      <w:pPr/>
      <w:r>
        <w:rPr>
          <w:b/>
        </w:rPr>
        <w:t>Shared claim-specific concepts:</w:t>
      </w:r>
      <w:r>
        <w:t xml:space="preserve"> issues, methodology, approach, assess; EU scope not established. This is a provisional connection, not an outcome finding.</w:t>
      </w:r>
    </w:p>
    <w:p>
      <w:pPr>
        <w:pStyle w:val="SourceNote"/>
      </w:pPr>
      <w:r>
        <w:rPr>
          <w:b/>
        </w:rPr>
        <w:t>Available abstract (not full text):</w:t>
      </w:r>
      <w:r>
        <w:t xml:space="preserve"> Pendulum oscillators study harmonic motion, energy conservation, and nonlinear dynamics, providing insights into mechanical vibrations, wave phenomena, weather patterns, and quantum mechanics, with real-world applications in engineering, seismology, and clock mechanisms. The present study addresses three distinct issues related to SPs; a charged magnetic spherical simple pendulum (SP), and a SP composed of heavy cylinders that roll freely in a horizontal plane, and a nonlinear model depicting the motion of a damped SP in a fluid flow. The SPs are analyzed via an innovative technology known as the non-perturbative approach (NPA), which is based on He's frequency formula (HFF). This advanced approach linearizes a nonlinear ordinary differential equation (ODE), enabling more straightforward analysis and solution. As-well known, implementing the NPA has several advantages, chief among them the removal of the constraints associated with managing Taylor expansions. Consequently, there have been no augmentations to the current restorative forces. Secondly, the novel method enables us to assess the stability criteria of the system away from the traditional perturbation techniques. The numerical comparison of nonlinear ODEs into linear ones using Mathematica Software (MS) is conducted to validate this innovative method. An analysis of the two responses demonstrates a strong concordance,</w:t>
      </w:r>
    </w:p>
    <w:p>
      <w:pPr/>
      <w:r>
        <w:rPr>
          <w:b/>
        </w:rPr>
        <w:t>POSSIBLE 2024:</w:t>
      </w:r>
      <w:r>
        <w:t xml:space="preserve"> The essence and content of scientific research methodology — https://doi.org/10.12775/jehs.2024.63.020</w:t>
      </w:r>
    </w:p>
    <w:p>
      <w:pPr/>
      <w:r>
        <w:rPr>
          <w:b/>
        </w:rPr>
        <w:t>Shared claim-specific concepts:</w:t>
      </w:r>
      <w:r>
        <w:t xml:space="preserve"> analyzes, content, methodology; EU scope not established. This is a provisional connection, not an outcome finding.</w:t>
      </w:r>
    </w:p>
    <w:p>
      <w:pPr>
        <w:pStyle w:val="SourceNote"/>
      </w:pPr>
      <w:r>
        <w:rPr>
          <w:b/>
        </w:rPr>
        <w:t>Available abstract (not full text):</w:t>
      </w:r>
      <w:r>
        <w:t xml:space="preserve"> The article analyzes the essence and content of the concepts "methodology", "methods of scientific research". The content of general and special methods of conducting scientific research is disclosed. It has been established that the methodology of scientific research is a conceptual statement of the content, purpose, and methods of research that allow obtaining the most objective, systematized and accurate information about phenomena and processes. The methodology systematizes the methods, methods and methods of learning objective reality, ensuring the reliability of the obtained knowledge about the object of research, their compliance with the subject of research, and is also a means of substantiating the results and conclusions of the conducted scientific research. The methods of scientific research mean a set of cognitive rules and techniques, implemented in the form of interconnected operations, designed to obtain new knowledge, consisting of three stages: research, proof and explanation. Methods are a set of techniques and methods of activity that allow a person or organization to achieve set goals. The choice of methods depends on the nature and content of the problem, the terms and resources allocated for its study, the amount and quality of available information. The authors characterized the content of empirical, theoretical and special methods of scientific research.</w:t>
      </w:r>
    </w:p>
    <w:p>
      <w:pPr/>
      <w:r>
        <w:rPr>
          <w:b/>
        </w:rPr>
        <w:t>POSSIBLE 2024:</w:t>
      </w:r>
      <w:r>
        <w:t xml:space="preserve"> A Hybrid Methodology for Gamification Element Ranking Based on Big Five Traits Using Neutrosophic MCDM: Personalized Approach for Educational Games — https://doi.org/10.1109/icca62237.2024.10927846</w:t>
      </w:r>
    </w:p>
    <w:p>
      <w:pPr/>
      <w:r>
        <w:rPr>
          <w:b/>
        </w:rPr>
        <w:t>Shared claim-specific concepts:</w:t>
      </w:r>
      <w:r>
        <w:t xml:space="preserve"> five, design, methodology, approach, framework; EU scope not established. This is a provisional connection, not an outcome finding.</w:t>
      </w:r>
    </w:p>
    <w:p>
      <w:pPr>
        <w:pStyle w:val="SourceNote"/>
      </w:pPr>
      <w:r>
        <w:rPr>
          <w:b/>
        </w:rPr>
        <w:t>Available abstract (not full text):</w:t>
      </w:r>
      <w:r>
        <w:t xml:space="preserve"> In the domain of game design, comprehending players' personality traits is pivotal for crafting engaging and immersive gaming experiences. This paper presents a novel hybrid methodology for ranking gamification elements based on the Big Five Personality Traits, employing neutrosophic Multiple Criteria Decision Making (MCDM). The Big Five model encompassing openness, conscientiousness, extraversion, agreeableness, and neuroticism provides a comprehensive framework for analyzing personality variations. By exploring the interplay between these traits and gamification elements, designers can tailor gaming experiences to individual preferences, thereby enhancing player engagement. The methodology systematically ranks gamification elements according to users' scores on each personality trait, facilitating a personalized learning environment. Utilizing neutrosophic MCDM, which adeptly addresses decision-making under uncertainty and indeterminacy, this approach enables the optimization of game element selection. The time complexity of the proposed methodology ensures the methodology is scalable and efficient for large datasets, maintaining performance while delivering personalized experiences. This paper establishes a direct mapping between the Big Five traits and game elements, identifying the most suitable elements for each user. By incorporating neutrosophic decision-making, the pro</w:t>
      </w:r>
    </w:p>
    <w:p>
      <w:pPr/>
      <w:r>
        <w:rPr>
          <w:b/>
        </w:rPr>
        <w:t>POSSIBLE 2023:</w:t>
      </w:r>
      <w:r>
        <w:t xml:space="preserve"> Analyzing YouTube Content: Methodological Considerations for Technical Communication Research — https://doi.org/10.1145/3615335.3623005</w:t>
      </w:r>
    </w:p>
    <w:p>
      <w:pPr/>
      <w:r>
        <w:rPr>
          <w:b/>
        </w:rPr>
        <w:t>Shared claim-specific concepts:</w:t>
      </w:r>
      <w:r>
        <w:t xml:space="preserve"> methodological, content, approach; EU scope not established. This is a provisional connection, not an outcome finding.</w:t>
      </w:r>
    </w:p>
    <w:p>
      <w:pPr>
        <w:pStyle w:val="SourceNote"/>
      </w:pPr>
      <w:r>
        <w:rPr>
          <w:b/>
        </w:rPr>
        <w:t>Available abstract (not full text):</w:t>
      </w:r>
      <w:r>
        <w:t xml:space="preserve"> The YouTube platform plays a vital role in contemporary technical communication as a central warehouse of technical instructions. Though several studies have explored the importance of specific videos, creators, and communities, it is also necessary to study the platform with a wider, data-driven lens in order to consider rhetorical strategies across channels and communities. But while this relationship between close and distant reading has been applied successfully to text-focused platforms, YouTube's multimodality leads to challenges of scale and categorization for researchers taking a data-driven approach. This paper presents methodological insights from a study sampling and analyzing 300 YouTube videos. The authors reflect on the methodological challenges and propose potential solutions.</w:t>
      </w:r>
    </w:p>
    <w:p>
      <w:pPr/>
      <w:r>
        <w:rPr>
          <w:b/>
        </w:rPr>
        <w:t>POSSIBLE 2023:</w:t>
      </w:r>
      <w:r>
        <w:t xml:space="preserve"> Methodology for Analyzing Qualitative Data in Multiple Languages — https://doi.org/10.1097/nnr.0000000000000673</w:t>
      </w:r>
    </w:p>
    <w:p>
      <w:pPr/>
      <w:r>
        <w:rPr>
          <w:b/>
        </w:rPr>
        <w:t>Shared claim-specific concepts:</w:t>
      </w:r>
      <w:r>
        <w:t xml:space="preserve"> content, methodology, developed; EU scope not established. This is a provisional connection, not an outcome finding.</w:t>
      </w:r>
    </w:p>
    <w:p>
      <w:pPr>
        <w:pStyle w:val="SourceNote"/>
      </w:pPr>
      <w:r>
        <w:rPr>
          <w:b/>
        </w:rPr>
        <w:t>Available abstract (not full text):</w:t>
      </w:r>
      <w:r>
        <w:t xml:space="preserve"> BACKGROUND: Translation strategies are commonly used for qualitative interview data to bridge language barriers. Inconsistent translation of interviews can lead to conceptual inequivalence, where meanings of participants' experiences are distorted, threatening scientific rigor. OBJECTIVES: Our objective is to describe a systematic method developed to analyze multilingual, qualitative interview data while maintaining the original language of the transcripts. METHODS: A literature review of translation strategies, cross-language, and multilingual qualitative research was conducted. Combined with criteria for qualitative content analysis and trustworthiness, the methodology was developed and used for a qualitative descriptive study. RESULTS: The study had interview data in both English and Spanish. The research team consisted of both native Spanish and English speakers, who were grouped based on language. Verbatim transcription of data occurred in the original languages. All codes were kept in English, allowing the research team to view the data set as a whole. Two researchers within each group coded each transcript independently before reaching a consensus. The entire research team discussed all transcripts, and finally, major themes were determined. Participants' quotes remained in the original language for publication, with an English translation included when needed. DISCUSSIO</w:t>
      </w:r>
    </w:p>
    <w:p>
      <w:pPr/>
      <w:r>
        <w:rPr>
          <w:b/>
        </w:rPr>
        <w:t>POSSIBLE 2023:</w:t>
      </w:r>
      <w:r>
        <w:t xml:space="preserve"> Analyzing the capacity to initiate transformative change: a methodology for assessing biodiversity strategies — https://doi.org/10.1007/s10531-023-02660-5</w:t>
      </w:r>
    </w:p>
    <w:p>
      <w:pPr/>
      <w:r>
        <w:rPr>
          <w:b/>
        </w:rPr>
        <w:t>Shared claim-specific concepts:</w:t>
      </w:r>
      <w:r>
        <w:t xml:space="preserve"> methodology, first, dimensions, assessment; EU scope visible. This is a provisional connection, not an outcome finding.</w:t>
      </w:r>
    </w:p>
    <w:p>
      <w:pPr>
        <w:pStyle w:val="SourceNote"/>
      </w:pPr>
      <w:r>
        <w:rPr>
          <w:b/>
        </w:rPr>
        <w:t>Available abstract (not full text):</w:t>
      </w:r>
      <w:r>
        <w:t xml:space="preserve"> Abstract The new IPBES work programme “assessment of transformative change” aims to identify factors in human society—behavioural, social, cultural dimensions, among others—that may be leveraged to bring about transformative change. In this context and based on its scientific recommendations, the third French National Strategy for Biodiversity for 2030 (SNB3), published in 2022, aims to contribute to the implementation of France’s international commitments under the Convention on Biological Diversity and the EU’s Biodiversity Strategy for 2030. We carried out a critical assessment of the capacity of the first version of SNB3 to initiate transformative change. Firstly, we describe a two-step assessment methodology for determining the leverage potential of the strategy’s measures, based on a robust and replicable independent scientific audit and a multi-criteria analysis. Secondly, we present the main results of the assessment using the SNB3 as a case example. We confirm the scientific and practical relevance of this type of exercise for policy makers, for establishing strategies that are part of a transition process allowing for real transformative change in society. By analysing the measures and ranking them from most to least efficient, this study reveals the strengths and weaknesses of the strategy by anticipating what should have and may not have an impact, while highlightin</w:t>
      </w:r>
    </w:p>
    <w:p>
      <w:pPr/>
      <w:r>
        <w:rPr>
          <w:b/>
        </w:rPr>
        <w:t>POSSIBLE 2021:</w:t>
      </w:r>
      <w:r>
        <w:t xml:space="preserve"> METHODOLOGY OF ANALYSIS OF THE CONTENT OF ELECTRONIC MEDIA — https://doi.org/10.32782/2224-6282/176-25</w:t>
      </w:r>
    </w:p>
    <w:p>
      <w:pPr/>
      <w:r>
        <w:rPr>
          <w:b/>
        </w:rPr>
        <w:t>Shared claim-specific concepts:</w:t>
      </w:r>
      <w:r>
        <w:t xml:space="preserve"> content, issues, methodology, first, second; EU scope not established. This is a provisional connection, not an outcome finding.</w:t>
      </w:r>
    </w:p>
    <w:p>
      <w:pPr>
        <w:pStyle w:val="SourceNote"/>
      </w:pPr>
      <w:r>
        <w:rPr>
          <w:b/>
        </w:rPr>
        <w:t>Available abstract (not full text):</w:t>
      </w:r>
      <w:r>
        <w:t xml:space="preserve"> In the conditions of modern information society, the analysis of the flow of media information is of particular importance. Therefore, the issues of content analysis, which is based on the conversion of qualitative data into digital format in order to obtain information processing capabilities using technologies of big-data analytics and artificial intelligence approaches, are especially relevant. This study summarized the views on the use of content analysis and proposed a methodology for analyzing the content of electronic media for targeting and determining preferences for the content of publications. For this purpose, were proposed were proposed a conceptual scheme for conducting content analysis, which consists of 5 stages. The first stage consists of creating and updating a full-text database on a daily basis by automated data collection and retrieval of content from media websites (web scraping). The second stage involves using of modules for determining useful content (parsing) and its subsequent storage in the database. The quantitative analysis stage is especially important when generalization, aggregation of results, or to calculate the frequency of words (frequency analysis), categories, tags and expressions, as well as their joint use in the text. The purpose of qualitative analysis is to reduce the material so that the main content remains. Similarly, qualitative </w:t>
      </w:r>
    </w:p>
    <w:p>
      <w:pPr/>
      <w:r>
        <w:rPr>
          <w:b/>
        </w:rPr>
        <w:t>POSSIBLE 2021:</w:t>
      </w:r>
      <w:r>
        <w:t xml:space="preserve"> Abusive supervision: a content analysis of theory and methodology — https://doi.org/10.1108/cms-01-2021-0017</w:t>
      </w:r>
    </w:p>
    <w:p>
      <w:pPr/>
      <w:r>
        <w:rPr>
          <w:b/>
        </w:rPr>
        <w:t>Shared claim-specific concepts:</w:t>
      </w:r>
      <w:r>
        <w:t xml:space="preserve"> methodological, content, issues, design, methodology, approach; EU scope not established. This is a provisional connection, not an outcome finding.</w:t>
      </w:r>
    </w:p>
    <w:p>
      <w:pPr>
        <w:pStyle w:val="SourceNote"/>
      </w:pPr>
      <w:r>
        <w:rPr>
          <w:b/>
        </w:rPr>
        <w:t>Available abstract (not full text):</w:t>
      </w:r>
      <w:r>
        <w:t xml:space="preserve"> Purpose Despite recent organizational behavior studies have witnessed considerable progress in abusive supervision research; some demerits for both theory and methodology still remain in the past years. To clarify the current state of knowledge in the field, this study aims to analyze the current state of theories and methods on abusive supervision and provides a detailed future research agenda. Design/methodology/approach This paper conducted a literature review for both theory and methodology of the abusive supervision research using a content analysis of 134 publications. Findings For the theory part, this paper summarized the theories that had been applied to explain the relationship between abusive supervision and its consequences as well as antecedents. For the methodology part, this paper outlined some critical issues regarding country of origin, research design, measurement, analysis strategy and also summarized with a discussion of the relationship between methodological issues and article impact. Finally, this paper concluded by presenting an agenda for future abusive supervision research regarding both theory and methodology. Originality/value First, this paper summarizes the main theories, antecedents and consequences often used in abusive supervision research to allow scholars to carry out theoretically driven research investigating abusive supervision in the futur</w:t>
      </w:r>
    </w:p>
    <w:p>
      <w:pPr>
        <w:pStyle w:val="Heading2"/>
      </w:pPr>
      <w:r>
        <w:t>829.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pStyle w:val="Heading2"/>
      </w:pPr>
      <w:r>
        <w:t>830.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2024:</w:t>
      </w:r>
      <w:r>
        <w:t xml:space="preserve"> Evaluation of the European Society of Cardiology Risk Assessment Score in Incident Systemic Sclerosis‐Associated Pulmonary Arterial Hypertension — https://doi.org/10.1002/acr.25328</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OBJECTIVE: Patients with pulmonary arterial hypertension (PAH) may be stratified as low, intermediate, or high risk of 1-year mortality. In 2022, the European Society of Cardiology (ESC) updated and simplified its risk stratification tool, based on three variables: World Health Organization functional class, serum N-terminal pro-brain type natriuretic peptide and six-minute walk distance, applied at follow-up visits, intended to guide therapy over time. METHODS: We applied the 2022 ESC risk assessment tool at baseline and follow-up (within 2 years) to a multinational incident cohort of systemic sclerosis-associated PAH (SSc-PAH). Kaplan-Meier curves, Cox hazards regression, and accelerated failure time models were used to evaluate survival by risk score. RESULTS: At baseline (n = 260), the majority of SSc-PAH (72.2%) were graded as intermediate risk of death according to the 2022 tool. At follow-up, according to 2022 tool, half (55.5%) of the cohort were classified as low or intermediate-low risk. The 2022 risk model at follow-up was able to differentiate survival between risk strata. All three individual parameters (World Health Organization functional class, N-terminal pro-brain type natriuretic peptide, six-minute walk distance) were significantly associated with mortality at baseline and/or follow-up. CONCLUSION: The 2022 ESC risk assessment strategy applied at baseline and</w:t>
      </w:r>
    </w:p>
    <w:p>
      <w:pPr/>
      <w:r>
        <w:rPr>
          <w:b/>
        </w:rPr>
        <w:t>POSSIBLE 2024:</w:t>
      </w:r>
      <w:r>
        <w:t xml:space="preserve"> Multi-level learning for systemic transformation: Experiences from an expedition in North Mid Sweden — https://doi.org/10.1016/j.envsci.2024.103740</w:t>
      </w:r>
    </w:p>
    <w:p>
      <w:pPr/>
      <w:r>
        <w:rPr>
          <w:b/>
        </w:rPr>
        <w:t>Shared claim-specific concepts:</w:t>
      </w:r>
      <w:r>
        <w:t xml:space="preserve"> based, systemic, approach; EU scope visible. This is a provisional connection, not an outcome finding.</w:t>
      </w:r>
    </w:p>
    <w:p>
      <w:pPr>
        <w:pStyle w:val="SourceNote"/>
      </w:pPr>
      <w:r>
        <w:rPr>
          <w:b/>
        </w:rPr>
        <w:t>Available abstract (not full text):</w:t>
      </w:r>
      <w:r>
        <w:t xml:space="preserve"> Learning is often a component, and sometimes an explicit goal, of sustainability transition projects. Despite a growing interest in designing, facilitating, and evaluating such exploratory initiatives with respect to their systemic, less work has focused on how such initiatives support learning and capacity-building among its partaking actors and institutions including building experimental governance capacity. In this paper, we aim to better understand how exploratory and experimental initiatives with transformative sustainability ambitions relate to and influence their partaking actors and institutions. We draw from the North Mid Sweden Challenge Lab, an initiative to adapt, test and learn a governance approach to navigate complex sustainability challenges and transformations. It was part of a high impact action within a pilot for regional industrial transition framed around experiments in governance and policy by the European Commission and Organisation for Economic Co-operation and Development, where peer-learnings by and between regions was stated as an explicit goal. We focus on the kind of learning and knowledge creation processes that occur in these open-ended and multi-levelled social interaction processes. In this paper, we empirically engage with such learning processes with a focus on governance capacity, based on direct experiences from its participating actors and</w:t>
      </w:r>
    </w:p>
    <w:p>
      <w:pPr/>
      <w:r>
        <w:rPr>
          <w:b/>
        </w:rPr>
        <w:t>POSSIBLE 2024:</w:t>
      </w:r>
      <w:r>
        <w:t xml:space="preserve"> Challenges in assessing and managing multi-hazard risks: A European stakeholders perspective — https://doi.org/10.1016/j.envsci.2024.103774</w:t>
      </w:r>
    </w:p>
    <w:p>
      <w:pPr/>
      <w:r>
        <w:rPr>
          <w:b/>
        </w:rPr>
        <w:t>Shared claim-specific concepts:</w:t>
      </w:r>
      <w:r>
        <w:t xml:space="preserve"> based, assessment, guiding, framework; EU scope visible. This is a provisional connection, not an outcome finding.</w:t>
      </w:r>
    </w:p>
    <w:p>
      <w:pPr>
        <w:pStyle w:val="SourceNote"/>
      </w:pPr>
      <w:r>
        <w:rPr>
          <w:b/>
        </w:rPr>
        <w:t>Available abstract (not full text):</w:t>
      </w:r>
      <w:r>
        <w:t xml:space="preserve"> The latest evidence suggests that multi-hazards and their interrelationships (e.g., triggering, compound, and consecutive hazards) are becoming more frequent across Europe, underlying a need for resilience building by moving from single-hazard-focused to multi-hazard risk assessment and management. Although significant advancements were made in our understanding of these events, mainstream practice is still focused on risks due to single hazards (e.g., flooding, earthquakes, droughts), with a limited understanding of the stakeholder needs on the ground. To overcome this limitation, this paper sets out to understand the challenges for moving towards multi-hazard risk management through the perspective of European stakeholders. Based on five workshops across different European pilots (Danube Region, Veneto Region, Scandinavia, North Sea, and Canary Islands) and an expert workshop, we identify five prime challenges: i) governance, ii) knowledge of multi-hazards and multi-risks, iii) existing approaches to disaster risk management, iv) translation of science to policy and practice, and v) lack of data. These challenges are inherently linked and cannot be tackled in isolation with path dependency posing a significant hurdle in transitioning from single- to multi-hazard risk management. Going forward, we identify promising approaches for overcoming some of the challenges, including e</w:t>
      </w:r>
    </w:p>
    <w:p>
      <w:pPr/>
      <w:r>
        <w:rPr>
          <w:b/>
        </w:rPr>
        <w:t>POSSIBLE 2024:</w:t>
      </w:r>
      <w:r>
        <w:t xml:space="preserve"> Identifying entry points for adaptive governance in peri-urban Chennai (India): a multi-dimensional, multi-level, and multi-scalar approach — https://doi.org/10.3389/frsc.2024.1368240</w:t>
      </w:r>
    </w:p>
    <w:p>
      <w:pPr/>
      <w:r>
        <w:rPr>
          <w:b/>
        </w:rPr>
        <w:t>Shared claim-specific concepts:</w:t>
      </w:r>
      <w:r>
        <w:t xml:space="preserve"> based, approach, framework; EU scope not established. This is a provisional connection, not an outcome finding.</w:t>
      </w:r>
    </w:p>
    <w:p>
      <w:pPr>
        <w:pStyle w:val="SourceNote"/>
      </w:pPr>
      <w:r>
        <w:rPr>
          <w:b/>
        </w:rPr>
        <w:t>Available abstract (not full text):</w:t>
      </w:r>
      <w:r>
        <w:t xml:space="preserve"> Governing transitions have assumed increasing significance in managing change with respect to climate change and rapid periurbanization. In this respect, evidence from sustainability transitions research in South Asia stipulates the need for institutional innovations that are suitable to the governance context, which is characterized by a fuzzy field of “speculative frontiers,” and strong hierarchically structured mechanisms. This paper focuses on Chennai, India to ascertain the potentials of “adaptive governance” in this periurban region of the Global South. We approach this by (a) defining the periurban space from a bio-regional, socio-ecological systems perspective, (b) complementing it with a zonal classification considering disaster and climate change risks, and (c) presenting an adaptive governance framework. Based on analyzing existing governance structures, the paper discusses identified syndromes, synergistic potentials and activities for adaptive governance, especially highlighting water and agroecology-related pathways. Our integrated analytical approach is (a) multi-dimensional deploying the adaptive governance framework, (b) multi-level considering local, intermediate and state governance, and (c) multi-scalar applying macro, meso and micro scales. The implications underscore that transformative interventions, sooner or later, will have to challenge the system that</w:t>
      </w:r>
    </w:p>
    <w:p>
      <w:pPr/>
      <w:r>
        <w:rPr>
          <w:b/>
        </w:rPr>
        <w:t>POSSIBLE 2023:</w:t>
      </w:r>
      <w:r>
        <w:t xml:space="preserve"> Conceptual models of drought risks for Europe: a step towards a systemic perspective on drought — https://doi.org/10.5194/egusphere-egu23-7991</w:t>
      </w:r>
    </w:p>
    <w:p>
      <w:pPr/>
      <w:r>
        <w:rPr>
          <w:b/>
        </w:rPr>
        <w:t>Shared claim-specific concepts:</w:t>
      </w:r>
      <w:r>
        <w:t xml:space="preserve"> based, systemic, assessment, factors; EU scope visible. This is a provisional connection, not an outcome finding.</w:t>
      </w:r>
    </w:p>
    <w:p>
      <w:pPr>
        <w:pStyle w:val="SourceNote"/>
      </w:pPr>
      <w:r>
        <w:rPr>
          <w:b/>
        </w:rPr>
        <w:t>Available abstract (not full text):</w:t>
      </w:r>
      <w:r>
        <w:t xml:space="preserve"> In recent years, research on drought risk has expanded to include multiple types of drought hazards, various exposed elements and a multitude of factors that determine the vulnerability of a given system or sector. This has resulted in a call from the scientific community to adopt a systemic risk perspective on drought. However, a thorough understanding of how drought risks manifest, cascade and interact across different systems and sectors is still lacking, and methodological guidance on how to analyse and represent these interdependencies does not yet exist. In order to explore these gaps, we have developed conceptual models of drought risks for key selected systems and sectors in the European Union. For each system and sector considered (rain fed and irrigated agricultural systems, forest ecosystems, freshwater ecosystems, public water supply, inland water transport and the energy sector), a conceptual model was constructed to depict how drivers and root causes interact to create drought risk. The models are based on the impact chains methodology and are informed by literature review and multiple expert consultations (including a series of validation workshops). Subsequently, the system-specific models were used to build an overarching conceptual model of the critical interdependencies that exist between all the systems and sectors considered. The analysis has revealed that,</w:t>
      </w:r>
    </w:p>
    <w:p>
      <w:pPr/>
      <w:r>
        <w:rPr>
          <w:b/>
        </w:rPr>
        <w:t>POSSIBLE 2023:</w:t>
      </w:r>
      <w:r>
        <w:t xml:space="preserve"> Toward a framework for systemic multi-hazard and multi-risk assessment and management — https://doi.org/10.1016/j.isci.2023.106736</w:t>
      </w:r>
    </w:p>
    <w:p>
      <w:pPr/>
      <w:r>
        <w:rPr>
          <w:b/>
        </w:rPr>
        <w:t>Shared claim-specific concepts:</w:t>
      </w:r>
      <w:r>
        <w:t xml:space="preserve"> systemic, assessment, framework; EU scope not established. This is a provisional connection, not an outcome finding.</w:t>
      </w:r>
    </w:p>
    <w:p>
      <w:pPr>
        <w:pStyle w:val="SourceNote"/>
      </w:pPr>
      <w:r>
        <w:rPr>
          <w:b/>
        </w:rPr>
        <w:t>Available abstract (not full text):</w:t>
      </w:r>
      <w:r>
        <w:t xml:space="preserve"> In our increasingly interconnected world, natural hazards and their impacts spread across geographical, administrative, and sectoral boundaries. Owing to the interrelationships between multi-hazards and socio-economic dimensions, the impacts of these types of events can surmount those of multiple single hazards. The complexities involved in tackling multi-hazards and multi-risks hinder a more holistic and integrative perspective and make it difficult to identify overarching dimensions important for assessment and management purposes. We contribute to this discussion by building on systemic risk research, especially the focus on interconnectedness, and suggest ways forward for an integrated multi-hazard and multi-risk framework that should be beneficial in real-world applications. In this article, we propose a six-step framework for analyzing and managing risk across a spectrum ranging from single-to multi- and systemic risk.</w:t>
      </w:r>
    </w:p>
    <w:p>
      <w:pPr/>
      <w:r>
        <w:rPr>
          <w:b/>
        </w:rPr>
        <w:t>POSSIBLE 2021:</w:t>
      </w:r>
      <w:r>
        <w:t xml:space="preserve"> You’ll never work alone: A systemic assessment of the European Arrest Warrant and judicial independence — https://doi.org/10.54648/cola2021047</w:t>
      </w:r>
    </w:p>
    <w:p>
      <w:pPr/>
      <w:r>
        <w:rPr>
          <w:b/>
        </w:rPr>
        <w:t>Shared claim-specific concepts:</w:t>
      </w:r>
      <w:r>
        <w:t xml:space="preserve"> based, systemic, assessment, framework; EU scope visible. This is a provisional connection, not an outcome finding.</w:t>
      </w:r>
    </w:p>
    <w:p>
      <w:pPr>
        <w:pStyle w:val="SourceNote"/>
      </w:pPr>
      <w:r>
        <w:rPr>
          <w:b/>
        </w:rPr>
        <w:t>Available abstract (not full text):</w:t>
      </w:r>
      <w:r>
        <w:t xml:space="preserve"> The adage is that the European Arrest Warrant (EAW) is built on the principle of mutual trust: the presumption that Member States comply with fundamental rights save in exceptional circumstances. However, the very existence of the EAW rests on the proper interpretation and application of fundamental rights standards, and on sincere cooperation between judicial authorities.With that in mind, the present article gives a systemic analysis of the EAW. After outlining the key features of its functioning, the paper discusses the system of exceptions to surrender: mandatory and optional grounds for refusal in the EAW Framework Decision (FD), the fundamental rights exception, and cases of invalidity. As the EAW is based on automaticity, the exceptions define the traits of its identity. The article’s conclusions reveal the importance of sincere cooperation to strengthen mutual trust, with judicial independence as an essential precondition. The article’s comprehensive assessment offers an original contribution to the debate about judicial independence in EU law, the operation of the EAW and its role in the wider context of the Union as a legal order.</w:t>
      </w:r>
    </w:p>
    <w:p>
      <w:pPr/>
      <w:r>
        <w:rPr>
          <w:b/>
        </w:rPr>
        <w:t>POSSIBLE 2021:</w:t>
      </w:r>
      <w:r>
        <w:t xml:space="preserve"> Multi-Actor Governance for a Circular Economy in the Agri-Food Sector: Bio-Districts — https://doi.org/10.3390/su13094718</w:t>
      </w:r>
    </w:p>
    <w:p>
      <w:pPr/>
      <w:r>
        <w:rPr>
          <w:b/>
        </w:rPr>
        <w:t>Shared claim-specific concepts:</w:t>
      </w:r>
      <w:r>
        <w:t xml:space="preserve"> multi-actor, approach, factors, principles; EU scope visible. This is a provisional connection, not an outcome finding.</w:t>
      </w:r>
    </w:p>
    <w:p>
      <w:pPr>
        <w:pStyle w:val="SourceNote"/>
      </w:pPr>
      <w:r>
        <w:rPr>
          <w:b/>
        </w:rPr>
        <w:t>Available abstract (not full text):</w:t>
      </w:r>
      <w:r>
        <w:t xml:space="preserve"> The transition of the European agri-food sector towards a sustainable production and consumption model is a key element of the Green Deal. The new European “Farm to Fork” strategy aims to make the food system fair, healthy, and environmentally friendly. The consolidation and development of the organic model are two of the main objectives. In Italy, this development can be achieved through the Bio-District model. This model, which was born in the last ten years in Italy, is characterized by innovative multi-actor governance. From an explorative perspective, this study analyses the background literature on Bio-Districts and the context of the development of the Etruscan Roman Bio-District to understand the potential and the factors that allow the application of the principles of the Circular Economy. It focuses on multiple comparative analyses by using a qualitative–quantitative approach. The analysis of the context highlights the potential for expansion linked to an integrated short supply chain through three scenarios.</w:t>
      </w:r>
    </w:p>
    <w:p>
      <w:pPr>
        <w:pStyle w:val="Heading2"/>
      </w:pPr>
      <w:r>
        <w:t>831.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2024:</w:t>
      </w:r>
      <w:r>
        <w:t xml:space="preserve"> INDUSTRIAL TOURISM OF ORENBURG REGION: BACKGROUND OF DEVELOPMENT AND MAIN CENTERS — https://doi.org/10.34660/inf.2019.18.38833</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这些会议文集结合了会议的材料 -研究论文和科学工作 者的论文报告。 它考察了职业化人格的技术和社会学问题。 一些文章涉及人格职业化研究问题的理论和方法论方法和原 则。 作者对所引用的出版物，事实，数字，引用，统计数据，专 有名称和其他信息的准确性负责 These Conference Proceedings combine materials of the conference -research papers and thesis reports of scientific workers.They examines tecnical and sociological issues of research issues.Some articles deal with theoretical and methodological approaches and principles of research questions of personality professionalization.Authors are responsible for the accuracy of cited publications, facts, figures, quotations, statistics, proper names and other information.</w:t>
      </w:r>
    </w:p>
    <w:p>
      <w:pPr/>
      <w:r>
        <w:rPr>
          <w:b/>
        </w:rPr>
        <w:t>POSSIBLE 2023:</w:t>
      </w:r>
      <w:r>
        <w:t xml:space="preserve"> Predictive factors of long‐term follow‐up attendance in very long‐term childhood cancer survivors — https://doi.org/10.1002/cncr.34944</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Long-term follow-up (LTFU) clinics have been developed but only some childhood cancer survivors (CCS) attend long-term follow-up (LTFU). OBJECTIVE: To identify factors that influence LTFU attendance. METHODS: Five-year CCS treated for a solid tumor or lymphoma in Gustave Roussy before 2000, included in the FCCSS cohort (French Childhood Cancer Survivor Study), aged &gt;18 years and alive at the date of the LTFU Clinic opening (January 2012) were invited to a LTFU visit. Factors associated with attendance at the LTFU clinic between 2012 and 2020 were estimated using logistic regression analyses. Analyses included different types of factors: clinical (tumor characteristics, cancer treatments, late effects), medical (medical expenses were used as a proxy of survivor's health status), social (deprivation index based on census-tract data relating to income, educational level, proportion of blue-collar workers, and unemployed people living in the area of residence), and spatial (distance to the LTFU clinic). RESULTS: Among 2341 CCS contacted (55% males, mean age at study, 45 years; SD ± 10 years; mean age at diagnosis, 6 years; SD ± 5 years), 779 (33%) attended at least one LTFU visit. Initial cancer-related factors associated with LTFU visit attendance were: treatment with both radiotherapy and chemotherapy (odds ratio [OR], 4.02; 95% CI, 2.11-7.70), bone sarcoma (OR, 2.43;</w:t>
      </w:r>
    </w:p>
    <w:p>
      <w:pPr/>
      <w:r>
        <w:rPr>
          <w:b/>
        </w:rPr>
        <w:t>POSSIBLE 2022:</w:t>
      </w:r>
      <w:r>
        <w:t xml:space="preserve"> Long-Term Effects in Structures: background and recent developments — https://doi.org/10.21203/rs.3.rs-2009060/v1</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Abstract The article presents overview of selected long-term effects in civil-engineering structures. Those effects are usually neglected in standard engineering practice, but in some cases can be very important for mechanical resistance and safety of the structures. Main aspects of these phenomena are discussed, with three illustrative examples which accentuated why is important to take them into account.</w:t>
      </w:r>
    </w:p>
    <w:p>
      <w:pPr/>
      <w:r>
        <w:rPr>
          <w:b/>
        </w:rPr>
        <w:t>POSSIBLE 2022:</w:t>
      </w:r>
      <w:r>
        <w:t xml:space="preserve"> Active methodologies and ICT to prevent bullying. Main study background and contributions — https://doi.org/10.46661/ijeri.5222</w:t>
      </w:r>
    </w:p>
    <w:p>
      <w:pPr/>
      <w:r>
        <w:rPr>
          <w:b/>
        </w:rPr>
        <w:t>Shared claim-specific concepts:</w:t>
      </w:r>
      <w:r>
        <w:t xml:space="preserve"> gives, background, main, world; EU scope not established. This is a provisional connection, not an outcome finding.</w:t>
      </w:r>
    </w:p>
    <w:p>
      <w:pPr>
        <w:pStyle w:val="SourceNote"/>
      </w:pPr>
      <w:r>
        <w:rPr>
          <w:b/>
        </w:rPr>
        <w:t>Available abstract (not full text):</w:t>
      </w:r>
      <w:r>
        <w:t xml:space="preserve"> Bullying is a widespread problem that has caused great social alarm in recent years because of its serious effects on children. In the educational context it is one of the most common expressions of peer violence along with cyber-bullying. The aim of this research has been to analyse the scientific production about the prevention of school bullying through active methodologies and the use of ICTs in formal educational contexts. This study derives from a research project financed through the Ministry of Science, Innovation and Universities (FPU18/00676) and is the result of a bibliometric study, in which various current articles have been analysed through the application of different indicators. The results show that scientific productivity on this subject has proliferated in recent years, which gives a glimpse of the relevance given to these issues in the scientific community. Among the conclusions of this work, the advantages of the use of gamification and the use of digital applications such as Kahoot or digital comics, which allow students to simulate experiences that would occur in the real world in order to develop new skills, critical self-reflection and greater awareness of the problem, should be highlighted. In the same way, it is essential that teachers, through the use of these teaching strategies, promote the students' protagonism, their expectations towards learning</w:t>
      </w:r>
    </w:p>
    <w:p>
      <w:pPr/>
      <w:r>
        <w:rPr>
          <w:b/>
        </w:rPr>
        <w:t>POSSIBLE 2022:</w:t>
      </w:r>
      <w:r>
        <w:t xml:space="preserve"> Background* — https://doi.org/10.4324/9781003343653-2</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Methods of personality screening based on psychological tests arose in part from the attempt to exclude from combat those who might break down under its most severe stresses; the measurement of motivation was allied to the selection of suitable persons for promotion; the development of role theory to the need for an impersonal system of command and obedience. From the early 1950s onwards the systematic study of values began to gain momentum. To a few theorists it appeared, indeed, that insight into values might be the fundamental key to the understanding of human behaviour. In the natural sciences there have been two main views about the function of models. For positivists they serve simply as heuristic aids, and that is the end of matter. Realists, on the other hand, give them a more substantial function. In the social sciences, however, the function of models is more problematic. Even an approximate ‘fit’ between theory and fact is much harder to obtain.</w:t>
      </w:r>
    </w:p>
    <w:p>
      <w:pPr/>
      <w:r>
        <w:rPr>
          <w:b/>
        </w:rPr>
        <w:t>POSSIBLE 2020:</w:t>
      </w:r>
      <w:r>
        <w:t xml:space="preserve"> Adapting the Multilingual Assessment Instrument for Narratives (MAIN) to Torwali — https://doi.org/10.21248/zaspil.64.2020.583</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Torwali, a Dardic language of the Indo-Aryan family spoken in the District Swat in Pakistan, is an endangered language that lacks a literary tradition. This paper gives a background on the Torwali language and people, and describes the development of an orthography for Torwali and the establishment of Torwali-medium schools by the local organization Idara Baraye Taleem-o-Taraqi ‘institute for education and development’ (IBT). Finally, the process of adapting the Multilingual Assessment Instruments for Narratives (MAIN) to Torwali is outlined.</w:t>
      </w:r>
    </w:p>
    <w:p>
      <w:pPr/>
      <w:r>
        <w:rPr>
          <w:b/>
        </w:rPr>
        <w:t>POSSIBLE 2020:</w:t>
      </w:r>
      <w:r>
        <w:t xml:space="preserve"> Digital transformation: theoretical backgrounds of digital change — https://doi.org/10.15611/ms.2019.4.05</w:t>
      </w:r>
    </w:p>
    <w:p>
      <w:pPr/>
      <w:r>
        <w:rPr>
          <w:b/>
        </w:rPr>
        <w:t>Shared claim-specific concepts:</w:t>
      </w:r>
      <w:r>
        <w:t xml:space="preserve"> gives, background, main, trends, world; EU scope not established. This is a provisional connection, not an outcome finding.</w:t>
      </w:r>
    </w:p>
    <w:p>
      <w:pPr>
        <w:pStyle w:val="SourceNote"/>
      </w:pPr>
      <w:r>
        <w:rPr>
          <w:b/>
        </w:rPr>
        <w:t>Available abstract (not full text):</w:t>
      </w:r>
      <w:r>
        <w:t xml:space="preserve"> The purpose of this paper is a review of the existing deﬁnitions of digital transformation (abbrev. DT) and to structure its implications for new business models and implementation activities. This article was inspired by literature review whose main aim was to provide insight into the understanding of the theoretical background of digital transformation by means of the digitization and current megatrends in the VUCA world. The author gives examples, completes the literature research and shows the theoretical aspects of concepts, as well briefly analyzes the trends concerning DT. The article starts from definitions of DT, through digital readiness, to efficiency in the DT area. The main findings are that the approach for the structured digitization of business models is expanding, several excellence models have been developed over the past few years, and the implementation model for DT becomes a widely known concept. The author offers a clear deﬁnition, which corresponds to phases for DT of business models using a Digital Capability Maturity Models overview. Moreover, this paper is the author’s declaration of further DT’s research in its practical dimension</w:t>
      </w:r>
    </w:p>
    <w:p>
      <w:pPr/>
      <w:r>
        <w:rPr>
          <w:b/>
        </w:rPr>
        <w:t>POSSIBLE 2020:</w:t>
      </w:r>
      <w:r>
        <w:t xml:space="preserve"> Theoretical background — https://doi.org/10.4324/9781003018353-2</w:t>
      </w:r>
    </w:p>
    <w:p>
      <w:pPr/>
      <w:r>
        <w:rPr>
          <w:b/>
        </w:rPr>
        <w:t>Shared claim-specific concepts:</w:t>
      </w:r>
      <w:r>
        <w:t xml:space="preserve"> gives, background, main, factors; EU scope visible. This is a provisional connection, not an outcome finding.</w:t>
      </w:r>
    </w:p>
    <w:p>
      <w:pPr>
        <w:pStyle w:val="SourceNote"/>
      </w:pPr>
      <w:r>
        <w:rPr>
          <w:b/>
        </w:rPr>
        <w:t>Available abstract (not full text):</w:t>
      </w:r>
      <w:r>
        <w:t xml:space="preserve"> This chapter gives an overview of the main literature used to form the theoretical background of this book. Being a small state, Lithuania is guided by a foreign policy that is characteristic to this category of states. The typical security and foreign policy strategies of small states discussed in this chapter will later serve to analyse the extent to which Lithuania’s foreign policy has conformed to the typical role of small states in international politics. Also discussed are the classic and modern dilemmas of structure and agent in international politics. These concepts help us to understand the role of the agent (President Grybauskaitė) and the opportunities to operate in the international system. Finally, this chapter examines the importance of leaders in international politics. The psychological factors and the behaviour of political leaders are embedded in foreign policy analysis, as it can assist in clarifying why certain agents make particular decisions, and how that may change a state’s foreign policy course and even international structures.</w:t>
      </w:r>
    </w:p>
    <w:p>
      <w:pPr/>
      <w:r>
        <w:rPr>
          <w:b/>
        </w:rPr>
        <w:t>POSSIBLE 2020:</w:t>
      </w:r>
      <w:r>
        <w:t xml:space="preserve"> Long-Term Characterization of Submicron Atmospheric Particles in an Urban Background Site in Southern Italy — https://doi.org/10.3390/atmos11040334</w:t>
      </w:r>
    </w:p>
    <w:p>
      <w:pPr/>
      <w:r>
        <w:rPr>
          <w:b/>
        </w:rPr>
        <w:t>Shared claim-specific concepts:</w:t>
      </w:r>
      <w:r>
        <w:t xml:space="preserve"> background, main, trends, long-term; EU scope visible. This is a provisional connection, not an outcome finding.</w:t>
      </w:r>
    </w:p>
    <w:p>
      <w:pPr>
        <w:pStyle w:val="SourceNote"/>
      </w:pPr>
      <w:r>
        <w:rPr>
          <w:b/>
        </w:rPr>
        <w:t>Available abstract (not full text):</w:t>
      </w:r>
      <w:r>
        <w:t xml:space="preserve"> Continuous measurements of particle number size distributions in the size range from 10 nm to 800 nm were performed from 2015 to 2019 at the ECO Environmental-Climate Observatory of Lecce (Global Atmosphere Watch Programme/Aerosol, Clouds and Trace Gases Research Infrastructure (GAW/ACTRIS) regional station). The main objectives of this work were to investigate the daily, weekly and seasonal trends of particle number concentrations and their dependence on meteorological parameters gathering information on potential sources. The highest total number concentrations were observed during autumn-winter with average values nearly twice as high as in summer. More than 52% of total particle number concentration consisted of Aitken mode (20 nm &lt; particle diameter (Dp) &lt; 100 nm) particles followed by accumulation (100 nm &lt; Dp &lt; 800 nm) and nucleation (10 nm &lt; Dp &lt; 20 nm) modes representing, respectively, 27% and 21% of particles. The total number concentration was usually significantly higher during workdays than during weekends/holidays in all years, showing a trend likely correlated with local traffic activities. The number concentration of each particle mode showed a characteristic daily variation that was different in cold and warm seasons. The highest concentrations of the Aitken and accumulation particle mode were observed in the morning and the late evening, during typical rush ho</w:t>
      </w:r>
    </w:p>
    <w:p>
      <w:pPr/>
      <w:r>
        <w:rPr>
          <w:b/>
        </w:rPr>
        <w:t>POSSIBLE 2020:</w:t>
      </w:r>
      <w:r>
        <w:t xml:space="preserve"> Downscaling of Long-Term Global Scenarios to Regions with a Forest Sector Model — https://doi.org/10.3390/f11050500</w:t>
      </w:r>
    </w:p>
    <w:p>
      <w:pPr/>
      <w:r>
        <w:rPr>
          <w:b/>
        </w:rPr>
        <w:t>Shared claim-specific concepts:</w:t>
      </w:r>
      <w:r>
        <w:t xml:space="preserve"> background, factors, long-term, national; EU scope not established. This is a provisional connection, not an outcome finding.</w:t>
      </w:r>
    </w:p>
    <w:p>
      <w:pPr>
        <w:pStyle w:val="SourceNote"/>
      </w:pPr>
      <w:r>
        <w:rPr>
          <w:b/>
        </w:rPr>
        <w:t>Available abstract (not full text):</w:t>
      </w:r>
      <w:r>
        <w:t xml:space="preserve"> Research Highlights: Long-term global scenarios give insights on how social and economic developments and international agreements may impact land use, trade, product markets, and carbon balances. They form a valuable basis for forming national forest policies. Many aspects related to long-term management of forests and consequences for biodiversity and ecosystem services can only be addressed at regional and landscape levels. In order to be attended to in the policy process, there is a need for a method that downscales national scenarios to these finer levels. Background and Objectives: Regional framework conditions depend on management activities in the country as a whole. The aim of this study is to evaluate the use of a forest sector model (FSM) as a method for downscaling national scenarios results to regional level. The national FSM takes the global scenario data (e.g., harvest level and market prices over time) and solves the national problem. The result for the region of interest is taken as framework conditions for the regional study. Materials and Methods: Two different specifications are tested. One lets product volumes and prices represent endogenous variables in the FSM model. The other takes volumes and prices from the global scenario as exogenous parameters. The first specification attains a maximum net social payoff whereas the second specification means that ne</w:t>
      </w:r>
    </w:p>
    <w:p>
      <w:pPr>
        <w:pStyle w:val="Heading2"/>
      </w:pPr>
      <w:r>
        <w:t>832.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crucial, current;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2022:</w:t>
      </w:r>
      <w:r>
        <w:t xml:space="preserve"> Unsettling the Coloniality of Foresight — https://doi.org/10.4324/9781003199816-10</w:t>
      </w:r>
    </w:p>
    <w:p>
      <w:pPr/>
      <w:r>
        <w:rPr>
          <w:b/>
        </w:rPr>
        <w:t>Shared claim-specific concepts:</w:t>
      </w:r>
      <w:r>
        <w:t xml:space="preserve"> foresight, designed, systems; EU scope not established. This is a provisional connection, not an outcome finding.</w:t>
      </w:r>
    </w:p>
    <w:p>
      <w:pPr>
        <w:pStyle w:val="SourceNote"/>
      </w:pPr>
      <w:r>
        <w:rPr>
          <w:b/>
        </w:rPr>
        <w:t>Available abstract (not full text):</w:t>
      </w:r>
      <w:r>
        <w:t xml:space="preserve"> The practice of foresight is not neutral. It is conditioned by society’s cultural values, its economic systems, and its capacity for collective imagination. Pursuing rigid frames of progress forces people to bend their choices, their perspectives, and their sense of selves to fit those rigid frames, and therefore reduce the breadth of their collective humanity to templates that are designed and understood by a privileged few. This chapter discusses the practice of decoloniality in foresight that interrogates and repairs the deep systemic levels of oppressions that have marginalised and minoritised so many. It requires a consideration of justice in the governance of futures so that we are not locking those that are excluded from these conversations into future indebtedness or inequity. It ensures the responsibilities of intended and unintended consequences of actions in the short and long term are embedded in design, decision-making and governance processes.</w:t>
      </w:r>
    </w:p>
    <w:p>
      <w:pPr/>
      <w:r>
        <w:rPr>
          <w:b/>
        </w:rPr>
        <w:t>POSSIBLE 2022:</w:t>
      </w:r>
      <w:r>
        <w:t xml:space="preserve"> Analysis and foresight of the European Union - Mercosur Association Agreement — https://doi.org/10.33960/issn-e.1885-9119.dtff04en</w:t>
      </w:r>
    </w:p>
    <w:p>
      <w:pPr/>
      <w:r>
        <w:rPr>
          <w:b/>
        </w:rPr>
        <w:t>Shared claim-specific concepts:</w:t>
      </w:r>
      <w:r>
        <w:t xml:space="preserve"> foresight, following, current; EU scope visible. This is a provisional connection, not an outcome finding.</w:t>
      </w:r>
    </w:p>
    <w:p>
      <w:pPr>
        <w:pStyle w:val="SourceNote"/>
      </w:pPr>
      <w:r>
        <w:rPr>
          <w:b/>
        </w:rPr>
        <w:t>Available abstract (not full text):</w:t>
      </w:r>
      <w:r>
        <w:t xml:space="preserve"> After a negotiation that has been ongoing for more than two decades, the “agreement in principle” between the European Union and Mercosur regarding the trade pillar, announced in June 2019, has not been confirmed. Moreover, in the current context, the perspectives that are outlined in both blocks are not auspicious, for various reasons that are analyzed. In this context, the text will analyzes the following points: i) in the absence of a specific Treaty in progress of application, it informs about the negotiations of the trade pillar, its current status, the contents of the principle of agreement signed in 2019, the possibilities of closure and ratification by the two parties and the main expected impacts; ii) the potential implications of this agreement for both the European Union and Mercosur, in particular with regard to its foreseeable consequences for the strategic autonomy of both regions and for the strengthening of multilateralism at present; and iii) the expected impacts of the COVID-19 pandemic and the eventual contribution of this Association Agreement in the new scenarios. The text closes with a brief overview.</w:t>
      </w:r>
    </w:p>
    <w:p>
      <w:pPr/>
      <w:r>
        <w:rPr>
          <w:b/>
        </w:rPr>
        <w:t>POSSIBLE 2022:</w:t>
      </w:r>
      <w:r>
        <w:t xml:space="preserve"> Emerging smart city, transport and energy trends in urban settings: Results of a pan-European foresight exercise with 120 experts — https://doi.org/10.1016/j.techfore.2022.121915</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Forecasting future trends constitutes a key process for supporting urban and territorial policy making in general. In this work, we explore how the domains of smart cities, smart transport, and smart energy will evolve until 2030 from a scientific and technological perspective, as a means to inform future policies for urban development in Europe. We started our work with an extensive review of recent and relevant research, covering policy and market reports, scientific journal articles, and other scientific publications. Then, a two-round Delphi survey with 120 field experts was conducted to assess the plausibility of the literature review findings to materialize until 2030.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 This work provides significant added value in supporting territorial policymakers' and stakeholders' decision making under uncertainty, as well as in designing highly relevant research agendas, attuned to contemporary and emerging trends.</w:t>
      </w:r>
    </w:p>
    <w:p>
      <w:pPr/>
      <w:r>
        <w:rPr>
          <w:b/>
        </w:rPr>
        <w:t>POSSIBLE 2021:</w:t>
      </w:r>
      <w:r>
        <w:t xml:space="preserve"> Networked foresight — https://doi.org/10.25932/publishup-50385</w:t>
      </w:r>
    </w:p>
    <w:p>
      <w:pPr/>
      <w:r>
        <w:rPr>
          <w:b/>
        </w:rPr>
        <w:t>Shared claim-specific concepts:</w:t>
      </w:r>
      <w:r>
        <w:t xml:space="preserve"> foresight, designed, based, systems; EU scope visible. This is a provisional connection, not an outcome finding.</w:t>
      </w:r>
    </w:p>
    <w:p>
      <w:pPr>
        <w:pStyle w:val="SourceNote"/>
      </w:pPr>
      <w:r>
        <w:rPr>
          <w:b/>
        </w:rPr>
        <w:t>Available abstract (not full text):</w:t>
      </w:r>
      <w:r>
        <w:t xml:space="preserve"> The goal of this dissertation is to contribute to the corporate foresight research field by investigating capabilities, practices, and challenges particularly in the context of interorganizational settings and networked organizations informed by the theoretical perspectives of the relational view and dynamic capabilities. Firms are facing an increasingly complex environment and highly complex product and service landscapes that often require multiple organizations to collaborate for innovation and offerings. Public-private partnerships that are targeted at supporting this have been introduced by policy-makers in the recent past. One example for such a partnership is the European Institute of Innovation and Technology (EIT) with multiple Knowledge and Innovation Communities (KICs). The EIT has been initiated by the European Commission in 2008 with the ambition of addressing grand societal challenges, driving innovativeness of European companies, and supporting systemic change. The resulting network organizations are managed similarly to corporations with managers, boards, and firm-like governance structures. EIT Digital as one of the EIT KICs are a central case of this work. Research in this dissertation was based on the expectation that corporate foresight activities will increasingly be embedded in such interorganizational settings and a) can draw on such settings for the bene</w:t>
      </w:r>
    </w:p>
    <w:p>
      <w:pPr/>
      <w:r>
        <w:rPr>
          <w:b/>
        </w:rPr>
        <w:t>POSSIBLE 2021:</w:t>
      </w:r>
      <w:r>
        <w:t xml:space="preserve"> Collective foresight and intelligence for sustainability — https://doi.org/10.1017/sus.2021.3</w:t>
      </w:r>
    </w:p>
    <w:p>
      <w:pPr/>
      <w:r>
        <w:rPr>
          <w:b/>
        </w:rPr>
        <w:t>Shared claim-specific concepts:</w:t>
      </w:r>
      <w:r>
        <w:t xml:space="preserve"> foresight, following, five, drivers; EU scope not established. This is a provisional connection, not an outcome finding.</w:t>
      </w:r>
    </w:p>
    <w:p>
      <w:pPr>
        <w:pStyle w:val="SourceNote"/>
      </w:pPr>
      <w:r>
        <w:rPr>
          <w:b/>
        </w:rPr>
        <w:t>Available abstract (not full text):</w:t>
      </w:r>
      <w:r>
        <w:t xml:space="preserve"> Non-technical summary Charting robust pathways towards more sustainable futures that ‘leave no one behind’ requires that diverse communities engage in collective foresight and intelligence exercises to better understand global systemic challenges, anticipate the emerging risks and opportunities that disruptions present, and share perspectives on how to respond and inform decision-making. We report on the recent use of an international rapid foresight survey to assess expected societal trends over the next 3 years following the COVID-19 crisis. The results illustrate the power of collective foresight approaches to provide timely, nuanced insights for decision-making across sectors and scales, particularly in times of uncertainty. Technical summary We present the findings of a rapid foresight survey launched in spring 2020 to draw on the collective intelligence of the global community on where the world is headed post-COVID-19. Respondents were asked to (i) assess five key societal trends in the coming 3 years, (ii) provide news headlines they both expect and hope to see, and (iii) assess the role of digital technologies during crises. Analysis of over 2000 responses from more than 90 countries revealed important regional differences in expected societal trends related to sustainability. More respondents in the Global South expected shifts towards less inequality while more respo</w:t>
      </w:r>
    </w:p>
    <w:p>
      <w:pPr/>
      <w:r>
        <w:rPr>
          <w:b/>
        </w:rPr>
        <w:t>POSSIBLE 2020:</w:t>
      </w:r>
      <w:r>
        <w:t xml:space="preserve"> Foresight for Career Development — https://doi.org/10.17323/2500-2597.2020.2.88.104</w:t>
      </w:r>
    </w:p>
    <w:p>
      <w:pPr/>
      <w:r>
        <w:rPr>
          <w:b/>
        </w:rPr>
        <w:t>Shared claim-specific concepts:</w:t>
      </w:r>
      <w:r>
        <w:t xml:space="preserve"> foresight, current; EU scope visible. This is a provisional connection, not an outcome finding.</w:t>
      </w:r>
    </w:p>
    <w:p>
      <w:pPr>
        <w:pStyle w:val="SourceNote"/>
      </w:pPr>
      <w:r>
        <w:rPr>
          <w:b/>
        </w:rPr>
        <w:t>Available abstract (not full text):</w:t>
      </w:r>
      <w:r>
        <w:t xml:space="preserve"> Career planning and development becomes a process of managing learning, experience and change in order to achieve a personally determined, preferred professional future. In the context of dynamic social, economic and technological changes, the role of career counselling services increases, although their character also evolves. New competences and abilities to use innovative tools that enable effective processes of creating career visions in a systemic manner are expected. In this context the adaptation of Futures Studies to both practice and education of career counselling seems to be an interesting prospect. Exploring the future not only develops individual planning and adaptation skills, but also allows detecting and identifying upcoming trends. It means the ability to adapt to new conditions, or proactive creation of the future, in a way that is favourable. The aim of the article is to present comprehensive methodology and the results of a nationwide survey conducted in Poland among practitioners in the field of career counselling. The scope of the study included exploring the potential of foresight methodology and future studies application for education and practice in the field of career counselling. The main focus of the research to examine the current quality and scope of education offer for career counsellors by the disconfirmation between the ideal features of the co</w:t>
      </w:r>
    </w:p>
    <w:p>
      <w:pPr/>
      <w:r>
        <w:rPr>
          <w:b/>
        </w:rPr>
        <w:t>POSSIBLE 2020:</w:t>
      </w:r>
      <w:r>
        <w:t xml:space="preserve"> Decolonial AI: Decolonial Theory as Sociotechnical Foresight in Artificial Intelligence — https://doi.org/10.1007/s13347-020-00405-8</w:t>
      </w:r>
    </w:p>
    <w:p>
      <w:pPr/>
      <w:r>
        <w:rPr>
          <w:b/>
        </w:rPr>
        <w:t>Shared claim-specific concepts:</w:t>
      </w:r>
      <w:r>
        <w:t xml:space="preserve"> foresight, systems; EU scope not established. This is a provisional connection, not an outcome finding.</w:t>
      </w:r>
    </w:p>
    <w:p>
      <w:pPr>
        <w:pStyle w:val="SourceNote"/>
      </w:pPr>
      <w:r>
        <w:rPr>
          <w:b/>
        </w:rPr>
        <w:t>Available abstract (not full text):</w:t>
      </w:r>
      <w:r>
        <w:t xml:space="preserve"> Abstract This paper explores the important role of critical science, and in particular of post-colonial and decolonial theories, in understanding and shaping the ongoing advances in artificial intelligence. Artificial intelligence (AI) is viewed as amongst the technological advances that will reshape modern societies and their relations. While the design and deployment of systems that continually adapt holds the promise of far-reaching positive change, they simultaneously pose significant risks, especially to already vulnerable peoples. Values and power are central to this discussion. Decolonial theories use historical hindsight to explain patterns of power that shape our intellectual, political, economic, and social world. By embedding a decolonial critical approach within its technical practice, AI communities can develop foresight and tactics that can better align research and technology development with established ethical principles, centring vulnerable peoples who continue to bear the brunt of negative impacts of innovation and scientific progress. We highlight problematic applications that are instances of coloniality, and using a decolonial lens, submit three tactics that can form a decolonial field of artificial intelligence: creating a critical technical practice of AI, seeking reverse tutelage and reverse pedagogies, and the renewal of affective and political communi</w:t>
      </w:r>
    </w:p>
    <w:p>
      <w:pPr>
        <w:pStyle w:val="Heading2"/>
      </w:pPr>
      <w:r>
        <w:t>833.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r>
        <w:rPr>
          <w:b/>
        </w:rPr>
        <w:t>POSSIBLE 2023:</w:t>
      </w:r>
      <w:r>
        <w:t xml:space="preserve"> European Constitutional Imaginaries — https://doi.org/10.1093/oso/9780192855480.003.0001</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pPr/>
      <w:r>
        <w:rPr>
          <w:b/>
        </w:rPr>
        <w:t>POSSIBLE 2022:</w:t>
      </w:r>
      <w:r>
        <w:t xml:space="preserve"> (Re)making hydrosocial territories: Materializing and contesting imaginaries and subjectivities through hydraulic infrastructure — https://doi.org/10.1016/j.polgeo.2022.102698</w:t>
      </w:r>
    </w:p>
    <w:p>
      <w:pPr/>
      <w:r>
        <w:rPr>
          <w:b/>
        </w:rPr>
        <w:t>Shared claim-specific concepts:</w:t>
      </w:r>
      <w:r>
        <w:t xml:space="preserve"> political, ideas, build, around; EU scope not established. This is a provisional connection, not an outcome finding.</w:t>
      </w:r>
    </w:p>
    <w:p>
      <w:pPr>
        <w:pStyle w:val="SourceNote"/>
      </w:pPr>
      <w:r>
        <w:rPr>
          <w:b/>
        </w:rPr>
        <w:t>Available abstract (not full text):</w:t>
      </w:r>
      <w:r>
        <w:t xml:space="preserve"> Infrastructures and their roles and connections to and in territories and territorialization processes have increasingly become objects of study in political geography scholarship. In this contribution, we build on these emerging insights and advance them by further conceptually disentangling the agential role of infrastructure. We bring together the notions of territory, governmentality, imaginaries and subjectivities, to clarify how exactly hydraulic infrastructure acts to transform relations between space, people and materiality. We start by introducing territorialization as a process of ‘ordering things’ in a certain space and time through different techniques of government. We then show how, at the base of such territorialization processes, are imaginaries that contain normative ideas about how space and socio-territorial relations should be ordered. Imaginaries are consequently materialized through hydraulic infrastructure through the inscription of morals, values and norms in infrastructure design, construction and operation. This set of materialities and relations embedded in infrastructure brings changes to the existing relations between space, water and people. In particular, we highlight the repercussions of infrastructure for how people understand and relate to each other, the environment, water, technology and space: in other words, how subjectivities change as an </w:t>
      </w:r>
    </w:p>
    <w:p>
      <w:pPr/>
      <w:r>
        <w:rPr>
          <w:b/>
        </w:rPr>
        <w:t>POSSIBLE 2021:</w:t>
      </w:r>
      <w:r>
        <w:t xml:space="preserve"> Popular imaginative geographies and Brexit: Evidence from Mass Observation — https://doi.org/10.1111/tran.12444</w:t>
      </w:r>
    </w:p>
    <w:p>
      <w:pPr/>
      <w:r>
        <w:rPr>
          <w:b/>
        </w:rPr>
        <w:t>Shared claim-specific concepts:</w:t>
      </w:r>
      <w:r>
        <w:t xml:space="preserve"> imaginative, political, events; EU scope visible. This is a provisional connection, not an outcome finding.</w:t>
      </w:r>
    </w:p>
    <w:p>
      <w:pPr>
        <w:pStyle w:val="SourceNote"/>
      </w:pPr>
      <w:r>
        <w:rPr>
          <w:b/>
        </w:rPr>
        <w:t>Available abstract (not full text):</w:t>
      </w:r>
      <w:r>
        <w:t xml:space="preserve"> The EU Referendum of 2016 was one of the most significant events in recent British political history. It is widely recognised that citizens engaged with the referendum through understandings of Britain, the EU, the world, and their place in it. This study complements existing research where such understandings have been inferred from citizens’ demographic characteristics, the characteristics of their localities/regions, or elite discourses. It builds on existing research where a more direct engagement with citizens’ understandings has been achieved through interviews or focus groups, allowing the content of understandings to be thickly described. To these latter studies, this paper makes three main contributions. First, it focuses on popular imaginative geographies, which are conceptualised drawing on literatures in Geography and Political Science as fast‐thinking heuristics. Second, it brings new evidence to the conversation in the form of volunteer writing for Mass Observation. Third, the focus is on the content of popular imaginative geographies, but also how and why such geographies were used by voters in the referendum. The main findings include that many Leave supporters imagined Britain as an island – either a once great military and imperial power, an island separate from Europe, needing freedom from Europe to engage in the wider world; or a small island, a full contain</w:t>
      </w:r>
    </w:p>
    <w:p>
      <w:pPr/>
      <w:r>
        <w:rPr>
          <w:b/>
        </w:rPr>
        <w:t>POSSIBLE 2020:</w:t>
      </w:r>
      <w:r>
        <w:t xml:space="preserve"> Law, biomedical technoscience, and imaginaries — https://doi.org/10.1093/jlb/lsaa088</w:t>
      </w:r>
    </w:p>
    <w:p>
      <w:pPr/>
      <w:r>
        <w:rPr>
          <w:b/>
        </w:rPr>
        <w:t>Shared claim-specific concepts:</w:t>
      </w:r>
      <w:r>
        <w:t xml:space="preserve"> concept, imaginary, investigate, constructed; EU scope visible. This is a provisional connection, not an outcome finding.</w:t>
      </w:r>
    </w:p>
    <w:p>
      <w:pPr>
        <w:pStyle w:val="SourceNote"/>
      </w:pPr>
      <w:r>
        <w:rPr>
          <w:b/>
        </w:rPr>
        <w:t>Available abstract (not full text):</w:t>
      </w:r>
      <w:r>
        <w:t xml:space="preserve"> This special issue advances understanding of the way in which imaginaries underpin law’s engagement with biomedical technologies and science. It is the first collection of law-led interdisciplinary accounts of imaginaries. The articles draw upon examples from biomedical technoscience to illuminate the hitherto unseen or underappreciated roles of imaginaries in the relationships between law and biomedical technoscience. We have conceptualized ‘law’, ‘biomedical technoscience’, and ‘imaginaries’ in broad, inclusive, and dynamic ways. ‘Law’ and ‘biomedical technoscience’ (biomedical technology and science) require no further clarification. ‘Imaginaries’, though, is a relatively novel concept within legal, socio-legal, and regulatory studies scholarship,1 and as such it requires an introduction. In the following, we introduce imaginaries before explaining how this special issue aims to address the dearth of legal scholarship on them. Subsequently, we note the conceptualizations of imaginaries in the articles, where imaginaries can be found in law and legal discourse, and finally what it is that imaginaries do and why they matter for law. Conceptualizations of imaginaries are found in several disciplines. Beckert, working within economics, formulates imaginaries as ‘imagined futures’.2 Jasanoff and Kim, from science and technology studies (STS), conceive sociotechnical imaginaries a</w:t>
      </w:r>
    </w:p>
    <w:p>
      <w:pPr/>
      <w:r>
        <w:rPr>
          <w:b/>
        </w:rPr>
        <w:t>POSSIBLE 2020:</w:t>
      </w:r>
      <w:r>
        <w:t xml:space="preserve"> Elijah Anderson’s “Iconic Ghetto” as Transatlantic Template? Problematic Traveling Imaginaries, Future Scripts, and Postindustrial Ruhr Cities — https://doi.org/10.5283/copas.335</w:t>
      </w:r>
    </w:p>
    <w:p>
      <w:pPr/>
      <w:r>
        <w:rPr>
          <w:b/>
        </w:rPr>
        <w:t>Shared claim-specific concepts:</w:t>
      </w:r>
      <w:r>
        <w:t xml:space="preserve"> concept, scripts; EU scope visible. This is a provisional connection, not an outcome finding.</w:t>
      </w:r>
    </w:p>
    <w:p>
      <w:pPr>
        <w:pStyle w:val="SourceNote"/>
      </w:pPr>
      <w:r>
        <w:rPr>
          <w:b/>
        </w:rPr>
        <w:t>Available abstract (not full text):</w:t>
      </w:r>
      <w:r>
        <w:t xml:space="preserve"> This article explores the presence and function of American templates of the stereotypical “ghetto” in the transnational urban imagination, taking the cities of the German Ruhr region as an example. I argue that this space is significantly influenced by the model of American postindustrialcities, where many of the traveling imaginaries of urban problems that have taken hold in former industrial cities in Europe seem to originate. In a first step, I inquire into the workings of the problematic template ofthe “iconic ghetto,” a concept I borrow from Elijah Anderson and extend transnationally, tracing its influence on urban development narratives in the Ruhr. In a second step, I discuss how social-educational reform initiatives respond to and intervene in such problematic imaginaries in their work. I assert that their activities aim to rewrite or “re-script” the prevalent narratives of this European postindustrial region, which are all too often negative. The alternative development narratives, or “scripts,”these reformers construct and propagate instead imagine cities of the future in a positive light, envisioning how inequality and segregation can be replaced by equality and social inclusion.</w:t>
      </w:r>
    </w:p>
    <w:p>
      <w:pPr/>
      <w:r>
        <w:rPr>
          <w:b/>
        </w:rPr>
        <w:t>POSSIBLE 2019:</w:t>
      </w:r>
      <w:r>
        <w:t xml:space="preserve"> The Circular Economy in Europe: Critical Perspectives on Policies and Imaginaries — https://doi.org/10.4324/9780429061028</w:t>
      </w:r>
    </w:p>
    <w:p>
      <w:pPr/>
      <w:r>
        <w:rPr>
          <w:b/>
        </w:rPr>
        <w:t>Shared claim-specific concepts:</w:t>
      </w:r>
      <w:r>
        <w:t xml:space="preserve"> authors, ideas; EU scope visible. This is a provisional connection, not an outcome finding.</w:t>
      </w:r>
    </w:p>
    <w:p>
      <w:pPr>
        <w:pStyle w:val="SourceNote"/>
      </w:pPr>
      <w:r>
        <w:rPr>
          <w:b/>
        </w:rPr>
        <w:t>Available abstract (not full text):</w:t>
      </w:r>
      <w:r>
        <w:t xml:space="preserve"> The Circular Economy in Europe presents an overview and a critical discussion on how circularity is conceived, imagined, and enacted in current EU policy-making. In 2013, the idea of a circular economy entered the stage of European policy-making in the efforts to reconcile environmental and economic policy objectives. In 2019 the European Commission declared in a press release that the Circular Economy Action Plan has been delivered. The level of circularity in the European economy, however, has remained the same. Bringing together perspectives from social sciences, environmental economics and policy analysis, The Circular Economy in Europe provides a critical analysis of policies and promises of the next panacea for growth and sustainability. The authors provide a theoretical and empirical basis to discuss how contemporary societies conceive their need to re-organise production and consumption and explores the messy assemblage of institutions, actors, waste streams, biophysical flows, policy objectives, scientific disciplines, values, expectations, promises and aspirations involved. This book is essential reading for all those interested in understanding how ideas about the circular economy emerged historically, how they gained traction and are used in policy processes, and what the practical challenges in implementing this policy are.</w:t>
      </w:r>
    </w:p>
    <w:p>
      <w:pPr/>
      <w:r>
        <w:rPr>
          <w:b/>
        </w:rPr>
        <w:t>POSSIBLE 2019:</w:t>
      </w:r>
      <w:r>
        <w:t xml:space="preserve"> The social imaginaries of data activism — https://doi.org/10.1177/2053951718821146</w:t>
      </w:r>
    </w:p>
    <w:p>
      <w:pPr/>
      <w:r>
        <w:rPr>
          <w:b/>
        </w:rPr>
        <w:t>Shared claim-specific concepts:</w:t>
      </w:r>
      <w:r>
        <w:t xml:space="preserve"> imaginary, structures, political; EU scope visible. This is a provisional connection, not an outcome finding.</w:t>
      </w:r>
    </w:p>
    <w:p>
      <w:pPr>
        <w:pStyle w:val="SourceNote"/>
      </w:pPr>
      <w:r>
        <w:rPr>
          <w:b/>
        </w:rPr>
        <w:t>Available abstract (not full text):</w:t>
      </w:r>
      <w:r>
        <w:t xml:space="preserve"> Data activism, promoting new forms of civic and political engagement, has emerged as a response to problematic aspects of datafication that include tensions between data openness and data ownership, and asymmetries in terms of data usage and distribution. In this article, we discuss MyData, a data activism initiative originating in Finland, which aims to shape a more sustainable citizen-centric data economy by means of increasing individuals' control of their personal data. Using data gathered during long-term participant-observation in collaborative projects with data activists, we explore the internal tensions of data activism by first outlining two different social imaginaries – technological and socio-critical – within MyData, and then merging them to open practical and analytical space for engaging with the socio-technical futures currently in the making. While the technological imaginary favours data infrastructures as corrective measures, the socio-critical imaginary questions the effectiveness of technological correction. Unpacking them clarifies the kinds of political and social alternatives that different social imaginaries ascribe to the notions underlying data activism, and highlights the need to consider the social structures in play. The more far-reaching goal of our exercise is to provide practical and analytical resources for critical engagement in the context o</w:t>
      </w:r>
    </w:p>
    <w:p>
      <w:pPr/>
      <w:r>
        <w:rPr>
          <w:b/>
        </w:rPr>
        <w:t>POSSIBLE 2019:</w:t>
      </w:r>
      <w:r>
        <w:t xml:space="preserve"> Imaginative Agency: New Possibilities — https://doi.org/10.21827/ejlw.8.35554</w:t>
      </w:r>
    </w:p>
    <w:p>
      <w:pPr/>
      <w:r>
        <w:rPr>
          <w:b/>
        </w:rPr>
        <w:t>Shared claim-specific concepts:</w:t>
      </w:r>
      <w:r>
        <w:t xml:space="preserve"> concept, imaginative, political; EU scope not established. This is a provisional connection, not an outcome finding.</w:t>
      </w:r>
    </w:p>
    <w:p>
      <w:pPr>
        <w:pStyle w:val="SourceNote"/>
      </w:pPr>
      <w:r>
        <w:rPr>
          <w:b/>
        </w:rPr>
        <w:t>Available abstract (not full text):</w:t>
      </w:r>
      <w:r>
        <w:t xml:space="preserve"> This article presents imaginative agency as a new theoretical concept with great potential for life writing studies, especially digital life writing. It draws on a wide range of concepts and contexts to discuss selective histories and workings, proposing ways in which imaginative agency can fit into philosophical and aesthetic debates about capability, performativity, ethics and artificial intelligence. I argue for making a distinction between imaginative agency and creativity, owing to the monetizing of much creative activity. I explore agency in relation to aesthetic human capability, through comparison to the non-human, particularly whether bots can demonstrate imaginative agency in art and literature, and through questions of ethical agency in online practices like trolling and malware. Contexts relevant to imaginative agency in digital and social media practices, such as algorithms, crowdsourcing and augmented reality, are explored in terms of political considerations which tie cultural creation to wealth creation— a shackling from which imaginative agency can provide some liberation.</w:t>
      </w:r>
    </w:p>
    <w:p>
      <w:pPr/>
      <w:r>
        <w:rPr>
          <w:b/>
        </w:rPr>
        <w:t>POSSIBLE 2019:</w:t>
      </w:r>
      <w:r>
        <w:t xml:space="preserve"> The anthropocenic imaginary: political ecologies of tourism in a geological epoch — https://doi.org/10.1080/09669582.2018.1544252</w:t>
      </w:r>
    </w:p>
    <w:p>
      <w:pPr/>
      <w:r>
        <w:rPr>
          <w:b/>
        </w:rPr>
        <w:t>Shared claim-specific concepts:</w:t>
      </w:r>
      <w:r>
        <w:t xml:space="preserve"> concept, imaginary, political, age; EU scope not established. This is a provisional connection, not an outcome finding.</w:t>
      </w:r>
    </w:p>
    <w:p>
      <w:pPr>
        <w:pStyle w:val="SourceNote"/>
      </w:pPr>
      <w:r>
        <w:rPr>
          <w:b/>
        </w:rPr>
        <w:t>Available abstract (not full text):</w:t>
      </w:r>
      <w:r>
        <w:t xml:space="preserve"> The Anthropocene is fundamentally a social imaginary that is both shaped by and is reshaping tourism practice. In this article, we enroll the concept of the anthropocenic imaginary to describe how the Anthropocene is symbolically and materially produced as well as the ways in which it draws on the historical separation of Humanity and Nature. As the structural roots from which the anthropocenic imaginary has grown, this binary co-produces new and old forms of political and ecological inclusion and exclusion. We demonstrate how core themes in tourism studies have fertilized the seeds from which the theoretical branches of post-humanist, capitalist and ecological imaginaries in tourism have taken shape. These anthropocenic imaginaries, we argue, are appropriated in market-based solutions to environmental degradation that emanate from neoliberal contexts internal to the problem. Thus, we question the reconciliation of capitalist accumulation and environmental limits in sustainable tourism. This article and the papers in this issue push forward emerging approaches in the political ecology of tourism that recognize the Anthropocene as both a geological epoch and conceptual regime. In doing so, the issue contributes to emerging conversations on the relationship between politics, ecology and tourism in the so-called recent age of man.</w:t>
      </w:r>
    </w:p>
    <w:p>
      <w:pPr>
        <w:pStyle w:val="Heading2"/>
      </w:pPr>
      <w:r>
        <w:t>834.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Towards a better uptake of home dialysis in Europe: understanding the present and looking to the future — https://doi.org/10.1093/ckj/sfae082</w:t>
      </w:r>
    </w:p>
    <w:p>
      <w:pPr/>
      <w:r>
        <w:rPr>
          <w:b/>
        </w:rPr>
        <w:t>Shared claim-specific concepts:</w:t>
      </w:r>
      <w:r>
        <w:t xml:space="preserve"> aims, better, understanding; EU scope visible. This is a provisional connection, not an outcome finding.</w:t>
      </w:r>
    </w:p>
    <w:p>
      <w:pPr>
        <w:pStyle w:val="SourceNote"/>
      </w:pPr>
      <w:r>
        <w:rPr>
          <w:b/>
        </w:rPr>
        <w:t>Available abstract (not full text):</w:t>
      </w:r>
      <w:r>
        <w:t xml:space="preserve"> Use of peritoneal dialysis and home haemodialysis remains low in Europe, with the highest use in Scandinavian countries and the lowest in Eastern and Central Europe despite the advantages for people on dialysis and economic advantages for healthcare systems. This is partly due to the impact of the haemodialysis industry resulting in proliferation of haemodialysis units and nephrologist reimbursement related to use of haemodialysis. Equally important is the bias against home dialysis at both clinician and healthcare system levels. The underlying causes of this bias are discussed in relation to a mechanistic view of the human body, lack of compassion, failure to adjust dialysis provision for older age and frailty, proliferation of small dialysis centres, and complexity of decision-making and clinical care. For home dialysis to flourish, we need to foster a change in attitude to and vision of the aims of healthcare so that enabling meaningful activities of people requiring dialysis, as explored in the Standardized Outcomes in Nephrology initiative, rather than achieving biological numbers become the focus of care delivery.</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article, information, better, understanding, high;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EUROPEAN SECURITY AND DEFENCE – KEY ELEMENTS OF DEEP INTEGRATION AT THE LEVEL OF THE EUROPEAN UNION — https://doi.org/10.53477/2784-2487-24-01</w:t>
      </w:r>
    </w:p>
    <w:p>
      <w:pPr/>
      <w:r>
        <w:rPr>
          <w:b/>
        </w:rPr>
        <w:t>Shared claim-specific concepts:</w:t>
      </w:r>
      <w:r>
        <w:t xml:space="preserve"> article, aims, provide, better, understanding; EU scope visible. This is a provisional connection, not an outcome finding.</w:t>
      </w:r>
    </w:p>
    <w:p>
      <w:pPr>
        <w:pStyle w:val="SourceNote"/>
      </w:pPr>
      <w:r>
        <w:rPr>
          <w:b/>
        </w:rPr>
        <w:t>Available abstract (not full text):</w:t>
      </w:r>
      <w:r>
        <w:t xml:space="preserve"> The purpose of this article is to highlight the key elements in European security and defence that enables a deeper integration within the European Union. The security and defence represent a fundamental domain in the European architecture, a benchmark, and a challenge regarding the loyal cooperation between Member States.The methodology used is represented by a synthetic qualitative documentary analysis with an additional quantitative support.The research hypothesis is related to the correlation of key elements in the field of security and defence with the development of a deeper integration of Member States into the European project. As their own defence and security policies belong to the Member States, the research question will provide the answer to whether key elements in European security and defence generate better cooperation between Member States and deeper integration.This article aims to provide a profound understanding of the obligations, challenges, and the impact on the Member States policy on common defence. Following the latest developments in implementing the Strategic Compass for Security and Defence, new steps should be taken to achieve the common defence goal.The presentation will also seek to highlight whether the coherence of Member States policies on achieving the common goal is linked to their deeper integration into the European project.</w:t>
      </w:r>
    </w:p>
    <w:p>
      <w:pPr/>
      <w:r>
        <w:rPr>
          <w:b/>
        </w:rPr>
        <w:t>POSSIBLE 2023:</w:t>
      </w:r>
      <w:r>
        <w:t xml:space="preserve"> The European Universities Initiative and European spatial imaginaries — https://doi.org/10.1080/14767724.2023.2210515</w:t>
      </w:r>
    </w:p>
    <w:p>
      <w:pPr/>
      <w:r>
        <w:rPr>
          <w:b/>
        </w:rPr>
        <w:t>Shared claim-specific concepts:</w:t>
      </w:r>
      <w:r>
        <w:t xml:space="preserve"> article, role, range; EU scope visible. This is a provisional connection, not an outcome finding.</w:t>
      </w:r>
    </w:p>
    <w:p>
      <w:pPr>
        <w:pStyle w:val="SourceNote"/>
      </w:pPr>
      <w:r>
        <w:rPr>
          <w:b/>
        </w:rPr>
        <w:t>Available abstract (not full text):</w:t>
      </w:r>
      <w:r>
        <w:t xml:space="preserve">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pPr/>
      <w:r>
        <w:rPr>
          <w:b/>
        </w:rPr>
        <w:t>POSSIBLE 2023:</w:t>
      </w:r>
      <w:r>
        <w:t xml:space="preserve"> The Impact of COVID-19 in Europe: A Comprehensive Analysis — https://doi.org/10.54783/ijsoc.v5i4.787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The COVID-19 pandemic, caused by the novel coronavirus SARS-CoV-2, has had a profound impact on the European continent. This scientific journal article aims to provide a comprehensive analysis of the spread, healthcare response, socio-economic consequences, and lessons learned from the COVID-19 pandemic in Europe. It combines data-driven insights with a review of relevant scientific literature to present a holistic view of the situation in Europe</w:t>
      </w:r>
    </w:p>
    <w:p>
      <w:pPr/>
      <w:r>
        <w:rPr>
          <w:b/>
        </w:rPr>
        <w:t>POSSIBLE 2023:</w:t>
      </w:r>
      <w:r>
        <w:t xml:space="preserve"> A Study on the Interpretation and Application of Article 2 of the European Convention on Human Rights: Focusing on the Case Law of the European Court of Human Rights — https://doi.org/10.21592/eucj.2023.42.99</w:t>
      </w:r>
    </w:p>
    <w:p>
      <w:pPr/>
      <w:r>
        <w:rPr>
          <w:b/>
        </w:rPr>
        <w:t>Shared claim-specific concepts:</w:t>
      </w:r>
      <w:r>
        <w:t xml:space="preserve"> article, aims, provide, understanding, role; EU scope visible. This is a provisional connection, not an outcome finding.</w:t>
      </w:r>
    </w:p>
    <w:p>
      <w:pPr>
        <w:pStyle w:val="SourceNote"/>
      </w:pPr>
      <w:r>
        <w:rPr>
          <w:b/>
        </w:rPr>
        <w:t>Available abstract (not full text):</w:t>
      </w:r>
      <w:r>
        <w:t xml:space="preserve"> This study examines the interpretation and application of Article 2, the right to life, which is one of the most central rights guaranteed by the European Convention on Human Rights. It is universally recognized that the right to life represents a fundamental right of all human beings and that its proper understanding and protection is a fundamental basis for individual freedom and respect for human rights. The European Convention on Human Rights is an important document that ensures that individuals in Europe are guaranteed their fundamental rights and freedoms as human beings. Article 2, the right to life, is at the heart of the Convention and guarantees one of the most fundamental rights that every human being has. However, the understanding and application of this right to life can raise complex issues in different social and political contexts. For this reason, this study aims to provide an in-depth examination of the complexities of the right to life. The aim is to examine the role of the right to life in ensuring human dignity and promoting social justice through the case law of the European Court of Human Rights. Based on this, the general concept of the right to life and the interpretation of the right to life by the European Court of Human Rights will be introduced in the next chapter, followed by an analysis of the Court's main decisions, with the aim of bridging the</w:t>
      </w:r>
    </w:p>
    <w:p>
      <w:pPr/>
      <w:r>
        <w:rPr>
          <w:b/>
        </w:rPr>
        <w:t>POSSIBLE 2023:</w:t>
      </w:r>
      <w:r>
        <w:t xml:space="preserve"> The Impact of COVID-19 in Europe: An Overview of the Pandemic's Challenges and Responses — https://openalex.org/W7217768397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The COVID-19 pandemic has emerged as one of the most significant global health crises in recent history, affecting nearly every corner of the world, including Europe. This article aims to provide a comprehensive overview of the impact of COVID-19 in Europe, focusing on the challenges faced by the region and the responses adopted by various countries to combat the spread of the virus. By examining the epidemiological trends, healthcare infrastructure, socio-economic implications, and public health strategies, this study aims to shed light on the lessons learned from the pandemic and the way forward for Europe's health systems.</w:t>
      </w:r>
    </w:p>
    <w:p>
      <w:pPr/>
      <w:r>
        <w:rPr>
          <w:b/>
        </w:rPr>
        <w:t>POSSIBLE 2023:</w:t>
      </w:r>
      <w:r>
        <w:t xml:space="preserve"> Current Understanding of Polyphenols to Enhance Bioavailability for Better Therapies — https://doi.org/10.3390/biomedicines11072078</w:t>
      </w:r>
    </w:p>
    <w:p>
      <w:pPr/>
      <w:r>
        <w:rPr>
          <w:b/>
        </w:rPr>
        <w:t>Shared claim-specific concepts:</w:t>
      </w:r>
      <w:r>
        <w:t xml:space="preserve"> better, understanding; EU scope not established. This is a provisional connection, not an outcome finding.</w:t>
      </w:r>
    </w:p>
    <w:p>
      <w:pPr>
        <w:pStyle w:val="SourceNote"/>
      </w:pPr>
      <w:r>
        <w:rPr>
          <w:b/>
        </w:rPr>
        <w:t>Available abstract (not full text):</w:t>
      </w:r>
      <w:r>
        <w:t xml:space="preserve"> In recent years, plant polyphenols have become a popular focus for the development of novel functional foods. Polyphenols, a class of bioactive compounds, including flavonoids, phenolic acids, and lignans, are commonly found in plant-based diets with a variety of biological actions, including antioxidant, anti-inflammatory, and anticancer effects. Unfortunately, polyphenols are not widely used in nutraceuticals since many of the chemicals in polyphenols possess poor oral bioavailability. Thankfully, polyphenols can be encapsulated and transported using bio-based nanocarriers, thereby increasing their bioavailability. Polyphenols' limited water solubility and low bioavailability are limiting factors for their practical usage, but this issue can be resolved if suitable delivery vehicles are developed for encapsulating and delivering polyphenolic compounds. This paper provides an overview of the study of nanocarriers for the enhancement of polyphenol oral bioavailability, as well as a summary of the health advantages of polyphenols in the prevention and treatment of several diseases.</w:t>
      </w:r>
    </w:p>
    <w:p>
      <w:pPr/>
      <w:r>
        <w:rPr>
          <w:b/>
        </w:rPr>
        <w:t>POSSIBLE 2023:</w:t>
      </w:r>
      <w:r>
        <w:t xml:space="preserve"> Mandate to overblock? Understanding the impact of the European Union's Article 17 on copyright content moderation on YouTube — https://doi.org/10.1002/poi3.379</w:t>
      </w:r>
    </w:p>
    <w:p>
      <w:pPr/>
      <w:r>
        <w:rPr>
          <w:b/>
        </w:rPr>
        <w:t>Shared claim-specific concepts:</w:t>
      </w:r>
      <w:r>
        <w:t xml:space="preserve"> article, understanding, show, potential, germany; EU scope visible. This is a provisional connection, not an outcome finding.</w:t>
      </w:r>
    </w:p>
    <w:p>
      <w:pPr>
        <w:pStyle w:val="SourceNote"/>
      </w:pPr>
      <w:r>
        <w:rPr>
          <w:b/>
        </w:rPr>
        <w:t>Available abstract (not full text):</w:t>
      </w:r>
      <w:r>
        <w:t xml:space="preserve"> Abstract This article presents the results of a study measuring possible overblocking due to copyright moderation and changes in the diversity of cultural products supply on YouTube in two European Union (EU) member states comparable in size and population, Germany and France. Both have adopted Article 17 of the EU Copyright in the Digital Single Market (CDSM) Directive (CDSMD) but Germany was 5 months ahead of France in changing its legislative regime for large social media platforms and copyright content moderation. The article assesses how content takedowns that were likely connected to copyright differed in these two countries and how this might have been influenced by the greater copyright moderation linked to the implementation of Article 17 of the CDSMD. Furthermore, the cultural supply diversity according to genre on YouTube was examined by applying Stirling's model of diversity and using a dual‐concept diversity index. To the best of the authors' knowledge, this is the first attempt to measure predicted changes to overblocking and possible changes in cultural diversity on YouTube's infrastructure since the new copyright rules came into force in the EU. The findings show that during the period examined, 2019–2022, significant differences were identified between Germany and France in terms of the takedowns of videos from categories prone to copyright moderation. In addit</w:t>
      </w:r>
    </w:p>
    <w:p>
      <w:pPr/>
      <w:r>
        <w:rPr>
          <w:b/>
        </w:rPr>
        <w:t>POSSIBLE 2022:</w:t>
      </w:r>
      <w:r>
        <w:t xml:space="preserve"> The Regional Development Trap in Europe — https://doi.org/10.1080/00130095.2022.2080655</w:t>
      </w:r>
    </w:p>
    <w:p>
      <w:pPr/>
      <w:r>
        <w:rPr>
          <w:b/>
        </w:rPr>
        <w:t>Shared claim-specific concepts:</w:t>
      </w:r>
      <w:r>
        <w:t xml:space="preserve"> article, indicators;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pStyle w:val="Heading2"/>
      </w:pPr>
      <w:r>
        <w:t>835.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Public acceptance of geothermal energy in Europe: Factors and strategies — https://doi.org/10.1016/j.nxener.2026.100711</w:t>
      </w:r>
    </w:p>
    <w:p>
      <w:pPr/>
      <w:r>
        <w:rPr>
          <w:b/>
        </w:rPr>
        <w:t>Shared claim-specific concepts:</w:t>
      </w:r>
      <w:r>
        <w:t xml:space="preserve"> examine, factors, potential, three, framework; EU scope visible. This is a provisional connection, not an outcome finding.</w:t>
      </w:r>
    </w:p>
    <w:p>
      <w:pPr>
        <w:pStyle w:val="SourceNote"/>
      </w:pPr>
      <w:r>
        <w:rPr>
          <w:b/>
        </w:rPr>
        <w:t>Available abstract (not full text):</w:t>
      </w:r>
      <w:r>
        <w:t xml:space="preserve"> The transition to a climate-neutral economy in Europe, as mandated by the EU Green Deal and the Fit for 55 package, necessitates a rapid and diversified deployment of renewable energy sources. Geothermal energy, with its potential for baseload power and heating, is a critical component of this strategy. However, its deployment is often hindered by challenges related to social acceptance, which are distinct from those faced by other renewables. This systematic literature review (SLR) aims to examine the determinants of social acceptance of geothermal energy across the European context. Employing the PRISMA protocol, a comprehensive search was conducted across major databases (Scopus and Web of Science) for peer-reviewed literature published between 2015 and 2025. The review identified 40 highly relevant studies for in-depth synthesis. Key findings reveal that acceptance is primarily driven by three interlinked factors : trust in institutions , the perception of procedural and distributional justice , and the management of perceived risks, particularly induced seismicity. The paper critically examines the interplay of these sociopolitical, economic, and psychological factors. The primary contribution is a synthesized framework of effective mitigation strategies, including participatory decision-making, transparent risk communication, and local benefit-sharing mechanisms. This fra</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2024:</w:t>
      </w:r>
      <w:r>
        <w:t xml:space="preserve"> Community Mental Health in Türkiye and Europe: Data and Influencing Factors — https://doi.org/10.18863/pgy.1392348</w:t>
      </w:r>
    </w:p>
    <w:p>
      <w:pPr/>
      <w:r>
        <w:rPr>
          <w:b/>
        </w:rPr>
        <w:t>Shared claim-specific concepts:</w:t>
      </w:r>
      <w:r>
        <w:t xml:space="preserve"> aim, examine, factors, affecting, three; EU scope visible. This is a provisional connection, not an outcome finding.</w:t>
      </w:r>
    </w:p>
    <w:p>
      <w:pPr>
        <w:pStyle w:val="SourceNote"/>
      </w:pPr>
      <w:r>
        <w:rPr>
          <w:b/>
        </w:rPr>
        <w:t>Available abstract (not full text):</w:t>
      </w:r>
      <w:r>
        <w:t xml:space="preserve"> Human is an entity that can be completed with the combination of biological, psychological and social factors. The concept of health is defined as being in a state of complete mental, social and physical well-being. The term "community mental health" defines mental health care in relation to the individual and the environment in which the individual interacts. If the factors affecting mental health are known and intervened, it is predicted that community mental health will make positive progress. The aim of this study is to examine and compare the factors affecting community mental health by analysing community mental health data in Türkiye and Europe. The World Health Organisation (WHO) examines these factors in three groups as individual, family and community and structural factors. In order to analyse the degree to which these factors affect mental health, data from Türkiye and Europe were analysed by examining the reports of the World Health Organization, European Commission, European Parliament, OECD, Institute for Health Metrics and Evaluation and Turkish Statistical Institute. It is seen that community mental health is affected by the community's understanding of health and illness, access to mental health services, gender, age, education, the concept of loneliness, unemployment, diseases affecting the world such as pandemics and the economy. As a result of mental health</w:t>
      </w:r>
    </w:p>
    <w:p>
      <w:pPr/>
      <w:r>
        <w:rPr>
          <w:b/>
        </w:rPr>
        <w:t>POSSIBLE 2024:</w:t>
      </w:r>
      <w:r>
        <w:t xml:space="preserve"> Examining the Market Potential for Smart Intelligent Packaging: A Focus on Italian Consumers — https://doi.org/10.34021/ve.2024.07.02(5)</w:t>
      </w:r>
    </w:p>
    <w:p>
      <w:pPr/>
      <w:r>
        <w:rPr>
          <w:b/>
        </w:rPr>
        <w:t>Shared claim-specific concepts:</w:t>
      </w:r>
      <w:r>
        <w:t xml:space="preserve"> factors, potential, meet; EU scope not established. This is a provisional connection, not an outcome finding.</w:t>
      </w:r>
    </w:p>
    <w:p>
      <w:pPr>
        <w:pStyle w:val="SourceNote"/>
      </w:pPr>
      <w:r>
        <w:rPr>
          <w:b/>
        </w:rPr>
        <w:t>Available abstract (not full text):</w:t>
      </w:r>
      <w:r>
        <w:t xml:space="preserve"> This study addresses the effect of smart intelligent packaging on consumers’ perceptions and aims to explore new market opportunities for smart intelligent packaging. Based on a quantitative research methodology, this study is exploratory in nature and aims to determine consumer attitudes toward smart, intelligent food packaging. The research findings show that smart packaging offers new technologies that better satisfy consumers’ needs. Italian respondents appreciate the monitoring and tracking functions of food packaging. In addition, different factors of food packaging that lead consumers to purchase are emphasized in our findings. This study confirms that packaging affects consumer purchase decisions. According to the results, although consumers’ knowledge of smart packaging technologies was low, their interest in obtaining more information related to smart intelligent packaging was high. Findings indicate that integrating smart packaging with advanced storage systems and technologies designed to prolong product shelf life is a sought-after technological approach for reducing food wastage. However, the research highlights a lack of consumer awareness and understanding concerning intelligent active packaging, hindering its widespread adoption. Therefore, it is recommended to ascertain consumer preferences regarding packaging characteristics to uncover effective marketing str</w:t>
      </w:r>
    </w:p>
    <w:p>
      <w:pPr/>
      <w:r>
        <w:rPr>
          <w:b/>
        </w:rPr>
        <w:t>POSSIBLE 2023:</w:t>
      </w:r>
      <w:r>
        <w:t xml:space="preserve"> Market and Market Potential: A Conceptual Paper — https://doi.org/10.61739/tbf.2023.12.2.341</w:t>
      </w:r>
    </w:p>
    <w:p>
      <w:pPr/>
      <w:r>
        <w:rPr>
          <w:b/>
        </w:rPr>
        <w:t>Shared claim-specific concepts:</w:t>
      </w:r>
      <w:r>
        <w:t xml:space="preserve"> factors, potential, trends, industries, framework; EU scope not established. This is a provisional connection, not an outcome finding.</w:t>
      </w:r>
    </w:p>
    <w:p>
      <w:pPr>
        <w:pStyle w:val="SourceNote"/>
      </w:pPr>
      <w:r>
        <w:rPr>
          <w:b/>
        </w:rPr>
        <w:t>Available abstract (not full text):</w:t>
      </w:r>
      <w:r>
        <w:t xml:space="preserve"> This paper focuses on an important aspect of marketing upon which all the concepts of marketing depend like segmentation, targeting, positioning, distribution, pricing, etc.This conceptual research paper delves into the fundamental concepts of markets and market potential.As essential drivers of economic activity, markets serve as pivotal arenas where buyers and sellers interact to exchange goods, services, and information.The paper explores the multifaceted dimensions of markets, and types of demand, elucidating their characteristics, classi ications, and functions in diverse industries and sectors.The market plays an important role in all the sectors like primary (Agriculture), secondary, and tertiary sector.Central to this study is the exploration of market potential, a crucial aspect that determines the growth prospects and pro itability of businesses and the agricultural sector.By delving into market potential analysis, this paper examines the underlying factors that in luence market attractiveness, including consumer demographics, purchasing power, demand trends, and competitive landscapes.Through a comprehensive review of existing literature, this research seeks to provide a conceptual framework that deepens the understanding of markets, types of demand, and market potential.</w:t>
      </w:r>
    </w:p>
    <w:p>
      <w:pPr/>
      <w:r>
        <w:rPr>
          <w:b/>
        </w:rPr>
        <w:t>POSSIBLE 2023:</w:t>
      </w:r>
      <w:r>
        <w:t xml:space="preserve"> Factors affecting prevalence of pain among European population — https://openalex.org/W7135870697</w:t>
      </w:r>
    </w:p>
    <w:p>
      <w:pPr/>
      <w:r>
        <w:rPr>
          <w:b/>
        </w:rPr>
        <w:t>Shared claim-specific concepts:</w:t>
      </w:r>
      <w:r>
        <w:t xml:space="preserve"> aim, factors, affecting; EU scope visible. This is a provisional connection, not an outcome finding.</w:t>
      </w:r>
    </w:p>
    <w:p>
      <w:pPr>
        <w:pStyle w:val="SourceNote"/>
      </w:pPr>
      <w:r>
        <w:rPr>
          <w:b/>
        </w:rPr>
        <w:t>Available abstract (not full text):</w:t>
      </w:r>
      <w:r>
        <w:t xml:space="preserve"> Pain is a part of many people's lives and can also affect them in significant ways. This paper examined various factors that are related to the prevalence of pain in the European population. The aim was to identify these factors and describe the differences between the population groups. The analyses involved individuals aged 20 years and older who participated in the 2019 European Health Interview Survey. The association between selected demographic, sociodemographic and socioeconomic factors, as well as between lifestyle factors and pain prevalence, was analyzed using chi-square tests and binary logistic regression. Attention was also paid to the relationship between mental health and pain prevalence. It was found that women are more prone to the occurrence of pain as well as persons of advanced age. Although married people show a lower risk of suffering from pain, the impact of living with a partner on the incidence of pain is quite contradictory. The association between this variable and pain prevalence varies depending on control variables. More educated persons are less likely to report prevalence of pain. In turn, unhealthy lifestyle activities, other than alcohol consumption, are considered to be risk factors. Also, individuals with severe symptoms of depression have a higher likelihood of...</w:t>
      </w:r>
    </w:p>
    <w:p>
      <w:pPr/>
      <w:r>
        <w:rPr>
          <w:b/>
        </w:rPr>
        <w:t>POSSIBLE 2022:</w:t>
      </w:r>
      <w:r>
        <w:t xml:space="preserve"> Hydrogen in Grid Balancing: The European Market Potential for Pressurized Alkaline Electrolyzers — https://doi.org/10.3390/en15020637</w:t>
      </w:r>
    </w:p>
    <w:p>
      <w:pPr/>
      <w:r>
        <w:rPr>
          <w:b/>
        </w:rPr>
        <w:t>Shared claim-specific concepts:</w:t>
      </w:r>
      <w:r>
        <w:t xml:space="preserve"> aim, potential; EU scope visible. This is a provisional connection, not an outcome finding.</w:t>
      </w:r>
    </w:p>
    <w:p>
      <w:pPr>
        <w:pStyle w:val="SourceNote"/>
      </w:pPr>
      <w:r>
        <w:rPr>
          <w:b/>
        </w:rPr>
        <w:t>Available abstract (not full text):</w:t>
      </w:r>
      <w:r>
        <w:t xml:space="preserve"> To limit the global temperature change to no more than 2 °C by reducing global emissions, the European Union (EU) set up a goal of a 20% improvement on energy efficiency, a 20% cut of greenhouse gas emissions, and a 20% share of energy from renewable sources by 2020 (10% share of renewable energy (RE), specifically in the transport sector). By 2030, the goal is a 27% improvement in energy efficiency, a 40% cut of greenhouse gas emissions, and a 27% share of RE. However, the integration of RE in energy system faces multiple challenges. The geographical distribution of energy supply changes significantly the availability of the primary energy source (wind, solar, water) and is the determining factor, rather than where the consumers are. This leads to an increasing demand to match supply and demand for power. Especially intermittent RE like wind and solar power face the issue of energy production unrelated to demand (issue of excess energy production beyond demand and/or grid capacity) and forecast errors leading to an increasing demand for grid services like balancing power. Megawatt electrolyzer units (beyond 3 MW) can provide a technical solution to convert large amounts of excess electricity into hydrogen for industrial applications, substitute for natural gas, or the decarbonization of the mobility sector. The demonstration of successful MW electrolyzer operation providing gr</w:t>
      </w:r>
    </w:p>
    <w:p>
      <w:pPr/>
      <w:r>
        <w:rPr>
          <w:b/>
        </w:rPr>
        <w:t>POSSIBLE 2022:</w:t>
      </w:r>
      <w:r>
        <w:t xml:space="preserve"> Russia–Ukraine crisis: The effects on the European stock market — https://doi.org/10.1111/eufm.12386</w:t>
      </w:r>
    </w:p>
    <w:p>
      <w:pPr/>
      <w:r>
        <w:rPr>
          <w:b/>
        </w:rPr>
        <w:t>Shared claim-specific concepts:</w:t>
      </w:r>
      <w:r>
        <w:t xml:space="preserve"> examine, industries; EU scope visible. This is a provisional connection, not an outcome finding.</w:t>
      </w:r>
    </w:p>
    <w:p>
      <w:pPr>
        <w:pStyle w:val="SourceNote"/>
      </w:pPr>
      <w:r>
        <w:rPr>
          <w:b/>
        </w:rPr>
        <w:t>Available abstract (not full text):</w:t>
      </w:r>
      <w:r>
        <w:t xml:space="preserve"> Abstract We examine the effect of the Russia–Ukraine crisis on the European stock markets. Because of increased political uncertainty, geographic proximity and the ramifications of the fresh sanctions imposed on Russia, the European stock markets tended to react negatively to this crisis. We find that on 21 February 2022, when Russia recognized two Ukrainian states as autonomous regions, European stocks incurred a significant negative abnormal return. Moreover, the negative stock price reactions continued in the post‐event period. The magnitude of the stock price reactions to this crisis exhibits considerable variation across industries, countries and size of the company.</w:t>
      </w:r>
    </w:p>
    <w:p>
      <w:pPr/>
      <w:r>
        <w:rPr>
          <w:b/>
        </w:rPr>
        <w:t>POSSIBLE 2022:</w:t>
      </w:r>
      <w:r>
        <w:t xml:space="preserve"> Factors impacting university–industry collaboration in European countries — https://doi.org/10.1186/s13731-022-00226-3</w:t>
      </w:r>
    </w:p>
    <w:p>
      <w:pPr/>
      <w:r>
        <w:rPr>
          <w:b/>
        </w:rPr>
        <w:t>Shared claim-specific concepts:</w:t>
      </w:r>
      <w:r>
        <w:t xml:space="preserve"> examine, factors, three; EU scope visible. This is a provisional connection, not an outcome finding.</w:t>
      </w:r>
    </w:p>
    <w:p>
      <w:pPr>
        <w:pStyle w:val="SourceNote"/>
      </w:pPr>
      <w:r>
        <w:rPr>
          <w:b/>
        </w:rPr>
        <w:t>Available abstract (not full text):</w:t>
      </w:r>
      <w:r>
        <w:t xml:space="preserve"> Abstract This paper aims to examine the links between university-industry collaboration (UIC) predictors (inputs), and the results of UIC cooperation (outputs). The focus of the research is UIC within the European Union member states and the Western Balkan countries.The analysis was conducted using the partial least squares structural equation modeling (PLS-SEM). This method enabled examining the links between variables that are not directly observable. The authors used data for the period of three years, 2015–2018. The results prove that countries investing in UIC predictors (inputs) have better UIC performance (outputs). Based on the statistical analysis, the authors identified the investments in knowledge, networking, and research and development (R&amp;D), in general, as the most significant that impact UIC performance.</w:t>
      </w:r>
    </w:p>
    <w:p>
      <w:pPr>
        <w:pStyle w:val="Heading2"/>
      </w:pPr>
      <w:r>
        <w:t>836.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2023:</w:t>
      </w:r>
      <w:r>
        <w:t xml:space="preserve"> Genomic epidemiology of West Nile virus in Europe — https://doi.org/10.1016/j.onehlt.2023.100664</w:t>
      </w:r>
    </w:p>
    <w:p>
      <w:pPr/>
      <w:r>
        <w:rPr>
          <w:b/>
        </w:rPr>
        <w:t>Shared claim-specific concepts:</w:t>
      </w:r>
      <w:r>
        <w:t xml:space="preserve"> since, one, main, occurred; EU scope visible. This is a provisional connection, not an outcome finding.</w:t>
      </w:r>
    </w:p>
    <w:p>
      <w:pPr>
        <w:pStyle w:val="SourceNote"/>
      </w:pPr>
      <w:r>
        <w:rPr>
          <w:b/>
        </w:rPr>
        <w:t>Available abstract (not full text):</w:t>
      </w:r>
      <w:r>
        <w:t xml:space="preserve"> West Nile virus is one of the most widespread mosquito-borne zoonotic viruses, with unique transmission dynamics in various parts of the world. Genomic surveillance has provided important insights in the global patterns of West Nile virus emergence and spread. In Europe, multiple West Nile virus lineages have been isolated, with lineage 1a and 2 being the main lineages responsible for human infections. In contrast to North America, where a single introduction of lineage 1a resulted in the virus establishing itself in a new continent, at least 13 introductions of lineages 1a and 2 have occurred into Europe, which is likely a vast underestimation of the true number of introductions. Historically, lineage 1a was the main lineage circulating in Europe, but since the emergence of lineage 2 in the early 2000s, the latter has become the predominant lineage. This shift in West Nile virus lineage prevalence has been broadly linked to the expansion of the virus into northerly temperate regions, where autochthonous cases in animals and humans have been reported in Germany and The Netherlands. Here, we discuss how genomic analysis has increased our understanding of the epidemiology of West Nile virus in Europe, and we present a global Nextstrain build consisting of publicly available West Nile virus genomes (https://nextstrain.org/community/grubaughlab/WNV-Global). Our results elucidate re</w:t>
      </w:r>
    </w:p>
    <w:p>
      <w:pPr/>
      <w:r>
        <w:rPr>
          <w:b/>
        </w:rPr>
        <w:t>POSSIBLE 2023:</w:t>
      </w:r>
      <w:r>
        <w:t xml:space="preserve"> The World Order Challenges and the Main Risks of European Integration — https://openalex.org/W4414693906</w:t>
      </w:r>
    </w:p>
    <w:p>
      <w:pPr/>
      <w:r>
        <w:rPr>
          <w:b/>
        </w:rPr>
        <w:t>Shared claim-specific concepts:</w:t>
      </w:r>
      <w:r>
        <w:t xml:space="preserve"> since, one, main, after, influence; EU scope visible. This is a provisional connection, not an outcome finding.</w:t>
      </w:r>
    </w:p>
    <w:p>
      <w:pPr>
        <w:pStyle w:val="SourceNote"/>
      </w:pPr>
      <w:r>
        <w:rPr>
          <w:b/>
        </w:rPr>
        <w:t>Available abstract (not full text):</w:t>
      </w:r>
      <w:r>
        <w:t xml:space="preserve"> This paper is dedicated to the World Economic Order and to its evolution since the end of the Second World War, while showing its influence on the European Union's position as one of the key global actors. The author highlights also the new phase of the Global Order and the main forces that drive a new system of international relations under the strength of regionalization. At the same time, the position of the EU under the pressure of the main challenging forces has been analysed by the author, after more than 15 years since the eruption and spreading of the deepest financial international crises of the last century. The 2008 international financial crash and the post-crisis period embodied a seismic shock to the world economy in the form of a deep economic recession. It is important in the rapidly changing world that the EU Member States take the necessary measures to increase their competitiveness position in the world.</w:t>
      </w:r>
    </w:p>
    <w:p>
      <w:pPr/>
      <w:r>
        <w:rPr>
          <w:b/>
        </w:rPr>
        <w:t>POSSIBLE 2023:</w:t>
      </w:r>
      <w:r>
        <w:t xml:space="preserve"> TRENDS AND MAIN WAYS OF UPGRADING EUROPEAN EDUCATION — https://doi.org/10.32342/2522-4115-2023-1-25-13</w:t>
      </w:r>
    </w:p>
    <w:p>
      <w:pPr/>
      <w:r>
        <w:rPr>
          <w:b/>
        </w:rPr>
        <w:t>Shared claim-specific concepts:</w:t>
      </w:r>
      <w:r>
        <w:t xml:space="preserve"> since, one, main, goals, identify, trends; EU scope visible. This is a provisional connection, not an outcome finding.</w:t>
      </w:r>
    </w:p>
    <w:p>
      <w:pPr>
        <w:pStyle w:val="SourceNote"/>
      </w:pPr>
      <w:r>
        <w:rPr>
          <w:b/>
        </w:rPr>
        <w:t>Available abstract (not full text):</w:t>
      </w:r>
      <w:r>
        <w:t xml:space="preserve"> In the modern socio-economic context of the development of educational systems, the processes of globalization and internationalization play an important role, which determine the reformation of higher education. Competition and cooperation between educational and scientific organizations are intensifying all over the world, the exchange of students, teachers, graduate students and researchers is intensifying, distance education is becoming widespread, and the role of continuing education is growing. The purpose of the research is to identify and justify system-wide trends in the renewal of European education. The main task of this research is to determine the mechanisms and characterize the orientation of the renewal of the European education system under the conditions of internationalization and globalization. The methodological basis of the research consists of: the general scientific principle of objectivity; the principle of historical and logical unity; systemic and contextual approach, principle of interconnection; sociological, cultural and pedagogical concepts. It is determined that today the European Union is one of the world leaders in research and innovation. It is scientific knowledge, experience, high standards of the research, developed research infrastructure that guarantee many years of successful cooperation between the EU and other countries. At the present </w:t>
      </w:r>
    </w:p>
    <w:p>
      <w:pPr/>
      <w:r>
        <w:rPr>
          <w:b/>
        </w:rPr>
        <w:t>POSSIBLE 2022:</w:t>
      </w:r>
      <w:r>
        <w:t xml:space="preserve"> Seropositivity of main vector-borne pathogens in dogs across Europe — https://doi.org/10.1186/s13071-022-05316-5</w:t>
      </w:r>
    </w:p>
    <w:p>
      <w:pPr/>
      <w:r>
        <w:rPr>
          <w:b/>
        </w:rPr>
        <w:t>Shared claim-specific concepts:</w:t>
      </w:r>
      <w:r>
        <w:t xml:space="preserve"> main, identify; EU scope visible. This is a provisional connection, not an outcome finding.</w:t>
      </w:r>
    </w:p>
    <w:p>
      <w:pPr>
        <w:pStyle w:val="SourceNote"/>
      </w:pPr>
      <w:r>
        <w:rPr>
          <w:b/>
        </w:rPr>
        <w:t>Available abstract (not full text):</w:t>
      </w:r>
      <w:r>
        <w:t xml:space="preserve"> BACKGROUND: Canine vector-borne disease (CVBD) has been an area of increasing interest in Europe over the last few decades, and there have been changes in the prevalence and distribution of many of these diseases. Monitoring CVBD infections in Europe is often done by individual countries, but aggregated data for the European countries are helpful to understand the distribution of CVBDs. METHODS: We used an extensive retrospective database of results from point-of-care rapid enzyme-linked immunosorbent assay (ELISA) tests on dogs across Europe to identify distribution and seropositivity in animals tested for selected CVBDs (Anaplasma spp., Ehrlichia spp., Borrelia burgdorferi, Leishmania spp., and Dirofilaria immitis) from 2016 through 2020. Geographic distribution of positive tests and relative percent positive values were mapped by the Nomenclature of Territorial Units for Statistics classification for regions with sufficient test results for reporting. RESULTS: A total of 404,617 samples corresponding to 1,134,648 canine results were available from dogs tested in 35 countries over the 5-year study period. Over this period the number of test results per year increased whereas test positivity decreased. Leishmania spp. had the largest increase in total test results from 25,000 results in 2016 to over 60,000 results in 2020. Test positivity for Leishmania spp. fell from 13.9% in</w:t>
      </w:r>
    </w:p>
    <w:p>
      <w:pPr/>
      <w:r>
        <w:rPr>
          <w:b/>
        </w:rPr>
        <w:t>POSSIBLE 2021:</w:t>
      </w:r>
      <w:r>
        <w:t xml:space="preserve"> The European Union's fishing activity outside of European waters and the Sustainable Development Goals — https://doi.org/10.1111/faf.12533</w:t>
      </w:r>
    </w:p>
    <w:p>
      <w:pPr/>
      <w:r>
        <w:rPr>
          <w:b/>
        </w:rPr>
        <w:t>Shared claim-specific concepts:</w:t>
      </w:r>
      <w:r>
        <w:t xml:space="preserve"> goals, identify; EU scope visible. This is a provisional connection, not an outcome finding.</w:t>
      </w:r>
    </w:p>
    <w:p>
      <w:pPr>
        <w:pStyle w:val="SourceNote"/>
      </w:pPr>
      <w:r>
        <w:rPr>
          <w:b/>
        </w:rPr>
        <w:t>Available abstract (not full text):</w:t>
      </w:r>
      <w:r>
        <w:t xml:space="preserve"> Abstract The EU's fishing fleet engages in extensive fishing activities in the Exclusive Economic Zones of non‐EU countries as well as in areas beyond national jurisdiction. These activities are regulated by an external dimension in the EU's Common Fisheries Policy (CFP). We review the relationship between the CFP, including regulations for the Sustainable Management of External Fishing Fleets (SMEFF) and the role of Sustainable Fisheries Partnership Agreements (SFPAs) and Regional Fisheries Management Organisations (RFMOs), and the internationally agreed aims and definitions of sustainability provided by the United Nations Sustainable Development Goals (SDGs). The SDG that most directly relates to fish and fisheries is goal 14, to "conserve and sustainably use the oceans." This paper, however, focuses on relationships between the CFP and SDGs that target social and economic dimensions, including those aiming to eliminate poverty (1) and hunger (2), improve health (3), provide decent work and economic growth (8), and achieve gender equality (5) and peaceful institutions (16). We identify several areas where the EU's external fishing fleet interacts with different facets of those goals, and suggest some important improvements that can be made to support the development of the EU’s external fleet into a contributor, rather than counterforce, to sustainable development in line wit</w:t>
      </w:r>
    </w:p>
    <w:p>
      <w:pPr/>
      <w:r>
        <w:rPr>
          <w:b/>
        </w:rPr>
        <w:t>POSSIBLE 2021:</w:t>
      </w:r>
      <w:r>
        <w:t xml:space="preserve"> Alignment of the European Green Deal, the Sustainable Development Goals and the European Semester Process: Method and Application — https://doi.org/10.4236/tel.2021.114049</w:t>
      </w:r>
    </w:p>
    <w:p>
      <w:pPr/>
      <w:r>
        <w:rPr>
          <w:b/>
        </w:rPr>
        <w:t>Shared claim-specific concepts:</w:t>
      </w:r>
      <w:r>
        <w:t xml:space="preserve"> main, goals, after, taken; EU scope visible. This is a provisional connection, not an outcome finding.</w:t>
      </w:r>
    </w:p>
    <w:p>
      <w:pPr>
        <w:pStyle w:val="SourceNote"/>
      </w:pPr>
      <w:r>
        <w:rPr>
          <w:b/>
        </w:rPr>
        <w:t>Available abstract (not full text):</w:t>
      </w:r>
      <w:r>
        <w:t xml:space="preserve"> The Agenda 2030 with its 17 Sustainable Development Goals (SDGs) along with the European Green Deal and its 9 Policy Areas, are the key strategic frameworks for the transformation of Europe into a climate-neutral continent in the future decades. Thus, the mandates derived from these contexts must be taken into consideration by the European countries. This report aims to suggest a methodology for the co-integration of the Sustainable Development Goals (SDGs) and the European Green Deal (EGD), with the Country-specific recommendations (CSRs) made by the European Commission as part of the Semester process. At the same time, all these should be aligned with the EU Recovery Plan, to supply applicable strategies to the European policymakers and strengthen the national recovery Plans of the Member States, which are driven by the above-mentioned EU-driven packs, in line with the superior UN Agenda for the Sustainable Development. For the alignment of CSRs, the SDGs, and the EGD a 3D-mapping approach is proposed. After the Introduction in Section 1, the framework of the applicable Policies is presented in Section 2 and our Methodology is described in Section 3. In Section 4 our results are demonstrated for the EU and in Section 5 the main conclusions are listed along with a discussion for future directions. Our analysis shows that overall, the EU has sufficiently incorporated the SDGs i</w:t>
      </w:r>
    </w:p>
    <w:p>
      <w:pPr/>
      <w:r>
        <w:rPr>
          <w:b/>
        </w:rPr>
        <w:t>POSSIBLE 2020:</w:t>
      </w:r>
      <w:r>
        <w:t xml:space="preserve"> Identity Politics and Populism in Europe — https://doi.org/10.1146/annurev-polisci-050718-033542</w:t>
      </w:r>
    </w:p>
    <w:p>
      <w:pPr/>
      <w:r>
        <w:rPr>
          <w:b/>
        </w:rPr>
        <w:t>Shared claim-specific concepts:</w:t>
      </w:r>
      <w:r>
        <w:t xml:space="preserve"> since, main, political; EU scope visible. This is a provisional connection, not an outcome finding.</w:t>
      </w:r>
    </w:p>
    <w:p>
      <w:pPr>
        <w:pStyle w:val="SourceNote"/>
      </w:pPr>
      <w:r>
        <w:rPr>
          <w:b/>
        </w:rPr>
        <w:t>Available abstract (not full text):</w:t>
      </w:r>
      <w:r>
        <w:t xml:space="preserve"> We review the literature on the rise of identity politics and populism in Europe. Populist parties have gained large vote shares since the Great Recession of 2008. We observe in many countries, and even in the European Parliament, a transformation of the main dimension of politics from the left–right cleavage to a new cleavage opposing the mainstream parties to populist parties. We examine how this transformation relates to changes in voter attitudes and the adjustment of political parties to these changes. Two main types of causes for the rise of populism have emerged: economic and cultural. In reviewing the evidence, we find a complex interaction between economic and cultural factors. Economic anxiety among large groups of voters related to the Great Recession and austerity policies triggers a heightened receptivity to the messages of cultural backlash from populist parties.</w:t>
      </w:r>
    </w:p>
    <w:p>
      <w:pPr>
        <w:pStyle w:val="Heading2"/>
      </w:pPr>
      <w:r>
        <w:t>837.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2026:</w:t>
      </w:r>
      <w:r>
        <w:t xml:space="preserve"> Cellular agriculture in the media: newspaper coverage in Australia, Brazil, Germany, and India — https://doi.org/10.5194/gh-81-255-2026</w:t>
      </w:r>
    </w:p>
    <w:p>
      <w:pPr/>
      <w:r>
        <w:rPr>
          <w:b/>
        </w:rPr>
        <w:t>Shared claim-specific concepts:</w:t>
      </w:r>
      <w:r>
        <w:t xml:space="preserve"> countries, australia, brazil, germany, india; EU scope visible. This is a provisional connection, not an outcome finding.</w:t>
      </w:r>
    </w:p>
    <w:p>
      <w:pPr>
        <w:pStyle w:val="SourceNote"/>
      </w:pPr>
      <w:r>
        <w:rPr>
          <w:b/>
        </w:rPr>
        <w:t>Available abstract (not full text):</w:t>
      </w:r>
      <w:r>
        <w:t xml:space="preserve"> Cellular agriculture (CellAg) emerges as a technology aiming to address critical issues within the food system by offering an alternative to conventional meat. The dissemination of information about it to non-scientific communities faces challenges regarding the translation of complex technical developments, with the public reliant on the coverage from media outlets. We developed a collaborative approach to contribute to this discussion, focusing on four cases: Brazil, India, Australia, and Germany. Newspapers from these countries were analyzed using a qualitative content analysis and a subsequent joint interpretation. A major finding was the striking similarity in the main topics covered by the media in the studied countries. In addition, a large proportion of newspaper articles adopted a positive and market-oriented perspective. Germany stands out for its emphasis on research and development news. Australia is characterized by its focus on market and consumption elements. India is notable for its prioritization of food security. Brazil highlights market factors and brings to light concerns about market barriers. The results deserve further studies as they reveal that societies across geographical areas are receiving mostly superficial positive news instead of perspectives with higher-quality analyses of all impacts that may occur.</w:t>
      </w:r>
    </w:p>
    <w:p>
      <w:pPr/>
      <w:r>
        <w:rPr>
          <w:b/>
        </w:rPr>
        <w:t>POSSIBLE 2025:</w:t>
      </w:r>
      <w:r>
        <w:t xml:space="preserve"> The Brazilian and Australian political-institutional scenario concerning water resources management — https://doi.org/10.5585/2025.25216</w:t>
      </w:r>
    </w:p>
    <w:p>
      <w:pPr/>
      <w:r>
        <w:rPr>
          <w:b/>
        </w:rPr>
        <w:t>Shared claim-specific concepts:</w:t>
      </w:r>
      <w:r>
        <w:t xml:space="preserve"> countries, australia, brazil, states; EU scope not established. This is a provisional connection, not an outcome finding.</w:t>
      </w:r>
    </w:p>
    <w:p>
      <w:pPr>
        <w:pStyle w:val="SourceNote"/>
      </w:pPr>
      <w:r>
        <w:rPr>
          <w:b/>
        </w:rPr>
        <w:t>Available abstract (not full text):</w:t>
      </w:r>
      <w:r>
        <w:t xml:space="preserve"> Aim: This research aims to analytically compare the functioning of the institutional procedures concerning water resources management in Brazil and Australia. Method: Through a literature review and document analysis, this paper presents a characterization of the Brazilian and Australian political-institutional water management scenarios based on both direct and indirect information sources. It then compares the institutional processes of these two countries using a SWOT matrix analysis, highlighting their strengths, weaknesses, opportunities, and threats. Novelty/Relevance: This research seeks to fill a scientific information gap by examining how actors in both developing and developed countries' influence decision-making toward more sustainable environmental management, using water management as a case study. Results: The results show that both countries have legislation prescribing decentralized and participatory decision-making processes. However, the implementation of this legislation does not guarantee democratic management of hydric resources. Moreover, the stages and scopes of legislative implementation and execution differ between Brazil and Australia. The Brazilian institutional scenario demonstrates a weaker capacity for implementing and enforcing water legislation compared to Australia, where a more developed water management system exists, and society shows greater</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2023:</w:t>
      </w:r>
      <w:r>
        <w:t xml:space="preserve"> Cross-cultural Communication of Traditional Chinese Medicine under the Background of the Belt and Road Initiative —A Case Study of Central and Eastern European countries — https://doi.org/10.22158/jecs.v7n4p25</w:t>
      </w:r>
    </w:p>
    <w:p>
      <w:pPr/>
      <w:r>
        <w:rPr>
          <w:b/>
        </w:rPr>
        <w:t>Shared claim-specific concepts:</w:t>
      </w:r>
      <w:r>
        <w:t xml:space="preserve"> countries, australia, canada, france, japan, united; EU scope visible. This is a provisional connection, not an outcome finding.</w:t>
      </w:r>
    </w:p>
    <w:p>
      <w:pPr>
        <w:pStyle w:val="SourceNote"/>
      </w:pPr>
      <w:r>
        <w:rPr>
          <w:b/>
        </w:rPr>
        <w:t>Available abstract (not full text):</w:t>
      </w:r>
      <w:r>
        <w:t xml:space="preserve"> With the effective implementation of the Belt and Road Initiative, Chinese culture has been accepted by more and more Central and Eastern European countries, and has further promoted political, economic and cultural exchanges and cooperation among these countries. As an important part of Chinese culture, traditional Chinese medicine (TCM) has become a channel of cultural exchange, and has been paid more and more attention. However, in general, the development and scale of traditional Chinese medicine in central and Eastern Europe are far smaller than that of the United States, Canada and Japan, and Australia as well as Western European countries, such as the United Kingdom, France and the Netherlands. Therefore, it is necessary to promote traditional Chinese medicine to CEE in order to further spread traditional Chinese medicine culture and open up more opportunities for cooperation.</w:t>
      </w:r>
    </w:p>
    <w:p>
      <w:pPr/>
      <w:r>
        <w:rPr>
          <w:b/>
        </w:rPr>
        <w:t>POSSIBLE 2023:</w:t>
      </w:r>
      <w:r>
        <w:t xml:space="preserve"> Engagement of European Countries in the Implementation of the US Indo-Pacific Strategy (Part 1) — https://doi.org/10.22394/1726-1139-2023-11-25-45</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2022:</w:t>
      </w:r>
      <w:r>
        <w:t xml:space="preserve"> Systematic literature review and meta-analysis of the prevalence of secondary progressive multiple sclerosis in the USA, Europe, Canada, Australia, and Brazil — https://doi.org/10.1186/s12883-022-02820-0</w:t>
      </w:r>
    </w:p>
    <w:p>
      <w:pPr/>
      <w:r>
        <w:rPr>
          <w:b/>
        </w:rPr>
        <w:t>Shared claim-specific concepts:</w:t>
      </w:r>
      <w:r>
        <w:t xml:space="preserve"> countries, australia, brazil, canada, united, states; EU scope visible. This is a provisional connection, not an outcome finding.</w:t>
      </w:r>
    </w:p>
    <w:p>
      <w:pPr>
        <w:pStyle w:val="SourceNote"/>
      </w:pPr>
      <w:r>
        <w:rPr>
          <w:b/>
        </w:rPr>
        <w:t>Available abstract (not full text):</w:t>
      </w:r>
      <w:r>
        <w:t xml:space="preserve"> BACKGROUND: Secondary progressive multiple sclerosis (SPMS) is a subtype of multiple sclerosis (MS), which is a chronic neurological disease, characterised by inflammation of the central nervous system. Most of MS patients eventually progress to SPMS. This study estimates the prevalence of SPMS in the United States of America, Europe, Canada, Australia, and Brazil. METHODS: A systematic literature search of the Medline and Embase databases was performed using the OVID™ SP platform to identify MS epidemiological studies published in English from database inception to September 22, 2020. Studies reporting the prevalence of MS and proportion of SPMS patients in the included population were selected. The pooled prevalence of SPMS was calculated based on the proportion of SPMS patients. The Loney quality assessment checklist was used for quality grading. A meta-analysis of the proportions was conducted in RStudio. RESULTS: A total of 4754 articles were retrieved, and prevalence was calculated from 97 relevant studies. Overall, 86 medium- and high-quality studies were included in the meta-analysis. Most studies were conducted in European countries (84 studies). The estimated pooled prevalence of SPMS was 22.42 (99% confidence interval: 18.30, 26.95)/100,000. The prevalence of SPMS was more in the North European countries, highest in Sweden and lowest in Brazil. A decline in SPMS prev</w:t>
      </w:r>
    </w:p>
    <w:p>
      <w:pPr/>
      <w:r>
        <w:rPr>
          <w:b/>
        </w:rPr>
        <w:t>POSSIBLE 2022:</w:t>
      </w:r>
      <w:r>
        <w:t xml:space="preserve"> Potential Distribution of and Sensitivity Analysis for Urochloa panicoides Weed Using Modeling: An Implication of Invasion Risk Analysis for China and Europe — https://doi.org/10.3390/plants11131761</w:t>
      </w:r>
    </w:p>
    <w:p>
      <w:pPr/>
      <w:r>
        <w:rPr>
          <w:b/>
        </w:rPr>
        <w:t>Shared claim-specific concepts:</w:t>
      </w:r>
      <w:r>
        <w:t xml:space="preserve"> countries, australia, brazil, china, india, mexico; EU scope visible. This is a provisional connection, not an outcome finding.</w:t>
      </w:r>
    </w:p>
    <w:p>
      <w:pPr>
        <w:pStyle w:val="SourceNote"/>
      </w:pPr>
      <w:r>
        <w:rPr>
          <w:b/>
        </w:rPr>
        <w:t>Available abstract (not full text):</w:t>
      </w:r>
      <w:r>
        <w:t xml:space="preserve"> Urochloapanicoides P. Beauv. is considered one of the most harmful weeds in the United States and Australia. It is invasive in Pakistan, Mexico, and Brazil, but its occurrence is hardly reported in China and European countries. Species distribution models enable the measurement of the impact of climate change on plant growth, allowing for risk analysis, effective management, and invasion prevention. The objective of this study was to develop current and future climate models of suitable locations for U. panicoides and to determine the most influential climatic parameters. Occurrence data and biological information on U. panicoides were collected, and climatic parameters were used to generate the Ecoclimatic Index (EI) and to perform sensitivity analysis. The future projections for 2050, 2080, and 2100 were modeled under the A2 SRES scenario using the Global Climate Model, CSIRO-Mk3.0 (CS). The potential distribution of U. panicoides coincided with the data collected, and the reliability of the final model was demonstrated. The generated model identified regions where the occurrence was favorable, despite few records of the species. Sensitivity analysis showed that the most sensitive parameters of the model were related to temperature, humidity, and cold stress. Future projections predict reductions in climate suitability for U. panicoides in Brazil, Australia, India, and Africa</w:t>
      </w:r>
    </w:p>
    <w:p>
      <w:pPr/>
      <w:r>
        <w:rPr>
          <w:b/>
        </w:rPr>
        <w:t>POSSIBLE 2021:</w:t>
      </w:r>
      <w:r>
        <w:t xml:space="preserve"> Relevant aspects of carbon storage activities’ liability in paradigmatic countries: Australia, Brazil, Canada, European Union, Japan, Norway, United Kingdom, and United States — https://doi.org/10.1016/b978-0-323-85250-0.00013-x</w:t>
      </w:r>
    </w:p>
    <w:p>
      <w:pPr/>
      <w:r>
        <w:rPr>
          <w:b/>
        </w:rPr>
        <w:t>Shared claim-specific concepts:</w:t>
      </w:r>
      <w:r>
        <w:t xml:space="preserve"> countries, australia, brazil, canada, japan, united;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Comparison of Prices and Affordability of Cancer Medicines in 16 Countries in Europe and Latin America — https://doi.org/10.1007/s40258-021-00670-4</w:t>
      </w:r>
    </w:p>
    <w:p>
      <w:pPr/>
      <w:r>
        <w:rPr>
          <w:b/>
        </w:rPr>
        <w:t>Shared claim-specific concepts:</w:t>
      </w:r>
      <w:r>
        <w:t xml:space="preserve"> countries, brazil, france, germany, mexico, national; EU scope visible. This is a provisional connection, not an outcome finding.</w:t>
      </w:r>
    </w:p>
    <w:p>
      <w:pPr>
        <w:pStyle w:val="SourceNote"/>
      </w:pPr>
      <w:r>
        <w:rPr>
          <w:b/>
        </w:rPr>
        <w:t>Available abstract (not full text):</w:t>
      </w:r>
      <w:r>
        <w:t xml:space="preserve"> BACKGROUND: There are concerns that high prices of cancer medicines may limit patient access. Since information on prices for cancer medicines and their impact on affordability is lacking for several countries, particularly for lower income countries, this study surveys prices of originator cancer medicines in Europe and Latin America and assesses their affordability. METHODS: For 19 cancer medicines, public procurement and ex-factory prices, as of 2017, were surveyed in five Latin American (LATAM) countries (Brazil, Chile, Colombia, Mexico, and Peru) and 11 European countries (Austria, France, Germany, Greece, Hungary, the Netherlands, Poland, Romania, Spain, Sweden, and the UK). Price data (public procurement prices in LATAM and ex-factory prices in Europe) in US dollar purchasing power parities (PPP) were analyzed per defined daily dose. Affordability was measured by setting medicines prices in relation to national minimum wages. RESULTS: The prices of cancer medicines varied considerably between countries. In European countries with higher levels of income, PPP-adjusted prices tended to be lower than in European countries of lower income and LATAM countries. Except for one medicine, all surveyed medicines were considered unaffordable in most countries. In European countries of lower income and LATAM countries, more than 15 days' worth of minimum wages would be required by a</w:t>
      </w:r>
    </w:p>
    <w:p>
      <w:pPr/>
      <w:r>
        <w:rPr>
          <w:b/>
        </w:rPr>
        <w:t>POSSIBLE 2021:</w:t>
      </w:r>
      <w:r>
        <w:t xml:space="preserve"> Clinical practices related to high-flow nasal cannulas in pediatric critical care in Brazil compared to other countries: a Brazilian survey — https://doi.org/10.5935/0103-507x.20210055</w:t>
      </w:r>
    </w:p>
    <w:p>
      <w:pPr/>
      <w:r>
        <w:rPr>
          <w:b/>
        </w:rPr>
        <w:t>Shared claim-specific concepts:</w:t>
      </w:r>
      <w:r>
        <w:t xml:space="preserve"> countries, australia, brazil, canada, india, south; EU scope visible. This is a provisional connection, not an outcome finding.</w:t>
      </w:r>
    </w:p>
    <w:p>
      <w:pPr>
        <w:pStyle w:val="SourceNote"/>
      </w:pPr>
      <w:r>
        <w:rPr>
          <w:b/>
        </w:rPr>
        <w:t>Available abstract (not full text):</w:t>
      </w:r>
      <w:r>
        <w:t xml:space="preserve"> OBJECTIVE: To describe current clinical practices related to the use of high-flow nasal cannula therapy by Brazilian pediatric intensivists and compare them with those in other countries. METHODS: A questionnaire was administered to pediatric intensivists in North and South America, Asia, Europe, and Australia/New Zealand for the main study. We compared the Brazilian cohort with cohorts in the United States of America, Canada, the United Kingdom, and India. RESULTS: Overall, 501 physicians responded, 127 of which were in Brazil. Only 63.8% of respondents in Brazil had a high-flow nasal cannula available, in contrast to 100% of respondents in the United Kingdom, Canada, and the United States. The attending physician was responsible for the decision to start a high-flow nasal cannula according to 61.2% respondents in Brazil, 95.5% in the United Kingdom, 96.6% in the United States, 96.8% in Canada, and 84.7% in India. A total of 62% of respondents in Brazil, 96.3% in the United Kingdom, 96.6% in the United States, 96.8% in Canada, and 84.7% in India reported that the attending physician was responsible for the decision to wean or modify the high-flow nasal cannula settings. When high-flow nasal cannula therapy failed due to respiratory distress/failure, 82% of respondents in Brazil would consider a trial of noninvasive ventilation before endotracheal intubation, compared to 93% in</w:t>
      </w:r>
    </w:p>
    <w:p>
      <w:pPr>
        <w:pStyle w:val="Heading2"/>
      </w:pPr>
      <w:r>
        <w:t>838.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driven, need, industrial, potential;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2023:</w:t>
      </w:r>
      <w:r>
        <w:t xml:space="preserve"> Bedrock geological map predictions for Phanerozoic fossil occurrences — https://doi.org/10.1017/pab.2022.46</w:t>
      </w:r>
    </w:p>
    <w:p>
      <w:pPr/>
      <w:r>
        <w:rPr>
          <w:b/>
        </w:rPr>
        <w:t>Shared claim-specific concepts:</w:t>
      </w:r>
      <w:r>
        <w:t xml:space="preserve"> fossil, need, expected; EU scope visible. This is a provisional connection, not an outcome finding.</w:t>
      </w:r>
    </w:p>
    <w:p>
      <w:pPr>
        <w:pStyle w:val="SourceNote"/>
      </w:pPr>
      <w:r>
        <w:rPr>
          <w:b/>
        </w:rPr>
        <w:t>Available abstract (not full text):</w:t>
      </w:r>
      <w:r>
        <w:t xml:space="preserve"> Abstract Geographically explicit, taxonomically resolved fossil occurrences are necessary for reconstructing macroevolutionary patterns and for testing a wide range of hypotheses in the Earth and life sciences. Heterogeneity in the spatial and temporal distribution of fossil occurrences in the Paleobiology Database (PBDB) is attributable to several different factors, including turnover among biological communities, socioeconomic disparities in the intensity of paleontological research, and geological controls on the distribution and fossil yield of sedimentary deposits. Here we use the intersection of global geological map data from Macrostrat and fossil collections in the PBDB to assess the extent to which the potentially fossil-bearing, surface-expressed sedimentary record has yielded fossil occurrences. We find a significant and moderately strong positive correlation between geological map area and the number of fossil occurrences. This correlation is consistent regardless of map unit age and binning protocol, except at period level; the Neogene and Quaternary have non-marine map units covering large areas and yielding fewer occurrences than expected. The sedimentary record of North America and Europe yields significantly more fossil occurrences per sedimentary area than similarly aged deposits in most of the rest of the world. However, geographic differences in area and age</w:t>
      </w:r>
    </w:p>
    <w:p>
      <w:pPr/>
      <w:r>
        <w:rPr>
          <w:b/>
        </w:rPr>
        <w:t>POSSIBLE 2023:</w:t>
      </w:r>
      <w:r>
        <w:t xml:space="preserve"> Assessing the energy trap of industrial agriculture in North America and Europe: 82 balances from 1830 to 2012 — https://doi.org/10.1007/s13593-023-00925-5</w:t>
      </w:r>
    </w:p>
    <w:p>
      <w:pPr/>
      <w:r>
        <w:rPr>
          <w:b/>
        </w:rPr>
        <w:t>Shared claim-specific concepts:</w:t>
      </w:r>
      <w:r>
        <w:t xml:space="preserve"> driven, growing, industrial, production, conclude; EU scope visible. This is a provisional connection, not an outcome finding.</w:t>
      </w:r>
    </w:p>
    <w:p>
      <w:pPr>
        <w:pStyle w:val="SourceNote"/>
      </w:pPr>
      <w:r>
        <w:rPr>
          <w:b/>
        </w:rPr>
        <w:t>Available abstract (not full text):</w:t>
      </w:r>
      <w:r>
        <w:t xml:space="preserve">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pPr/>
      <w:r>
        <w:rPr>
          <w:b/>
        </w:rPr>
        <w:t>POSSIBLE 2023:</w:t>
      </w:r>
      <w:r>
        <w:t xml:space="preserve"> Potential impacts of rapidly changing european use of fossil fuels on global warming — https://doi.org/10.1088/2515-7620/acf3d7</w:t>
      </w:r>
    </w:p>
    <w:p>
      <w:pPr/>
      <w:r>
        <w:rPr>
          <w:b/>
        </w:rPr>
        <w:t>Shared claim-specific concepts:</w:t>
      </w:r>
      <w:r>
        <w:t xml:space="preserve"> fossil, pathways, potential; EU scope visible. This is a provisional connection, not an outcome finding.</w:t>
      </w:r>
    </w:p>
    <w:p>
      <w:pPr>
        <w:pStyle w:val="SourceNote"/>
      </w:pPr>
      <w:r>
        <w:rPr>
          <w:b/>
        </w:rPr>
        <w:t>Available abstract (not full text):</w:t>
      </w:r>
      <w:r>
        <w:t xml:space="preserve"> Abstract The balance of primary energy sources for Europe has been changing rapidly over recent decades, shifting towards more renewables and using fossil fuels with lower carbon emissions. However, the latter is being impacted by the Russia-Ukraine conflict. Here, we determine the potential bounds of how this may affect global warming, based on whether the European use of Russian gas and oil is replaced with either less efficient burning of coal (with and without the gas and oil then used in new markets elsewhere) or with renewables. We perform calculations as perturbations from a baseline carbon dioxide (CO2) trajectory associated with ‘middle range’ and ‘low’ Shared Socioeconomic Pathways (SSP), SSP2-45 and SSP1-26. We calculate the CO2 perturbations as a simulated step change in emissions for the year 2023, which then decays linearly to zero by 2043. The emission profiles drive the FaIR simple climate model. FaIR links greenhouse gas emissions to global warming levels and includes a representation of warming uncertainty based on projections made using more complex Earth system models. We find that the direct impact of the conflict on the global mean temperature is likely to be relatively small, amounting to the worst case of nearly one-hundredth of a degree. This warming is equivalent to approximately an extra half year of current global CO2 emissions. However, we suggest t</w:t>
      </w:r>
    </w:p>
    <w:p>
      <w:pPr/>
      <w:r>
        <w:rPr>
          <w:b/>
        </w:rPr>
        <w:t>POSSIBLE 2021:</w:t>
      </w:r>
      <w:r>
        <w:t xml:space="preserve"> Growing environmental footprint of plastics driven by coal combustion — https://doi.org/10.1038/s41893-021-00807-2</w:t>
      </w:r>
    </w:p>
    <w:p>
      <w:pPr/>
      <w:r>
        <w:rPr>
          <w:b/>
        </w:rPr>
        <w:t>Shared claim-specific concepts:</w:t>
      </w:r>
      <w:r>
        <w:t xml:space="preserve"> driven, growing, sustainable, production; EU scope visible. This is a provisional connection, not an outcome finding.</w:t>
      </w:r>
    </w:p>
    <w:p>
      <w:pPr>
        <w:pStyle w:val="SourceNote"/>
      </w:pPr>
      <w:r>
        <w:rPr>
          <w:b/>
        </w:rPr>
        <w:t>Available abstract (not full text):</w:t>
      </w:r>
      <w:r>
        <w:t xml:space="preserve"> Abstract Research on the environmental impacts from the global value chain of plastics has typically focused on the disposal phase, considered most harmful to the environment and human health. However, the production of plastics is also responsible for substantial environmental, health and socioeconomic impacts. We show that the carbon and particulate-matter-related health footprint of plastics has doubled since 1995, due mainly to growth in plastics production in coal-based economies. Coal-based emissions have quadrupled since 1995, causing almost half of the plastics-related carbon and particulate-matter-related health footprint in 2015. Plastics-related carbon footprints of China’s transportation, Indonesia’s electronics industry and India’s construction sector have increased more than 50-fold since 1995. In 2015, plastics caused 4.5% of global greenhouse gas emissions. Moreover, 6% of global coal electricity is used for plastics production. The European Union and the United States have increasingly consumed plastics produced in coal-based economies. In 2015, 85% of the workforce required for plastics consumed by the European Union and the United States was employed abroad, but 80% of the related value added was generated domestically. As high-income regions have outsourced the energy-intensive steps of plastics production to coal-based economies, renewable energy investment</w:t>
      </w:r>
    </w:p>
    <w:p>
      <w:pPr/>
      <w:r>
        <w:rPr>
          <w:b/>
        </w:rPr>
        <w:t>POSSIBLE 2021:</w:t>
      </w:r>
      <w:r>
        <w:t xml:space="preserve"> Fossil Natural Gas Exit – A New Narrative for the European Energy Transformation Towards Decarbonization — https://doi.org/10.5547/2160-5890.10.2.chir</w:t>
      </w:r>
    </w:p>
    <w:p>
      <w:pPr/>
      <w:r>
        <w:rPr>
          <w:b/>
        </w:rPr>
        <w:t>Shared claim-specific concepts:</w:t>
      </w:r>
      <w:r>
        <w:t xml:space="preserve"> growing, fossil, need, potential; EU scope visible. This is a provisional connection, not an outcome finding.</w:t>
      </w:r>
    </w:p>
    <w:p>
      <w:pPr>
        <w:pStyle w:val="SourceNote"/>
      </w:pPr>
      <w:r>
        <w:rPr>
          <w:b/>
        </w:rPr>
        <w:t>Available abstract (not full text):</w:t>
      </w:r>
      <w:r>
        <w:t xml:space="preserve"> This paper discusses the potential role of fossil natural gas (and other gases) in the process of the energy transformation in Europe on its way to complete decarbonization. Mainstream conventional wisdom has it that natural gas, perhaps in combination with other gases, should maintain an important role in the energy mix, first, as a “bridge fuel”, and then through a gradual transition toward decarbonized gases. This is most comprehensively rolled out in three consecutive discussion papers by Jonathan Stern from the Oxford Institute for Energy Studies (2017b, 2017a, 2019). Based on an in- depth assessment of the ambitious climate targets of the EU and the subsequent need for far-reaching decarbonization, as well as on results from energy system modeling, a contrasting result emerges, where the disappearance of fossil natural gas and its corresponding infrastructure is the next logical step of the transformation process in Europe. The lack of an economic perspective for nuclear power and the absence of a plausible deployment of large-scale carbon-dioxide removal technologies (CDR) imply that natural gas has no “sweet spot” any longer in the decarbonization process. In other words: Fossil natural gas is no longer part of the solution to the challenge of climate change, but has become part of the problem. Over the last years, the phasing out of natural gas in Europe has already st</w:t>
      </w:r>
    </w:p>
    <w:p>
      <w:pPr/>
      <w:r>
        <w:rPr>
          <w:b/>
        </w:rPr>
        <w:t>POSSIBLE 2020:</w:t>
      </w:r>
      <w:r>
        <w:t xml:space="preserve"> European heart health survey 2019 — https://doi.org/10.1002/clc.23478</w:t>
      </w:r>
    </w:p>
    <w:p>
      <w:pPr/>
      <w:r>
        <w:rPr>
          <w:b/>
        </w:rPr>
        <w:t>Shared claim-specific concepts:</w:t>
      </w:r>
      <w:r>
        <w:t xml:space="preserve"> driven, awareness, potential; EU scope visible. This is a provisional connection, not an outcome finding.</w:t>
      </w:r>
    </w:p>
    <w:p>
      <w:pPr>
        <w:pStyle w:val="SourceNote"/>
      </w:pPr>
      <w:r>
        <w:rPr>
          <w:b/>
        </w:rPr>
        <w:t>Available abstract (not full text):</w:t>
      </w:r>
      <w:r>
        <w:t xml:space="preserve"> BACKGROUND: Rising life expectancy in the western population is increasing the prevalence of heart valve diseases (HVD). HYPOTHESIS: The level of awareness and initial screening for HVD should be sufficient. The potential impact of HVD on the daily activities of the elderly population in Europe might affect our society. METHODS AND RESULTS: A survey was conducted, including a total of 12 832 people aged ≥ 60 years in 11 European countries. Of all the people surveyed, 5.6% could correctly describe aortic valve stenosis. Most participants (75.0%) claimed they regularly do activities like sports or social activities, 29.2% provide care for a family member, friend or acquaintance. The majority (69.2%) would be prevented from doing these activities by symptoms such as chest pain, fatigue or shortness of breath. Having chest pain (76.5%) and shortness of breath (57.8%) were reasons for most people to arrange an appointment with their GP, whereas only 26.2% would visit a GP for fatigue. 67.6% of respondents claimed to be checked with a stethoscope by their GP occasionally, never, or only when they ask. The preferred treatment option for HVD is a keyhole procedure (45.8%), whereas open heart surgery would only be preferred by 7.0%. CONCLUSION: Knowledge about HVD is still low. Neither appointments with a GP driven by symptoms nor regular use of a stethoscope are a reliable guarantee fo</w:t>
      </w:r>
    </w:p>
    <w:p>
      <w:pPr>
        <w:pStyle w:val="Heading2"/>
      </w:pPr>
      <w:r>
        <w:t>839.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2023:</w:t>
      </w:r>
      <w:r>
        <w:t xml:space="preserve"> Zero population growth rate and eldercare hours: Are both optimal for some European Union countries?# — https://doi.org/10.1111/1468-0106.12418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As zero population growth rates have existed for approximately 30 years in many European Union countries, one wonders whether this is optimal in these countries, considering differences in consumer preferences and wages. In this paper, we construct a framework to examine this issue, in particular incorporating both eldercare and immigration. Our theoretical and empirical analyses show that zero population growth rates are optimal, population growth rates and eldercare hours are determined separately, and eldercare hours may be optimal because of added support with public long‐term care spending of each country.</w:t>
      </w:r>
    </w:p>
    <w:p>
      <w:pPr/>
      <w:r>
        <w:rPr>
          <w:b/>
        </w:rPr>
        <w:t>POSSIBLE 2023:</w:t>
      </w:r>
      <w:r>
        <w:t xml:space="preserve"> Solving the stochastic dynamics of population growth — https://doi.org/10.1002/ece3.10295</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Population growth is a fundamental process in ecology and evolution. The population size dynamics during growth are often described by deterministic equations derived from kinetic models. Here, we simulate several population growth models and compare the size averaged over many stochastic realizations with the deterministic predictions. We show that these deterministic equations are generically bad predictors of the average stochastic population dynamics. Specifically, deterministic predictions overestimate the simulated population sizes, especially those of populations starting with a small number of individuals. Describing population growth as a stochastic birth process, we prove that the discrepancy between deterministic predictions and simulated data is due to unclosed-moment dynamics. In other words, the deterministic approach does not consider the variability of birth times, which is particularly important with small population sizes. We show that some moment-closure approximations describe the growth dynamics better than the deterministic prediction. However, they do not reduce the error satisfactorily and only apply to some population growth models. We explicitly solve the stochastic growth dynamics, and our solution applies to any population growth model. We show that our solution exactly quantifies the dynamics of a community composed of different strains and correctl</w:t>
      </w:r>
    </w:p>
    <w:p>
      <w:pPr/>
      <w:r>
        <w:rPr>
          <w:b/>
        </w:rPr>
        <w:t>POSSIBLE 2022:</w:t>
      </w:r>
      <w:r>
        <w:t xml:space="preserve"> Effects of Immigrants, Health, and Ageing on Economic Growth in the European Union — https://doi.org/10.3390/ijerph20010224</w:t>
      </w:r>
    </w:p>
    <w:p>
      <w:pPr/>
      <w:r>
        <w:rPr>
          <w:b/>
        </w:rPr>
        <w:t>Shared claim-specific concepts:</w:t>
      </w:r>
      <w:r>
        <w:t xml:space="preserve"> population, union, number, modeled; EU scope visible. This is a provisional connection, not an outcome finding.</w:t>
      </w:r>
    </w:p>
    <w:p>
      <w:pPr>
        <w:pStyle w:val="SourceNote"/>
      </w:pPr>
      <w:r>
        <w:rPr>
          <w:b/>
        </w:rPr>
        <w:t>Available abstract (not full text):</w:t>
      </w:r>
      <w:r>
        <w:t xml:space="preserve"> Population ageing and low birth rates are two problems of the EU that have an impact on employment, production, and economic growth. Against this background, immigration, health expenditure, and the health of migrants must become a key element of European policy. For this reason, this paper focused on identifying the effect of immigration, health, and ageing on economic growth in order to highlight their importance from an economic perspective. We constructed different econometric models with Eurostat data for 27 countries and 13 years (2008-2020), whose dependent variable was gross domestic product. Independent variables were the number of immigrants by gender and age, health expenditure per capita (total and by function), immigrants' perception of their health as very good, and the proportion of the population aged 65 years and over. The model selected to analyze the results was Prais-Winsten regression heteroskedastic panels corrected standard errors modeled by applying the option (ar1) to correct for autocorrelation, using Stata software (version 16). The results show that health expenditure has a significant positive effect on economic growth, higher in hospital services, followed by medical products; immigrants' perception as very good is only significant in some models. The number of immigrants has a (positive) effect, although less significant than public expenditure on</w:t>
      </w:r>
    </w:p>
    <w:p>
      <w:pPr/>
      <w:r>
        <w:rPr>
          <w:b/>
        </w:rPr>
        <w:t>POSSIBLE 2022:</w:t>
      </w:r>
      <w:r>
        <w:t xml:space="preserve"> Projected number of osteoarthritis patients in Austria for the next decades – quantifying the necessity of treatment and prevention strategies in Europe — https://doi.org/10.1186/s12891-022-05091-5</w:t>
      </w:r>
    </w:p>
    <w:p>
      <w:pPr/>
      <w:r>
        <w:rPr>
          <w:b/>
        </w:rPr>
        <w:t>Shared claim-specific concepts:</w:t>
      </w:r>
      <w:r>
        <w:t xml:space="preserve"> population, number, patients; EU scope visible. This is a provisional connection, not an outcome finding.</w:t>
      </w:r>
    </w:p>
    <w:p>
      <w:pPr>
        <w:pStyle w:val="SourceNote"/>
      </w:pPr>
      <w:r>
        <w:rPr>
          <w:b/>
        </w:rPr>
        <w:t>Available abstract (not full text):</w:t>
      </w:r>
      <w:r>
        <w:t xml:space="preserve"> BACKGROUND: The present study aimed to predict the expected number of patients with osteoarthritis (OA) in Austria up to the year 2080. METHODS: Demographic data and population projections between 2019 and 2080 were obtained from European authorities. Information about recent age- and sex-stratified prevalence of patients with self-reported physician-diagnosed OA was obtained from the Austrian Health Interview Survey (n = 15,771). Projections were stratified by age and sex; sensitivity analyses were performed based on aging, main (most likely), and growth scenarios of the population. RESULTS: Based on the projection, the overall increase in the total number of patients with OA from 2019 to 2080 will be 38% for men and women. In 2019, the highest number of OA-patients nested in the groups of persons aged 70-79 (n = 238,749) and 60-69 (n = 237,729) years. In 2080, the 80+ age group is predicted to have the highest number of OA with 421,548 individuals (i.e. factor 3.45 and factor 2.48 increase in the male and female group, respectively, compared to 2019), followed by the group aged 70-79 with 314,617 individuals (factor 1.45 and factor 1.28 increase in the male and female group, respectively, compared to 2019). Similar trends were found in the ageing and growing scenarios. CONCLUSIONS: The projected increase in the occurrence of OA will likely lead to a substantial socioeconomic </w:t>
      </w:r>
    </w:p>
    <w:p>
      <w:pPr/>
      <w:r>
        <w:rPr>
          <w:b/>
        </w:rPr>
        <w:t>POSSIBLE 2021:</w:t>
      </w:r>
      <w:r>
        <w:t xml:space="preserve"> Unveiling the local determinants of population growth in the European Union — https://doi.org/10.1111/grow.12469</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paper studies the population growth dynamics in European NUTS3 regions over the period of 2000–2015 and offers generalizable evidence on the main drivers of population change at this sub‐level of analysis, which is so far rather unexplored. Results obtained by means of a spatial Durbin model highlight the roles of economic and demographic regional conditions in shaping population dynamics and the minor role of geography and environmental conditions. The fact that geographical polarization of population is occurring, which might result in an increase in regional imbalances, calls for policy actions in mitigating this phenomenon.</w:t>
      </w:r>
    </w:p>
    <w:p>
      <w:pPr/>
      <w:r>
        <w:rPr>
          <w:b/>
        </w:rPr>
        <w:t>POSSIBLE 2021:</w:t>
      </w:r>
      <w:r>
        <w:t xml:space="preserve"> Determinants of economic growth in the European Union. An empirical analysis of conditional convergence — https://doi.org/10.21272/sec.5(2).26-34.2021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Being established from the initiative of six visionary countries in the second half of the 20th century, the European Economic Community has shifted the history of the European continent by promoting economic collaboration and political stability. Given its initial success, the regional group has quickly evolved from customs union to Economic and Monetary Union, comprising nowadays twenty-seven European countries. Although the European Union has successfully managed political, economic, social and even sanitary turmoil, the stability of the European architecture continues to be threatened by the heterogeneity of its members. In this respect, one of the main challenges for the European Union in its current composition aims the convergence of the economic performance between countries and regions. The purpose of this paper is to study the economic growth patterns in the European Union during 2000 and 2019, also conducting a comparative analysis between New and Old Member States. In order to capture the European economic landscape, the methodology was based on conditional β-convergence and the estimates were conducted by using ordinary least squares and generalized least squares with fixed effects. We have tried to find the relationship between the lagged value of GDP per capita and the subsequent growth rates, but also to study the influence of macroeconomic and social-related va</w:t>
      </w:r>
    </w:p>
    <w:p>
      <w:pPr>
        <w:pStyle w:val="Heading2"/>
      </w:pPr>
      <w:r>
        <w:t>840.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2019:</w:t>
      </w:r>
      <w:r>
        <w:t xml:space="preserve"> Conan Fischer. A Vision of Europe: Franco-German Relations during the Great Depression, 1929–1932. — https://doi.org/10.1093/ahr/rhz1012</w:t>
      </w:r>
    </w:p>
    <w:p>
      <w:pPr/>
      <w:r>
        <w:rPr>
          <w:b/>
        </w:rPr>
        <w:t>Shared claim-specific concepts:</w:t>
      </w:r>
      <w:r>
        <w:t xml:space="preserve"> popular, vision, world; EU scope visible. This is a provisional connection, not an outcome finding.</w:t>
      </w:r>
    </w:p>
    <w:p>
      <w:pPr>
        <w:pStyle w:val="SourceNote"/>
      </w:pPr>
      <w:r>
        <w:rPr>
          <w:b/>
        </w:rPr>
        <w:t>Available abstract (not full text):</w:t>
      </w:r>
      <w:r>
        <w:t xml:space="preserve"> With the one hundredth anniversary of the signing of the Treaty of Versailles (June 28, 1919), historians have lined up to have their say on what went wrong in post–World War I Europe. Two rather entrenched narratives usually parse the Paris Peace Conference of 1919. On the one hand, the conference is lauded for creating a world system in the League of Nations, which was ultimately betrayed and hobbled by the depredations of the dictators in the 1930s. The second interpretation is more specifically related to the Treaty of Versailles, which brought a formal end to World War I between Germany and the Entente Powers. In A Vision of Europe: Franco-German Relations during the Great Depression, 1929–1932, Conan Fischer calls it “a treaty too benign to guarantee French security and too severe to secure German goodwill” (14); Versailles is linked in the popular and scholarly minds with the advent...</w:t>
      </w:r>
    </w:p>
    <w:p>
      <w:pPr/>
      <w:r>
        <w:rPr>
          <w:b/>
        </w:rPr>
        <w:t>POSSIBLE 2019:</w:t>
      </w:r>
      <w:r>
        <w:t xml:space="preserve"> The Church in a Pluralistic World: The Public Vision of Ressourcement — https://doi.org/10.3390/rel10110594</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The dual concern of this article is to present the vision of the church articulated by the renowned generation of Catholic ressourcement thinkers in the mid-twentieth century, and to demonstrate its continued fecundity in the pluralist, multi-cultural context of contemporary western society. It seeks to contribute primarily to ecclesiology, while also providing historical and social commentary with respectful suggestions for its relevance to present-day ecclesiology. The article provides an interpretative framework for understanding ressourcement with reference to its philosophical foundations and the vision of its founders. Its aims are, first, to articulate the role of ressourcement in the modern context and, secondly, to document the genesis and emergence of that movement’s perception of the church’s mandate in the world, based on an essential return to the sources of Christianity. The paper presents the public vision of ressourcement ecclesiology in two parts, drawing principally, though not exclusively, on the work of the two leading intellectual orders of the Catholic Church at the time of its formulation, namely, the Dominicans and the Jesuits of France. In this paper, I limit myself to the French-speaking Jesuits and Dominicans and do not refer to Rahner, Semmelroth, Schillebeeckx or Schoonenberg.</w:t>
      </w:r>
    </w:p>
    <w:p>
      <w:pPr/>
      <w:r>
        <w:rPr>
          <w:b/>
        </w:rPr>
        <w:t>POSSIBLE 2019:</w:t>
      </w:r>
      <w:r>
        <w:t xml:space="preserve"> H.C. ANDERSEN’S TRAVEL BOOKS – A FAIRY-TALE VISION OF EUROPE — https://doi.org/10.2307/j.ctvggx29s.22</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Hans Christian Andersen is well known as a writer of fairy tales, but a corpus of travel books also constitutes a large part of his literary heritage. Influenced by the poetics of the novel, the focus of travel books shifted from images of foreign countries, landscapes and descriptions of unusual situations, to the inner world of the traveller, which might be more interesting for a reader than the external world. The narrator thus becomes the protagonist of the tale, bringing such travel books closer to fiction. It is argued that Andersen's fairy tale poetics has its roots in his travel books. These books include many stories, each of which could be considered a separate text. The first book, Skyggebillede (1831), was based on his trip to Germany and contains a number of small narratives similar to fairy tales published after 1835. Here, Andersen transformed the traditional form of travel book, with his poetic vision of Germany more important than reality, which was only the background for the author's fantasy. His later travel books, En digters bazar (1842) and I Sverige (1849), contain texts which were included in Andersen's collections of fairy tales and stories. Here, his images of European cities, nature and other famous sites are not mere descriptions but also romantic pictures where fairy tale fantasy plays a very important role.</w:t>
      </w:r>
    </w:p>
    <w:p>
      <w:pPr/>
      <w:r>
        <w:rPr>
          <w:b/>
        </w:rPr>
        <w:t>POSSIBLE 2017:</w:t>
      </w:r>
      <w:r>
        <w:t xml:space="preserve"> MobileNets: Efficient Convolutional Neural Networks for Mobile Vision Applications — https://doi.org/10.48550/arxiv.1704.04861</w:t>
      </w:r>
    </w:p>
    <w:p>
      <w:pPr/>
      <w:r>
        <w:rPr>
          <w:b/>
        </w:rPr>
        <w:t>Shared claim-specific concepts:</w:t>
      </w:r>
      <w:r>
        <w:t xml:space="preserve"> popular, vision, called, simple, based; EU scope not established. This is a provisional connection, not an outcome finding.</w:t>
      </w:r>
    </w:p>
    <w:p>
      <w:pPr>
        <w:pStyle w:val="SourceNote"/>
      </w:pPr>
      <w:r>
        <w:rPr>
          <w:b/>
        </w:rPr>
        <w:t>Available abstract (not full text):</w:t>
      </w:r>
      <w:r>
        <w:t xml:space="preserve"> We present a class of efficient models called MobileNets for mobile and embedded vision applications. MobileNets are based on a streamlined architecture that uses depth-wise separable convolutions to build light weight deep neural networks. We introduce two simple global hyper-parameters that efficiently trade off between latency and accuracy. These hyper-parameters allow the model builder to choose the right sized model for their application based on the constraints of the problem. We present extensive experiments on resource and accuracy tradeoffs and show strong performance compared to other popular models on ImageNet classification. We then demonstrate the effectiveness of MobileNets across a wide range of applications and use cases including object detection, finegrain classification, face attributes and large scale geo-localization.</w:t>
      </w:r>
    </w:p>
    <w:p>
      <w:pPr>
        <w:pStyle w:val="Heading2"/>
      </w:pPr>
      <w:r>
        <w:t>841.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2025:</w:t>
      </w:r>
      <w:r>
        <w:t xml:space="preserve"> Exploring AI-Driven Event-based Storylines — https://doi.org/10.5194/egusphere-egu25-8169</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Artificial Intelligence-based Numerical Weather Prediction (AI-NWP) models have recently emerged as powerful tools for weather forecasting, offering computational efficiency and high accuracy. This study explores the extreme weather events simulated by the Artificial Intelligence Forecasting System (AIFS), initialised with conditions derived from kilometer-scale storyline experiments using the IFS-FESOM model ─ where the atmospheric circulation is constrained to observations. We present two case studies: the 2023 South Asian humid heatwave and the 2024 Storm Boris. These two events are reproduced in the present climate, but also simulated if they were to unfold in pre-industrial and +2K future climates, effectively creating AI-driven storylines. The methodology we employ offers a complementary framework, where the use of AI-driven ensembles provides a scalable and rapid way to assess the potential uncertainty and variability associated with such events, by enabling us to explore a broader range of plausible outcomes at very low computational costs. By combining the strengths of physics-based modelling with the efficiency and flexibility of AI-driven simulations, this dual approach offers a pathway to operationalise ensemble-based extreme weather storylines.</w:t>
      </w:r>
    </w:p>
    <w:p>
      <w:pPr/>
      <w:r>
        <w:rPr>
          <w:b/>
        </w:rPr>
        <w:t>POSSIBLE 2022:</w:t>
      </w:r>
      <w:r>
        <w:t xml:space="preserve"> Geo-Storylines: Integrating Maps Into Storyline Visualizations — https://doi.org/10.1109/tvcg.2022.3209480</w:t>
      </w:r>
    </w:p>
    <w:p>
      <w:pPr/>
      <w:r>
        <w:rPr>
          <w:b/>
        </w:rPr>
        <w:t>Shared claim-specific concepts:</w:t>
      </w:r>
      <w:r>
        <w:t xml:space="preserve"> used, storylines, three, different; EU scope not established. This is a provisional connection, not an outcome finding.</w:t>
      </w:r>
    </w:p>
    <w:p>
      <w:pPr>
        <w:pStyle w:val="SourceNote"/>
      </w:pPr>
      <w:r>
        <w:rPr>
          <w:b/>
        </w:rPr>
        <w:t>Available abstract (not full text):</w:t>
      </w:r>
      <w:r>
        <w:t xml:space="preserve"> Storyline visualizations are a powerful way to compactly visualize how the relationships between people evolve over time. Real-world relationships often also involve space, for example the cities that two political rivals visited together or alone over the years. By default, Storyline visualizations only show implicitly geospatial co-occurrence between people (drawn as lines), by bringing their lines together. Even the few designs that do explicitly show geographic locations only do so in abstract ways (e.g., annotations) and do not communicate geospatial information, such as the direction or extent of their political campains. We introduce Geo-Storylines, a collection of visualisation designs that integrate geospatial context into Storyline visualizations, using different strategies for compositing time and space. Our contribution is twofold. First, we present the results of a sketching workshop with 11 participants, that we used to derive a design space for integrating maps into Storylines. Second, by analyzing the strengths and weaknesses of the potential designs of the design space in terms of legibility and ability to scale to multiple relationships, we extract the three most promising: Time Glyphs, Coordinated Views, and Map Glyphs. We compare these three techniques first in a controlled study with 18 participants, under five different geospatial tasks and two maps of dif</w:t>
      </w:r>
    </w:p>
    <w:p>
      <w:pPr/>
      <w:r>
        <w:rPr>
          <w:b/>
        </w:rPr>
        <w:t>POSSIBLE 2021:</w:t>
      </w:r>
      <w:r>
        <w:t xml:space="preserve"> Large ensemble climate modelling time series for the Rhine catchment, including drought2018 storylines — https://doi.org/10.5281/zenodo.5083159</w:t>
      </w:r>
    </w:p>
    <w:p>
      <w:pPr/>
      <w:r>
        <w:rPr>
          <w:b/>
        </w:rPr>
        <w:t>Shared claim-specific concepts:</w:t>
      </w:r>
      <w:r>
        <w:t xml:space="preserve"> storylines, three; EU scope visible. This is a provisional connection, not an outcome finding.</w:t>
      </w:r>
    </w:p>
    <w:p>
      <w:pPr>
        <w:pStyle w:val="SourceNote"/>
      </w:pPr>
      <w:r>
        <w:rPr>
          <w:b/>
        </w:rPr>
        <w:t>Available abstract (not full text):</w:t>
      </w:r>
      <w:r>
        <w:t xml:space="preserve"> Dataset associated with Van der Wiel, Lenderink, De Vries (2021): Physical storylines of future European drought events like 2018 based on ensemble climate modelling, Weather and Climate Extremes, DOI 10.1016/j.wace.2021.100350. Large ensemble climate modelling time series for the Rhine catchment. The dataset contains three ensembles (present-day, pre-industrial + 2C-warming, pre-industrial + 3C-warming) of 2000 years each, various variables related to drought are included. All data is derived from the EC-Earth global climate model (v2, Hazeleger et al. 2012, DOI 10.1007/s00382-011-1228-5). Descriptions of large ensemble experimental setup can be found in Van der Wiel et al. (2019, DOI 10.1029/2019GL081967). Files: *_d_ECEarth_??_Rhine.tar.gz Additionally, three sets of storylines of droughts similar to the western European drought of 2018 are included. These are the simulated events selected from the large ensembles, using metrics 1, 2 and 3 of Van der Wiel et al. (2021, DOI 10.1016/j.wace.2021.100350). Files: drought18_m[123]_Rhine.tar.gz</w:t>
      </w:r>
    </w:p>
    <w:p>
      <w:pPr/>
      <w:r>
        <w:rPr>
          <w:b/>
        </w:rPr>
        <w:t>POSSIBLE 2020:</w:t>
      </w:r>
      <w:r>
        <w:t xml:space="preserve"> A primer on model selection using the Akaike Information Criterion — https://doi.org/10.1016/j.idm.2019.12.010</w:t>
      </w:r>
    </w:p>
    <w:p>
      <w:pPr/>
      <w:r>
        <w:rPr>
          <w:b/>
        </w:rPr>
        <w:t>Shared claim-specific concepts:</w:t>
      </w:r>
      <w:r>
        <w:t xml:space="preserve"> then, different; EU scope not established. This is a provisional connection, not an outcome finding.</w:t>
      </w:r>
    </w:p>
    <w:p>
      <w:pPr>
        <w:pStyle w:val="SourceNote"/>
      </w:pPr>
      <w:r>
        <w:rPr>
          <w:b/>
        </w:rPr>
        <w:t>Available abstract (not full text):</w:t>
      </w:r>
      <w:r>
        <w:t xml:space="preserve"> A powerful investigative tool in biology is to consider not a single mathematical model but a collection of models designed to explore different working hypotheses and select the best model in that collection. In these lecture notes, the usual workflow of the use of mathematical models to investigate a biological problem is described and the use of a collection of model is motivated. Models depend on parameters that must be estimated using observations; and when a collection of models is considered, the best model has then to be identified based on available observations. Hence, model calibration and selection, which are intrinsically linked, are essential steps of the workflow. Here, some procedures for model calibration and a criterion, the Akaike Information Criterion, of model selection based on experimental data are described. Rough derivation, practical technique of computation and use of this criterion are detailed.</w:t>
      </w:r>
    </w:p>
    <w:p>
      <w:pPr/>
      <w:r>
        <w:rPr>
          <w:b/>
        </w:rPr>
        <w:t>POSSIBLE 2020:</w:t>
      </w:r>
      <w:r>
        <w:t xml:space="preserve"> Positioning of systemic intermediaries in sustainability transitions: Between storylines and speech acts — https://doi.org/10.1016/j.eist.2020.02.006</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How do systemic intermediaries obtain legitimate roles for themselves in innovation systems and transition processes? This is still an understudied question in the study of systemic intermediaries. We start from the observation that roles, or positions, are not given, but emerge in interactions as a negotiated set of rights and obligations. Inspired by positioning theory, which has its roots in symbolic interactionism, we analyse how positions are invoked in the actors’ various actions and statements (‘speech acts’) and how they draw from the mutually constructed narratives (‘storylines’) that enable and constrain the range of possible positions. We analyse, over time, the positioning of three Dutch systemic intermediaries in agriculture, energy production, and healthcare. We conclude that systemic intermediaries move together with the promise of the field and, as a consequence, have to reposition themselves. In different phases, they both profit and suffer from the dilemma between initiating and sustaining innovative systemic changes.</w:t>
      </w:r>
    </w:p>
    <w:p>
      <w:pPr/>
      <w:r>
        <w:rPr>
          <w:b/>
        </w:rPr>
        <w:t>POSSIBLE 2020:</w:t>
      </w:r>
      <w:r>
        <w:t xml:space="preserve"> The role of spatial and temporal model resolution in a flood event storyline approach in western Norway — https://doi.org/10.1016/j.wace.2020.100259</w:t>
      </w:r>
    </w:p>
    <w:p>
      <w:pPr/>
      <w:r>
        <w:rPr>
          <w:b/>
        </w:rPr>
        <w:t>Shared claim-specific concepts:</w:t>
      </w:r>
      <w:r>
        <w:t xml:space="preserve"> used, different, leading; EU scope visible. This is a provisional connection, not an outcome finding.</w:t>
      </w:r>
    </w:p>
    <w:p>
      <w:pPr>
        <w:pStyle w:val="SourceNote"/>
      </w:pPr>
      <w:r>
        <w:rPr>
          <w:b/>
        </w:rPr>
        <w:t>Available abstract (not full text):</w:t>
      </w:r>
      <w:r>
        <w:t xml:space="preserve"> We apply a physical climate storyline approach to an autumn flood event in the West Coast of Norway caused by an atmospheric river to demonstrate the value and challenges of higher spatial and temporal resolution in simulating flood impacts. We use a modelling chain whose outputs are familiar and used operationally, for example to issue flood warnings. With two different versions of a hydrological model, we show that (1) the higher spatial resolution between the global and regional climate model is necessary to realistically simulate the high spatial variability of precipitation in this mountainous region and (2) only with hourly data are we able to capture the fast flood-generating processes leading to the peak streamflow. The higher resolution regional atmospheric model captures the fact that with the passage of an atmospheric river, some valleys receive high amounts of precipitation and others not, while the coarser resolution global model shows uniform precipitation in the whole region. Translating the event into the future leads to similar results: while in some catchments, a future flood might be much larger than a present one, in others no event occurs as the atmospheric river simply does not hit that catchment. The use of an operational flood warning system for future events is expected to facilitate stakeholder engagement.</w:t>
      </w:r>
    </w:p>
    <w:p>
      <w:pPr/>
      <w:r>
        <w:rPr>
          <w:b/>
        </w:rPr>
        <w:t>POSSIBLE 2019:</w:t>
      </w:r>
      <w:r>
        <w:t xml:space="preserve"> A note on model selection using information criteria for general linear models estimated using REML — https://doi.org/10.1111/anzs.12254</w:t>
      </w:r>
    </w:p>
    <w:p>
      <w:pPr/>
      <w:r>
        <w:rPr>
          <w:b/>
        </w:rPr>
        <w:t>Shared claim-specific concepts:</w:t>
      </w:r>
      <w:r>
        <w:t xml:space="preserve"> then, used, different, estimates; EU scope not established. This is a provisional connection, not an outcome finding.</w:t>
      </w:r>
    </w:p>
    <w:p>
      <w:pPr>
        <w:pStyle w:val="SourceNote"/>
      </w:pPr>
      <w:r>
        <w:rPr>
          <w:b/>
        </w:rPr>
        <w:t>Available abstract (not full text):</w:t>
      </w:r>
      <w:r>
        <w:t xml:space="preserve"> It is common practice to compare the fit of non‐nested models using the Akaike (AIC) or Bayesian (BIC) information criteria. The basis of these criteria is the log‐likelihood evaluated at the maximum likelihood estimates of the unknown parameters. For the general linear model (and the linear mixed model, which is a special case), estimation is usually carried out using residual or restricted maximum likelihood (REML). However, for models with different fixed effects, the residual likelihoods are not comparable and hence information criteria based on the residual likelihood cannot be used. For model selection, it is often suggested that the models are refitted using maximum likelihood to enable the criteria to be used. The first aim of this paper is to highlight that both the AIC and BIC can be used for the general linear model by using the full log‐likelihood evaluated at the REML estimates. The second aim is to provide a derivation of the criteria under REML estimation. This aim is achieved by noting that the full likelihood can be decomposed into a marginal (residual) and conditional likelihood and this decomposition then incorporates aspects of both the fixed effects and variance parameters. Using this decomposition, the appropriate information criteria for model selection of models which differ in their fixed effects specification can be derived. An example is presented to </w:t>
      </w:r>
    </w:p>
    <w:p>
      <w:pPr/>
      <w:r>
        <w:rPr>
          <w:b/>
        </w:rPr>
        <w:t>POSSIBLE 2019:</w:t>
      </w:r>
      <w:r>
        <w:t xml:space="preserve"> Physical modeling supporting a storyline approach — https://doi.org/10.7892/boris.138767</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The concept of analyzing and communicating high-impact events in the climate change context via storylines has recently gained popularity in the climate modeling community. For instance, the use of case studies or storylines that could illustrate climate risk narratives has been discussed in the recent IPCC expert meeting for regional climate information (IPCC 2018a). This also calls for an expert discussion on challenges and best practices for the creation of credible storylines of high-impact weather or climate features using physical modeling and knowledge creation. In April 2019, climate scientists came together at a workshop discussing physical modeling supporting a storyline approach. The workshop contributed to the implementation of the WCRP Strategic Plan 2019-2028, in support of innovation in the generation of decision-relevant information and knowledge about the evolving Earth system through the framework of the WCRP Grand Challenge on Weather and Climate Extremes. This report provides a summary of the outcomes from the workshop and recommendations for future application of storylines to physical aspects of climate change</w:t>
      </w:r>
    </w:p>
    <w:p>
      <w:pPr/>
      <w:r>
        <w:rPr>
          <w:b/>
        </w:rPr>
        <w:t>POSSIBLE 2018:</w:t>
      </w:r>
      <w:r>
        <w:t xml:space="preserve"> Modeling Storylines in Lyrics — https://doi.org/10.1587/transinf.2017edp7188</w:t>
      </w:r>
    </w:p>
    <w:p>
      <w:pPr/>
      <w:r>
        <w:rPr>
          <w:b/>
        </w:rPr>
        <w:t>Shared claim-specific concepts:</w:t>
      </w:r>
      <w:r>
        <w:t xml:space="preserve"> then, storylines; EU scope not established. This is a provisional connection, not an outcome finding.</w:t>
      </w:r>
    </w:p>
    <w:p>
      <w:pPr>
        <w:pStyle w:val="SourceNote"/>
      </w:pPr>
      <w:r>
        <w:rPr>
          <w:b/>
        </w:rPr>
        <w:t>Available abstract (not full text):</w:t>
      </w:r>
      <w:r>
        <w:t xml:space="preserve"> This paper addresses the issue of modeling the discourse nature of lyrics and presented the first study aiming at capturing the two common discourse-related notions: storylines and themes. We assume that a storyline is a chain of transitions over topics of segments and a song has at least one entire theme. We then hypothesize that transitions over topics of lyric segments can be captured by a probabilistic topic model which incorporates a distribution over transitions of latent topics and that such a distribution of topic transitions is affected by the theme of lyrics. Aiming to test those hypotheses, this study conducts experiments on the word prediction and segment order prediction tasks exploiting a large-scale corpus of popular music lyrics for both English and Japanese (around 100 thousand songs). The findings we gained from these experiments can be summarized into two respects. First, the models with topic transitions significantly outperformed the model without topic transitions in word prediction. This result indicates that typical storylines included in our lyrics datasets were effectively captured as a probabilistic distribution of transitions over latent topics of segments. Second, the model incorporating a latent theme variable on top of topic transitions outperformed the models without such variables in both word prediction and segment order prediction. From this r</w:t>
      </w:r>
    </w:p>
    <w:p>
      <w:pPr>
        <w:pStyle w:val="Heading2"/>
      </w:pPr>
      <w:r>
        <w:t>842.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projections, highly, uncertain;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climate, projections, end, century;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2024:</w:t>
      </w:r>
      <w:r>
        <w:t xml:space="preserve"> Shifts in native tree species distributions in Europe under climate change — https://doi.org/10.1016/j.jenvman.2024.123504</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Key European tree species are expected to contract their ranges under changing climate, thus there is a need to assess range shifts for other native tree species that could fill their forest niche. Recent studies have focused on economically important species, revealing a wide range of shifts in their distribution worldwide and highlighting several pathways for potential future changes. We aimed to quantify changes in projected ranges and threat levels by the years 2041-60 and 2061-80, for 20 European temperate forest tree species under four climate change scenarios. We compared ten standard stock tree species with ten alternative stock species, that are less frequent and less preferred by managers. We combined distribution data from several sources for each tree species and developed species distribution models using MaxEnt and seven bioclimatic variables. We applied these models to projections of future climate from four global circulation models, under four Shared Socioeconomic Pathways and for near and middle terms: 2041-60 and 2061-80. We also assessed the relationships between predicted range contraction and their functional traits. Analysis of MaxEnt models divided the studied tree species into three groups: non-threatened (Sorbus torminalis, Ulmus minor, Tilia platyphyllos, Acer pseudoplatanus, Prunus avium, and Carpinus betulus), partially threatened (U. laevis, Betula</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warmer, temperatures, century, droughts;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2024:</w:t>
      </w:r>
      <w:r>
        <w:t xml:space="preserve"> Range and climate niche shifts in European and North American breeding birds — https://doi.org/10.1098/rstb.2023.0013</w:t>
      </w:r>
    </w:p>
    <w:p>
      <w:pPr/>
      <w:r>
        <w:rPr>
          <w:b/>
        </w:rPr>
        <w:t>Shared claim-specific concepts:</w:t>
      </w:r>
      <w:r>
        <w:t xml:space="preserve"> climate, suggest, not, generally;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2023:</w:t>
      </w:r>
      <w:r>
        <w:t xml:space="preserve"> European projections of West Nile virus transmission under climate change scenarios — https://doi.org/10.1016/j.onehlt.2023.100509</w:t>
      </w:r>
    </w:p>
    <w:p>
      <w:pPr/>
      <w:r>
        <w:rPr>
          <w:b/>
        </w:rPr>
        <w:t>Shared claim-specific concepts:</w:t>
      </w:r>
      <w:r>
        <w:t xml:space="preserve"> climate, projections, area, not; EU scope visible. This is a provisional connection, not an outcome finding.</w:t>
      </w:r>
    </w:p>
    <w:p>
      <w:pPr>
        <w:pStyle w:val="SourceNote"/>
      </w:pPr>
      <w:r>
        <w:rPr>
          <w:b/>
        </w:rPr>
        <w:t>Available abstract (not full text):</w:t>
      </w:r>
      <w:r>
        <w:t xml:space="preserve"> West Nile virus (WNV), a mosquito-borne zoonosis, has emerged as a disease of public health concern in Europe. Recent outbreaks have been attributed to suitable climatic conditions for its vectors favoring transmission. However, to date, projections of the risk for WNV expansion under climate change scenarios is lacking. Here, we estimate the WNV-outbreaks risk for a set of climate change and socioeconomic scenarios. We delineate the potential risk-areas and estimate the growth in the population at risk (PAR). We used supervised machine learning classifier, XGBoost, to estimate the WNV-outbreak risk using an ensemble climate model and multi-scenario approach. The model was trained by collating climatic, socioeconomic, and reported WNV-infections data (2010-22) and the out-of-sample results (1950-2009, 2023-99) were validated using a novel Confidence-Based Performance Estimation (CBPE) method. Projections of area specific outbreak risk trends, and corresponding population at risk were estimated and compared across scenarios. Our results show up to 5-fold increase in West Nile virus (WNV) risk for 2040-60 in Europe, depending on geographical region and climate scenario, compared to 2000-20. The proportion of disease-reported European land areas could increase from 15% to 23-30%, putting 161 to 244 million people at risk. Across scenarios, Western Europe appears to be facing the l</w:t>
      </w:r>
    </w:p>
    <w:p>
      <w:pPr/>
      <w:r>
        <w:rPr>
          <w:b/>
        </w:rPr>
        <w:t>POSSIBLE 2023:</w:t>
      </w:r>
      <w:r>
        <w:t xml:space="preserve"> Climate change projections of commercial fish distribution and suitable habitat around north western Europe — https://doi.org/10.1111/faf.12773</w:t>
      </w:r>
    </w:p>
    <w:p>
      <w:pPr/>
      <w:r>
        <w:rPr>
          <w:b/>
        </w:rPr>
        <w:t>Shared claim-specific concepts:</w:t>
      </w:r>
      <w:r>
        <w:t xml:space="preserve"> climate, projections, past; EU scope visible. This is a provisional connection, not an outcome finding.</w:t>
      </w:r>
    </w:p>
    <w:p>
      <w:pPr>
        <w:pStyle w:val="SourceNote"/>
      </w:pPr>
      <w:r>
        <w:rPr>
          <w:b/>
        </w:rPr>
        <w:t>Available abstract (not full text):</w:t>
      </w:r>
      <w:r>
        <w:t xml:space="preserve">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pPr/>
      <w:r>
        <w:rPr>
          <w:b/>
        </w:rPr>
        <w:t>POSSIBLE 2023:</w:t>
      </w:r>
      <w:r>
        <w:t xml:space="preserve"> Climate Change Projections of Agricultural Droughts in Europe: A Comparison between Standardized Drought Indices — https://doi.org/10.5194/ems2023-289</w:t>
      </w:r>
    </w:p>
    <w:p>
      <w:pPr/>
      <w:r>
        <w:rPr>
          <w:b/>
        </w:rPr>
        <w:t>Shared claim-specific concepts:</w:t>
      </w:r>
      <w:r>
        <w:t xml:space="preserve"> climate, projections, precipitation, uncertain, droughts; EU scope visible. This is a provisional connection, not an outcome finding.</w:t>
      </w:r>
    </w:p>
    <w:p>
      <w:pPr>
        <w:pStyle w:val="SourceNote"/>
      </w:pPr>
      <w:r>
        <w:rPr>
          <w:b/>
        </w:rPr>
        <w:t>Available abstract (not full text):</w:t>
      </w:r>
      <w:r>
        <w:t xml:space="preserve"> Drought is one of the most devastating natural hazards, affecting ecosystems, communities, and their economies worldwide. According to the last IPCC report, is expected, indeed, an increase in severity and frequency of drought under a changing climate, at least over Mediterranean regions. However, is still more uncertain the effect of climate change in other regions in the world. To analyze the effect of this extreme phenomenon, many drought indices have been developed in recent years based on different hydroclimatic variables and depending on the type of drought under study. Among these indices it is worth mentioning, for meteorological droughts, the Standardized Precipitation Index (SPI) or the Standardized Precipitation Evapotranspiration Index (SPEI), agricultural drought indices such as the Standardized Soil moisture Index (SSI), or those that make use of different variables or multivariate indices such as the Multivariate Standardized Drought Index (MSDI) that combines soil moisture and precipitation, and the Standardized Precipitation Evapotranspiration Soil Moisture Index (SPESMI), an adaptation of the MSDI that incorporates the effect of potential evapotranspiration on the water balance. This work aims to analyze from meteorological to agricultural droughts projections over Europe using standardized drought indices. For this, we evaluate drought characteristics (i.e., </w:t>
      </w:r>
    </w:p>
    <w:p>
      <w:pPr>
        <w:pStyle w:val="Heading2"/>
      </w:pPr>
      <w:r>
        <w:t>843.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2025:</w:t>
      </w:r>
      <w:r>
        <w:t xml:space="preserve"> A Possible Way to Enhance European Competitiveness — https://doi.org/10.34190/ecie.20.1.3930</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2024:</w:t>
      </w:r>
      <w:r>
        <w:t xml:space="preserve"> Study of directions of unification of technology transfer in ukraine with the regulation of the European Union — https://doi.org/10.37772/2518-1718-2024-3(47)-2</w:t>
      </w:r>
    </w:p>
    <w:p>
      <w:pPr/>
      <w:r>
        <w:rPr>
          <w:b/>
        </w:rPr>
        <w:t>Shared claim-specific concepts:</w:t>
      </w:r>
      <w:r>
        <w:t xml:space="preserve"> possible, directions, requirements, technology, conditions; EU scope visible. This is a provisional connection, not an outcome finding.</w:t>
      </w:r>
    </w:p>
    <w:p>
      <w:pPr>
        <w:pStyle w:val="SourceNote"/>
      </w:pPr>
      <w:r>
        <w:rPr>
          <w:b/>
        </w:rPr>
        <w:t>Available abstract (not full text):</w:t>
      </w:r>
      <w:r>
        <w:t xml:space="preserve"> Problem setting. In modern economic conditions, the key to effective economic development of any country is the development of the production sphere of the national economy. At the same time, its level depends on the penetration of knowledge-intensive, advanced and breakthrough technologies. Most economically developed countries even implement integrated state policies aimed at stimulating and scaling technology transfer processes. Thanks to this, the number of those technologies that are implemented in the sphere of public production increases, and the share of highly competitive products increases significantly. The economic system of Ukraine is no exception to this rule. Thus, since 2006, Ukraine has had a special official document the Law of Ukraine “On State Regulation of Activities in the Field of Technology Transfer”. Its main task is to determine the requirements of how the state (in the form of authorized bodies) will contribute to the scaling process of technology transfer. The course announced by Ukraine for joining the European Union (hereinafter referred to as “the EU”) imposes on it special obligations regarding the unification of regulatory approaches to the identification of technology transfer with EU requirements. The specified situation determines, on the one hand, the relevance of scientific research on this topic, and places on scientists the task of formin</w:t>
      </w:r>
    </w:p>
    <w:p>
      <w:pPr/>
      <w:r>
        <w:rPr>
          <w:b/>
        </w:rPr>
        <w:t>POSSIBLE 2024:</w:t>
      </w:r>
      <w:r>
        <w:t xml:space="preserve"> THE POLISH ENERGY SECTOR CHARACTERISTICS IN COMPARISON TO EUROPEAN UNION COUNTRIES IN TERMS OF SUSTAINABLE DEVELOPMENT — https://doi.org/10.64758/6drf3g79</w:t>
      </w:r>
    </w:p>
    <w:p>
      <w:pPr/>
      <w:r>
        <w:rPr>
          <w:b/>
        </w:rPr>
        <w:t>Shared claim-specific concepts:</w:t>
      </w:r>
      <w:r>
        <w:t xml:space="preserve"> analyzes, possible, polish, electricity, sector, terms; EU scope visible. This is a provisional connection, not an outcome finding.</w:t>
      </w:r>
    </w:p>
    <w:p>
      <w:pPr>
        <w:pStyle w:val="SourceNote"/>
      </w:pPr>
      <w:r>
        <w:rPr>
          <w:b/>
        </w:rPr>
        <w:t>Available abstract (not full text):</w:t>
      </w:r>
      <w:r>
        <w:t xml:space="preserve"> In every country, the energy sector plays a very important role - from its efficient operation electricity and heat supplies depend on. Moreover, its level of efficiency can measurably affect the condition of the natural and the social environment. Therefore, the purpose of this article was to examine to what extent the Polish energy sector fulfills the framework of sustainable development conception. In order to achieve the adopted objective, comparative analyzes have been carried out among all European Union countries. It allowed to identify areas in which the Polish energy sector fully implements the principles and objectives of this concept, as well as areas where still there is a lot need to be dome. The analyzes concerned several key issues: the level of energy generated from renewable energy sources (RES), the structure of sources of raw materials for energy production, the values of regulatory indicators for sustainable energy, level of greenhouse gas and pollutants emissions by energy sector, environmental taxes paid by energy sector, environmental protection expenditure of energy sector, environmental investments and wastewater management and, last but not least, innovations expenditures of energy sector. Examining these issues makes it possible to determine the so-called “level of sustainability" or the sustainability in energy sector degree’s determination for Polan</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different, technology, energy;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terms, nuclear, energy, fuel;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Recombination of Porcine Reproductive and Respiratory Syndrome Virus: Features, Possible Mechanisms, and Future Directions — https://doi.org/10.3390/v16060929</w:t>
      </w:r>
    </w:p>
    <w:p>
      <w:pPr/>
      <w:r>
        <w:rPr>
          <w:b/>
        </w:rPr>
        <w:t>Shared claim-specific concepts:</w:t>
      </w:r>
      <w:r>
        <w:t xml:space="preserve"> possible, directions, different; EU scope not established. This is a provisional connection, not an outcome finding.</w:t>
      </w:r>
    </w:p>
    <w:p>
      <w:pPr>
        <w:pStyle w:val="SourceNote"/>
      </w:pPr>
      <w:r>
        <w:rPr>
          <w:b/>
        </w:rPr>
        <w:t>Available abstract (not full text):</w:t>
      </w:r>
      <w:r>
        <w:t xml:space="preserve"> Recombination is a pervasive phenomenon in RNA viruses and an important strategy for accelerating the evolution of RNA virus populations. Recombination in the porcine reproductive and respiratory syndrome virus (PRRSV) was first reported in 1999, and many case reports have been published in recent years. In this review, all the existing reports on PRRSV recombination events were collected, and the genotypes, parental strains, and locations of the recombination breakpoints have been summarized and analyzed. The results showed that the recombination pattern constantly changes; whether inter- or intra-lineage recombination, the recombination hotspots vary in different recombination patterns. The virulence of recombinant PRRSVs was higher than that of the parental strains, and the emergence of virulence reversion was caused by recombination after using MLV vaccines. This could be attributed to the enhanced adaptability of recombinant PRRSV for entry and replication, facilitating their rapid propagation. The aim of this paper was to identify common features of recombinant PRRSV strains, reduce the recombination risk, and provide a foundation for future research into the mechanism of PRRSV recombination.</w:t>
      </w:r>
    </w:p>
    <w:p>
      <w:pPr/>
      <w:r>
        <w:rPr>
          <w:b/>
        </w:rPr>
        <w:t>POSSIBLE 2023:</w:t>
      </w:r>
      <w:r>
        <w:t xml:space="preserve"> Decoding ChatGPT: A taxonomy of existing research, current challenges, and possible future directions — https://doi.org/10.1016/j.jksuci.2023.101675</w:t>
      </w:r>
    </w:p>
    <w:p>
      <w:pPr/>
      <w:r>
        <w:rPr>
          <w:b/>
        </w:rPr>
        <w:t>Shared claim-specific concepts:</w:t>
      </w:r>
      <w:r>
        <w:t xml:space="preserve"> possible, directions; EU scope not established. This is a provisional connection, not an outcome finding.</w:t>
      </w:r>
    </w:p>
    <w:p>
      <w:pPr>
        <w:pStyle w:val="SourceNote"/>
      </w:pPr>
      <w:r>
        <w:rPr>
          <w:b/>
        </w:rPr>
        <w:t>Available abstract (not full text):</w:t>
      </w:r>
      <w:r>
        <w:t xml:space="preserve"> Chat Generative Pre-trained Transformer (ChatGPT) has gained significant interest and attention since its launch in November 2022. It has shown impressive performance in various domains, including passing exams and creative writing. However, challenges and concerns related to biases and trust persist. In this work, we present a comprehensive review of over 100 Scopus-indexed publications on ChatGPT, aiming to provide a taxonomy of ChatGPT research and explore its applications. We critically analyze the existing literature, identifying common approaches employed in the studies. Additionally, we investigate diverse application areas where ChatGPT has found utility, such as healthcare, marketing and financial services, software engineering, academic and scientific writing, research and education, environmental science, and natural language processing. Through examining these applications, we gain valuable insights into the potential of ChatGPT in addressing real-world challenges. We also discuss crucial issues related to ChatGPT, including biases and trustworthiness, emphasizing the need for further research and development in these areas. Furthermore, we identify potential future directions for ChatGPT research, proposing solutions to current challenges and speculating on expected advancements. By fully leveraging the capabilities of ChatGPT, we can unlock its potential across va</w:t>
      </w:r>
    </w:p>
    <w:p>
      <w:pPr/>
      <w:r>
        <w:rPr>
          <w:b/>
        </w:rPr>
        <w:t>POSSIBLE 2023:</w:t>
      </w:r>
      <w:r>
        <w:t xml:space="preserve"> Directions and risks for the recovery of Ukraine in the context of European integration during the recovery period — https://doi.org/10.24144/2788-6018.2023.03.15</w:t>
      </w:r>
    </w:p>
    <w:p>
      <w:pPr/>
      <w:r>
        <w:rPr>
          <w:b/>
        </w:rPr>
        <w:t>Shared claim-specific concepts:</w:t>
      </w:r>
      <w:r>
        <w:t xml:space="preserve"> analyzes, possible, directions, terms, adaptation, domestic; EU scope visible. This is a provisional connection, not an outcome finding.</w:t>
      </w:r>
    </w:p>
    <w:p>
      <w:pPr>
        <w:pStyle w:val="SourceNote"/>
      </w:pPr>
      <w:r>
        <w:rPr>
          <w:b/>
        </w:rPr>
        <w:t>Available abstract (not full text):</w:t>
      </w:r>
      <w:r>
        <w:t xml:space="preserve"> The work highlights directions for the restoration of Ukraine in the modern and post-war period. The main principles of the country’s recovery plan have been defined and analyzed, including the immediate start and gradual development of building up fair welfare, integration into the EU, restoration and building up of the economy for, the fight against corruption, and the stimulation of private investments. It has been determined that the institutional reforms discussed at the domestic and international level in Ukraine will become prerequisites for economic development, but appropriate measures aimed at the development of international trade and the attraction of direct foreign investment, the creation of a favorable business climate and an inclusive and sustainable financial system will also be required. For example, war risk insurance (similar to what is done by the World Bank-run Multilateral Investment Guarantee Agency (MIGA)) will be necessary to address security concerns that Ukrainian and foreign investors may have. While the process of preparation for the negotiations on Ukraine’s accession to the European Union continues, our country must carry out extensive preparatory work, including in terms of adapting national legislation to the norms of the Union, which, by the way, are also constantly changing, and prevent the occurrence of numerous risks along the way. Of cours</w:t>
      </w:r>
    </w:p>
    <w:p>
      <w:pPr>
        <w:pStyle w:val="Heading2"/>
      </w:pPr>
      <w:r>
        <w:t>844.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2023:</w:t>
      </w:r>
      <w:r>
        <w:t xml:space="preserve"> 7. Using cases — https://doi.org/10.1093/he/9780192873088.003.0007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r>
        <w:rPr>
          <w:b/>
        </w:rPr>
        <w:t>POSSIBLE 2023:</w:t>
      </w:r>
      <w:r>
        <w:t xml:space="preserve"> Climate change and ideal thermal transmittance of residential buildings in Iran — https://doi.org/10.1016/j.jobe.2023.106919</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Climate change will make the Iranian climate hotter and drier. This increase in the harshness of the boundary conditions poses a new question of whether today's high-performance buildings, whose envelope thermophysical properties are optimized for the current climate, will underperform. Therefore, it is important to (i) identify the regions in Iran that will lead to such underperformance and (ii) determine to what extent the thermophysical properties will need to change to remain optimal. This paper determines and compares the ideal thermal transmittances (U-value) of residential building envelopes for current and future climate scenarios. The EPSAP generative design method created twelve thousand buildings with random geometries to evaluate their energy demand for heating and cooling in EnergyPlus. The U-values of the envelop elements for these buildings were randomly assigned and simulated for 21 locations in Iran for the current period and two future timeframes (2050 and 2080). The future weather was created using the Future Weather Generator tool to morph today's typical meteorological weather to match the EC-Earth3 data for the SSP5-8.5 scenario. The results confirm that climate change will significantly impact the energy performance of a building. However, consequences and mitigation actions will differ depending on the region. Future ideal U-values will be higher or lowe</w:t>
      </w:r>
    </w:p>
    <w:p>
      <w:pPr/>
      <w:r>
        <w:rPr>
          <w:b/>
        </w:rPr>
        <w:t>POSSIBLE 2023:</w:t>
      </w:r>
      <w:r>
        <w:t xml:space="preserve"> Family education as a process of translation of ideals and values of culture — https://doi.org/10.25136/2409-7144.2023.9.43635</w:t>
      </w:r>
    </w:p>
    <w:p>
      <w:pPr/>
      <w:r>
        <w:rPr>
          <w:b/>
        </w:rPr>
        <w:t>Shared claim-specific concepts:</w:t>
      </w:r>
      <w:r>
        <w:t xml:space="preserve"> extent, conditions, authors; EU scope not established. This is a provisional connection, not an outcome finding.</w:t>
      </w:r>
    </w:p>
    <w:p>
      <w:pPr>
        <w:pStyle w:val="SourceNote"/>
      </w:pPr>
      <w:r>
        <w:rPr>
          <w:b/>
        </w:rPr>
        <w:t>Available abstract (not full text):</w:t>
      </w:r>
      <w:r>
        <w:t xml:space="preserve"> In the article, the authors consider issues related to the family as a social institution of society, which through the education system is a carrier, keeper and translator of cultural ideals. The subject of the study is family education, interpreted as the process of translating the ideals and values of culture. The article examines the concept and functions of the family as a leading social institution, sacred and profane ideals of culture and their mutual influence, types of family education, distinguished depending on the characteristics of the transmitted cultural values. When writing the work, such general scientific and private scientific research methods as analysis, synthesis, classification, generalization, comparison, historical method, analysis of empirical and sociological data on the studied problem were used. The general methodology of the work was compiled by scientific works of both domestic and foreign scientists devoted to the family as a carrier of cultural values. The analysis of scientific literature on research issues has shown that the modern family performs not only reproductive functions, but also the functions of preserving and reproducing cultural values, allowing society and the state to maintain stability and develop in the conditions of globalization and active influence on society through the imposition of new cultural values. The scientific nove</w:t>
      </w:r>
    </w:p>
    <w:p>
      <w:pPr/>
      <w:r>
        <w:rPr>
          <w:b/>
        </w:rPr>
        <w:t>POSSIBLE 2023:</w:t>
      </w:r>
      <w:r>
        <w:t xml:space="preserve"> Towards Ideal Understanding — https://doi.org/10.3998/ergo.4651</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What does it take to understand a phenomenon ideally, or to the highest conceivable extent? In this paper, we answer this question by arguing for five necessary conditions for ideal understanding: (i) sufficient representational accuracy, (ii) intelligibility, (iii) sufficient truth, (iv) reasonable endorsement, and (v) fit. Even if one disagrees that there is some form of ideal understanding, these five conditions can be regarded as sufficient conditions for a particularly deep level of understanding. We then argue that grasping, novel predictions, and transparency are not reasonable conditions for ideal understanding.</w:t>
      </w:r>
    </w:p>
    <w:p>
      <w:pPr/>
      <w:r>
        <w:rPr>
          <w:b/>
        </w:rPr>
        <w:t>POSSIBLE 2023:</w:t>
      </w:r>
      <w:r>
        <w:t xml:space="preserve"> Building for tomorrow: Analyzing ideal thermal transmittances in the face of climate change in Brazil — https://doi.org/10.1016/j.apenergy.2023.122360</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The climate will become hotter, and buildings will perform differently as outdoor conditions evolve. If the lowest energy demand is desired, it is crucial to determine the ideal thermophysical properties of the envelope over the buildings' life span. However, the scientific literature is still scarce in providing a compelling answer. Therefore, this study (i) determines ideal thermal transmittance values (U-values) for present-day and future climates, (ii) determines to what extent the thermophysical properties will need to change to remain ideal, (iii) identifies different trends of U-values over time, (iv) establishes a relationship between outdoor air temperatures, cooling and heating setpoints, and ideal U-values, and (v) proposes a set of design strategies according to each trend. The EPSAP generative design method was used to create a large dataset of residential buildings with random geometries and U-values to evaluate their energy demand for heating and cooling in EnergyPlus. The thermal performance of each building was evaluated for 30 locations in Brazil for the current period and two future timeframes (2050 and 2080). The Future Weather Generator tool was used to morph today's typical meteorological weather to match the EC-Earth3 data for the SSP5–8.5 scenario. Although climate change has a similar relative impact, its consequences differ over time in each location. </w:t>
      </w:r>
    </w:p>
    <w:p>
      <w:pPr/>
      <w:r>
        <w:rPr>
          <w:b/>
        </w:rPr>
        <w:t>POSSIBLE 2022:</w:t>
      </w:r>
      <w:r>
        <w:t xml:space="preserve"> Health Inequalities: To What Extent are Decision-Makers and Economic Evaluations on the Same Page? An English Case Study — https://doi.org/10.1007/s40258-022-00739-8</w:t>
      </w:r>
    </w:p>
    <w:p>
      <w:pPr/>
      <w:r>
        <w:rPr>
          <w:b/>
        </w:rPr>
        <w:t>Shared claim-specific concepts:</w:t>
      </w:r>
      <w:r>
        <w:t xml:space="preserve"> extent, case, explore, within, evolved; EU scope not established. This is a provisional connection, not an outcome finding.</w:t>
      </w:r>
    </w:p>
    <w:p>
      <w:pPr>
        <w:pStyle w:val="SourceNote"/>
      </w:pPr>
      <w:r>
        <w:rPr>
          <w:b/>
        </w:rPr>
        <w:t>Available abstract (not full text):</w:t>
      </w:r>
      <w:r>
        <w:t xml:space="preserve"> Economic evaluations have increasingly sought to understand how funding decisions within care sectors impact health inequalities. However, there is a disconnect between the methods used by researchers (e.g., within universities) and analysts (e.g., within publicly funded commissioning agencies), compared to evidence needs of decision makers in regard to how health inequalities are accounted for and presented. Our objective is to explore how health inequality is defined and quantified in different contexts. We focus on how specific approaches have developed, what similarities and differences have emerged, and consider how disconnects can be bridged. We explore existing methodological research regarding the incorporation of inequality considerations into economic evaluation in order to understand current best practice. In parallel, we explore how localised decision makers incorporate inequality considerations into their commissioning processes. We use the English care setting as a case study, from which we make inference as how local commissioning has evolved internationally. We summarise the recent development of distributional cost-effectiveness analysis in the economic evaluation literature: a method that makes explicit the trade-off between efficiency and equity. In the parallel decision-making setting, while the alleviation of health inequality is regularly the focus of remi</w:t>
      </w:r>
    </w:p>
    <w:p>
      <w:pPr/>
      <w:r>
        <w:rPr>
          <w:b/>
        </w:rPr>
        <w:t>POSSIBLE 2022:</w:t>
      </w:r>
      <w:r>
        <w:t xml:space="preserve"> Determinants of the extent and quality of corporate social responsibility disclosure in the industrial and services sectors: the case of Jordan — https://doi.org/10.1108/jfra-05-2021-0133</w:t>
      </w:r>
    </w:p>
    <w:p>
      <w:pPr/>
      <w:r>
        <w:rPr>
          <w:b/>
        </w:rPr>
        <w:t>Shared claim-specific concepts:</w:t>
      </w:r>
      <w:r>
        <w:t xml:space="preserve"> extent, case, authors, corporate; EU scope not established. This is a provisional connection, not an outcome finding.</w:t>
      </w:r>
    </w:p>
    <w:p>
      <w:pPr>
        <w:pStyle w:val="SourceNote"/>
      </w:pPr>
      <w:r>
        <w:rPr>
          <w:b/>
        </w:rPr>
        <w:t>Available abstract (not full text):</w:t>
      </w:r>
      <w:r>
        <w:t xml:space="preserve"> Purpose This study aims to investigate the determinants of the extent and quality of corporate social responsibility disclosure (CSRD) in Jordan. The study examines a number of factors that influence the extent and quality of CSR disclosure, such as corporate characteristics, corporate governance and ownership structure. Design/methodology/approach A quantitative approach and a content analysis technique is used to measure the extent and quality of CSRD from annual reports. The sample is drawn from the annual reports of 118 Jordanian companies between 2010 and 2015. A CSRD index is constructed, which includes the disclosures of the following categories: environmental, human resources, product and consumers, and community involvement. This is the first study that presents a new measurement for CSR disclosure quality by using images and charts in a seven-point scale measurement. Findings The result reveals that the extent of CSRD is higher than quality in Jordan. Regarding the determinants of CSR disclosures, the following factors were found to have a significant relationship with both the extent and quality of CSRD: board size, non-executive directors, age of firm, foreign members on the board, number of boards meetings, the presence of audit committees, big 4, government ownership, size of firm and industry type. Non-executive directors was found to have a significant correlati</w:t>
      </w:r>
    </w:p>
    <w:p>
      <w:pPr/>
      <w:r>
        <w:rPr>
          <w:b/>
        </w:rPr>
        <w:t>POSSIBLE 2022:</w:t>
      </w:r>
      <w:r>
        <w:t xml:space="preserve"> Assessing annual thermal comfort extent in central courtyards: Baghdad as a case study — https://doi.org/10.1108/sasbe-09-2021-0154</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Purpose Traditional central courtyards have been advocated for being thermally efficient for hot-climate regions. However, exploring previous literature shows that it is not clear to what extent courtyards are truly thermally comfortable. This study determines the level of thermal comfort in residential courtyards in hot-climate regions, taking Baghdad as a case study. Design/methodology/approach This study develops a novel Courtyard Thermal Usability Index (CTUI) to quantify the ability of courtyards to provide thermal comfort to occupants. CTUI is the fraction of useable thermally comfortable hours in courtyards of the total occupation hours during a specific period. To operationalise CTUI, the research employs the Envi-met 4.2 simulation tool to determine the annual thermal conditions of 360 courtyards. An adaptive thermal comfort model developed by Al-Hafith in 2020 for Iraq is used to judge simulated thermal conditions and determine CTUI. Findings CTUI enables determining the level of thermal comfort courtyards offer to occupants by showing the ratio of the thermally comfortable period versus the occupation period. Results show that, in Iraq, annually, courtyards offer up to 38% comfortable hours out of the total potential occupation hours. The rest of the time the courtyard will not be comfortable, mostly due to overheating. When designing courtyards, the most effective g</w:t>
      </w:r>
    </w:p>
    <w:p>
      <w:pPr/>
      <w:r>
        <w:rPr>
          <w:b/>
        </w:rPr>
        <w:t>POSSIBLE 2022:</w:t>
      </w:r>
      <w:r>
        <w:t xml:space="preserve"> Ideal Theory and Its Fairness Role — https://doi.org/10.1007/s10790-022-09905-6</w:t>
      </w:r>
    </w:p>
    <w:p>
      <w:pPr/>
      <w:r>
        <w:rPr>
          <w:b/>
        </w:rPr>
        <w:t>Shared claim-specific concepts:</w:t>
      </w:r>
      <w:r>
        <w:t xml:space="preserve"> considers, extent, conditions, ideal; EU scope not established. This is a provisional connection, not an outcome finding.</w:t>
      </w:r>
    </w:p>
    <w:p>
      <w:pPr>
        <w:pStyle w:val="SourceNote"/>
      </w:pPr>
      <w:r>
        <w:rPr>
          <w:b/>
        </w:rPr>
        <w:t>Available abstract (not full text):</w:t>
      </w:r>
      <w:r>
        <w:t xml:space="preserve"> John Rawls famously sees ideal theory as a necessary precursor to non-ideal theory. Amartya Sen, on the contrary, considers it useless for comparing feasible arrangements under non-ideal conditions. Footnote 1 Sen and other critics of ideal theory aim their arguments at its intended purposes of guiding long-term institutional reform and providing a metric for assessing the extent to which non-ideal arrangements deviate from the ideal of perfect justice. Responses from proponents of ideal theory typically also focus on these two roles.</w:t>
      </w:r>
    </w:p>
    <w:p>
      <w:pPr>
        <w:pStyle w:val="Heading2"/>
      </w:pPr>
      <w:r>
        <w:t>845.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2025:</w:t>
      </w:r>
      <w:r>
        <w:t xml:space="preserve"> Survivorship therapy needs after radiotherapy for head and neck cancer: surveying opportunities for growth (STRONG) — https://doi.org/10.1007/s00520-025-09429-2</w:t>
      </w:r>
    </w:p>
    <w:p>
      <w:pPr/>
      <w:r>
        <w:rPr>
          <w:b/>
        </w:rPr>
        <w:t>Shared claim-specific concepts:</w:t>
      </w:r>
      <w:r>
        <w:t xml:space="preserve"> not, strong; EU scope not established. This is a provisional connection, not an outcome finding.</w:t>
      </w:r>
    </w:p>
    <w:p>
      <w:pPr>
        <w:pStyle w:val="SourceNote"/>
      </w:pPr>
      <w:r>
        <w:rPr>
          <w:b/>
        </w:rPr>
        <w:t>Available abstract (not full text):</w:t>
      </w:r>
      <w:r>
        <w:t xml:space="preserve">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pPr/>
      <w:r>
        <w:rPr>
          <w:b/>
        </w:rPr>
        <w:t>POSSIBLE 2024:</w:t>
      </w:r>
      <w:r>
        <w:t xml:space="preserve"> Fiscal drag: the heterogeneous impact of inflation on personal income tax revenue — https://doi.org/10.53479/37393</w:t>
      </w:r>
    </w:p>
    <w:p>
      <w:pPr/>
      <w:r>
        <w:rPr>
          <w:b/>
        </w:rPr>
        <w:t>Shared claim-specific concepts:</w:t>
      </w:r>
      <w:r>
        <w:t xml:space="preserve"> not, drag, fiscal, effect, strong, gdp; EU scope not established. This is a provisional connection, not an outcome finding.</w:t>
      </w:r>
    </w:p>
    <w:p>
      <w:pPr>
        <w:pStyle w:val="SourceNote"/>
      </w:pPr>
      <w:r>
        <w:rPr>
          <w:b/>
        </w:rPr>
        <w:t>Available abstract (not full text):</w:t>
      </w:r>
      <w:r>
        <w:t xml:space="preserve"> In recent years, personal income tax collection has shown strong dynamism. Part of this increase is due to household income growth, while another part is due to the “fiscal drag” effect, which results in an increase in average effective rates when the parameters that determine the tax (brackets and tax benefits) are not fully updated with inflation. This paper uses a tax microsimulation tool based on tax filers’ administrative data to study the magnitude of the fiscal drag effect, its heterogeneity across the income distribution, its mechanisms and its impact on tax collection and on average effective tax rates in recent years and in the future. It is estimated that, in the absence of indexation of the nominally defined parameters of the tax, a homogeneous increase in household income of 1% would lead to an increase in income tax revenue of 1.85%, in line with the average elasticity estimated for OECD countries. This effect is greater for middle and upper-middle incomes and produces an increase in effective tax rates across the entire distribution of tax filers, leading to a reduction in net income inequality. It is estimated that around half of the increase in the personal income tax-to-GDP ratio observed between 2019 and 2023 can be explained by the fiscal drag effect. Going forward, in the absence of changes in tax parameters, the ratio of personal income tax revenue to GDP </w:t>
      </w:r>
    </w:p>
    <w:p>
      <w:pPr/>
      <w:r>
        <w:rPr>
          <w:b/>
        </w:rPr>
        <w:t>POSSIBLE 2023:</w:t>
      </w:r>
      <w:r>
        <w:t xml:space="preserve"> Morocco’s Quest for Stronger and Inclusive Growth — https://doi.org/10.5089/9798400225406.071</w:t>
      </w:r>
    </w:p>
    <w:p>
      <w:pPr/>
      <w:r>
        <w:rPr>
          <w:b/>
        </w:rPr>
        <w:t>Shared claim-specific concepts:</w:t>
      </w:r>
      <w:r>
        <w:t xml:space="preserve"> stronger, not, but; EU scope not established. This is a provisional connection, not an outcome finding.</w:t>
      </w:r>
    </w:p>
    <w:p>
      <w:pPr>
        <w:pStyle w:val="SourceNote"/>
      </w:pPr>
      <w:r>
        <w:rPr>
          <w:b/>
        </w:rPr>
        <w:t>Available abstract (not full text):</w:t>
      </w:r>
      <w:r>
        <w:t xml:space="preserve"> Throughout the past two decades, Morocco has faced several external and domestic shocks, including large swings in international oil prices, regional geopolitical tensions, severe droughts, and most recently the impact of the pandemic and the economic fallout from Russia’s invasion of Ukraine. Despite rough waters, the government stayed the course and remained focused not only on immediate stability, but also on the long-term needs of the Moroccan economy. This involved the adoption of a series of difficult measures, like the elimination of energy subsidies, and a strategy aimed at improving the country’s infrastructure, diversifying the production and export bases by attracting foreign investment, and modernizing the governance structure of the public administration. The road to higher and more inclusive growth, however, remains steep. Despite gains in poverty reduction, literacy and lifespans, Morocco economy continues to face a high share of inactive youth, large gaps in economic opportunities for women, a fragmented social protection system, and remaining barriers to private sector development. An ambitious reform agenda is needed to better meet the aspirations of Moroccans, by making economic growth stronger, more resilient and more inclusive, particularly to provide greater opportunities for young, women, and entrepreneurs. Morocco appears well positioned to address these</w:t>
      </w:r>
    </w:p>
    <w:p>
      <w:pPr/>
      <w:r>
        <w:rPr>
          <w:b/>
        </w:rPr>
        <w:t>POSSIBLE 2023:</w:t>
      </w:r>
      <w:r>
        <w:t xml:space="preserve"> Strong Inhibition of Ice Growth by Biomimetic Crowding Coacervates — https://doi.org/10.1002/anie.202311047</w:t>
      </w:r>
    </w:p>
    <w:p>
      <w:pPr/>
      <w:r>
        <w:rPr>
          <w:b/>
        </w:rPr>
        <w:t>Shared claim-specific concepts:</w:t>
      </w:r>
      <w:r>
        <w:t xml:space="preserve"> not, activity, strong, but; EU scope not established. This is a provisional connection, not an outcome finding.</w:t>
      </w:r>
    </w:p>
    <w:p>
      <w:pPr>
        <w:pStyle w:val="SourceNote"/>
      </w:pPr>
      <w:r>
        <w:rPr>
          <w:b/>
        </w:rPr>
        <w:t>Available abstract (not full text):</w:t>
      </w:r>
      <w:r>
        <w:t xml:space="preserve"> The freezing of biological fluids is intensively studied but remains elusive as it is affected not only by the various components but also by the crowding nature of the biological fluids. Herein, we constructed spherical crowders, fibrous crowders, and coacervates by various components ranging from surfactants to polymers and proteins, to mimic three typical crowders in biological fluids, i.e., globular proteins, fibrous networks, and condensates of biomolecules. It is elucidated that the three crowders exhibit low, moderate, and strong ice growth inhibition activity, respectively, resulting from their different abilities in slowing down water dynamics. Intriguingly, the coacervate consisting of molecules without obvious ice growth inhibition activity strongly inhibits ice growth, which is firstly employed as a highly-potent cryoprotectant. This work provides new insights into the survival of freezing-tolerant organisms and opens an avenue for the design of ice-controlling materials.</w:t>
      </w:r>
    </w:p>
    <w:p>
      <w:pPr/>
      <w:r>
        <w:rPr>
          <w:b/>
        </w:rPr>
        <w:t>POSSIBLE 2022:</w:t>
      </w:r>
      <w:r>
        <w:t xml:space="preserve"> Global growth on life support? The contributions of fiscal and monetary policy since the global financial crisis — https://doi.org/10.1002/ijfe.2675</w:t>
      </w:r>
    </w:p>
    <w:p>
      <w:pPr/>
      <w:r>
        <w:rPr>
          <w:b/>
        </w:rPr>
        <w:t>Shared claim-specific concepts:</w:t>
      </w:r>
      <w:r>
        <w:t xml:space="preserve"> drag, fiscal, consolidation, strong, but, gdp; EU scope not established. This is a provisional connection, not an outcome finding.</w:t>
      </w:r>
    </w:p>
    <w:p>
      <w:pPr>
        <w:pStyle w:val="SourceNote"/>
      </w:pPr>
      <w:r>
        <w:rPr>
          <w:b/>
        </w:rPr>
        <w:t>Available abstract (not full text):</w:t>
      </w:r>
      <w:r>
        <w:t xml:space="preserve"> Abstract This paper compares the role of monetary and fiscal policy shocks in advanced and emerging economies. Using a model with a hierarchical structure, we capture the variability of GDP response to policy shocks both between and within the groups of advanced and emerging countries. Our results show that the effects of fiscal stimulus are higher in advanced economies compared to emerging markets, while monetary policy is found to have more homogeneous effects on GDP. We quantify the policy contribution on GDP growth in the decade that followed the global financial crisis by means of a structural counterfactual analysis based on conditional forecasts. We find that global GDP growth benefited from substantial policy support during the global financial crisis but policy tightening thereafter, particularly fiscal consolidation, acted as a significant drag on the subsequent global recovery. In addition, we show that the role of policy has differed across countries. Specifically, in advanced economies, highly accommodative monetary policy has been counteracted by strong fiscal consolidation. By contrast, in emerging economies, monetary policy has been less accommodative since the global recession.</w:t>
      </w:r>
    </w:p>
    <w:p>
      <w:pPr/>
      <w:r>
        <w:rPr>
          <w:b/>
        </w:rPr>
        <w:t>POSSIBLE 2022:</w:t>
      </w:r>
      <w:r>
        <w:t xml:space="preserve"> Thailand Economic Monitor : Fiscal Policy for a Resilient and Equitable Future — https://doi.org/10.1596/38410</w:t>
      </w:r>
    </w:p>
    <w:p>
      <w:pPr/>
      <w:r>
        <w:rPr>
          <w:b/>
        </w:rPr>
        <w:t>Shared claim-specific concepts:</w:t>
      </w:r>
      <w:r>
        <w:t xml:space="preserve"> stronger, not, drag, fiscal, consolidation, activity; EU scope not established. This is a provisional connection, not an outcome finding.</w:t>
      </w:r>
    </w:p>
    <w:p>
      <w:pPr>
        <w:pStyle w:val="SourceNote"/>
      </w:pPr>
      <w:r>
        <w:rPr>
          <w:b/>
        </w:rPr>
        <w:t>Available abstract (not full text):</w:t>
      </w:r>
      <w:r>
        <w:t xml:space="preserve"> The economy has shown resilience to recent global shocks thus far, with output surpassing its pre-pandemic level in 2022 Q3, earlier than expected but trailing behind peers. Thailand’s economic recovery, however, lagged that of its ASEAN peers, most of which returned to pre-pandemic levels by late 2021. In addition, exports of goods remained a drag on growth in contrast to many peers who benefitted from stronger good export growth in the first half of this year. Most recently, Thailand experienced a sharp slowdown in goods exports growth, also observed it its ASEAN peers and consistent with the contraction in global manufacturing Purchasing Manager Index (PMI). Despite higher revenue from tourism, the current account deficit remained wide in 2022 Q3. Price pressures have remained elevated and broadened to core inflation. Fiscal measures aimed at mitigating the cost-of-living shock have supported economic activity but contributed to the slowdown in fiscal consolidation. The financial system remains stable overall, although risks associated with increased levels of household and corporate debt have not been resolved. Labor market conditions have improved, but the phasing out of Coronavirus (COVID-19) relief measures and the rising cost of living may slow down poverty reduction. Thailand’s relatively low tax revenue collection contributes to underinvestment in pro-poor spending. S</w:t>
      </w:r>
    </w:p>
    <w:p>
      <w:pPr>
        <w:pStyle w:val="Heading2"/>
      </w:pPr>
      <w:r>
        <w:t>846.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2023:</w:t>
      </w:r>
      <w:r>
        <w:t xml:space="preserve"> Two and a Half Tales of Europe: How the European Commission Narrates Peoplehood in Migration and Citizenship Policy — https://doi.org/10.1111/jcms.13479</w:t>
      </w:r>
    </w:p>
    <w:p>
      <w:pPr/>
      <w:r>
        <w:rPr>
          <w:b/>
        </w:rPr>
        <w:t>Shared claim-specific concepts:</w:t>
      </w:r>
      <w:r>
        <w:t xml:space="preserve"> two, article; EU scope visible. This is a provisional connection, not an outcome finding.</w:t>
      </w:r>
    </w:p>
    <w:p>
      <w:pPr>
        <w:pStyle w:val="SourceNote"/>
      </w:pPr>
      <w:r>
        <w:rPr>
          <w:b/>
        </w:rPr>
        <w:t>Available abstract (not full text):</w:t>
      </w:r>
      <w:r>
        <w:t xml:space="preserve"> Abstract Since 2019, the European Commission has had a vice president for ‘promoting our European way of life’, but whether a European ‘we’ exists at all is disputed. This article investigates whether and how the Commission has constructed this ‘we’ through narratives of peoplehood. Analysing official communications in migration and citizenship policy between 2007 and 2020, it traces three narrative elements: characters, plot and main theme. The article argues, first, that the Commission's narrative of ‘realizing European citizenship’ creates a sense of peoplehood more than its narrative of ‘achieving a comprehensive migration policy’ and, second, that it has largely repeated its citizenship narrative while adapting its migration narrative. The findings suggest that the Commission is a rather subtle narrator of peoplehood and call into question whether it has a clear idea of the ‘we’ whose ‘way of life’ it seeks to promote.</w:t>
      </w:r>
    </w:p>
    <w:p>
      <w:pPr/>
      <w:r>
        <w:rPr>
          <w:b/>
        </w:rPr>
        <w:t>POSSIBLE 2022:</w:t>
      </w:r>
      <w:r>
        <w:t xml:space="preserve"> Facial-sketch Synthesis: A New Challenge — https://doi.org/10.1007/s11633-022-1349-9</w:t>
      </w:r>
    </w:p>
    <w:p>
      <w:pPr/>
      <w:r>
        <w:rPr>
          <w:b/>
        </w:rPr>
        <w:t>Shared claim-specific concepts:</w:t>
      </w:r>
      <w:r>
        <w:t xml:space="preserve"> sketch, two, approaches; EU scope not established. This is a provisional connection, not an outcome finding.</w:t>
      </w:r>
    </w:p>
    <w:p>
      <w:pPr>
        <w:pStyle w:val="SourceNote"/>
      </w:pPr>
      <w:r>
        <w:rPr>
          <w:b/>
        </w:rPr>
        <w:t>Available abstract (not full text):</w:t>
      </w:r>
      <w:r>
        <w:t xml:space="preserve"> Abstract This paper aims to conduct a comprehensive study on facial-sketch synthesis (FSS). However, due to the high cost of obtaining hand-drawn sketch datasets, there is a lack of a complete benchmark for assessing the development of FSS algorithms over the last decade. We first introduce a high-quality dataset for FSS, named FS2K, which consists of 2 104 image-sketch pairs spanning three types of sketch styles, image backgrounds, lighting conditions, skin colors, and facial attributes. FS2K differs from previous FSS datasets in difficulty, diversity, and scalability and should thus facilitate the progress of FSS research. Second, we present the largest-scale FSS investigation by reviewing 89 classic methods, including 25 handcrafted feature-based facial-sketch synthesis approaches, 29 general translation methods, and 35 image-to-sketch approaches. In addition, we elaborate comprehensive experiments on the existing 19 cutting-edge models. Third, we present a simple baseline for FSS, named FSGAN. With only two straightforward components, i.e., facial-aware masking and style-vector expansion, our FSGAN surpasses the performance of all previous state-of-the-art models on the proposed FS2K dataset by a large margin. Finally, we conclude with lessons learned over the past years and point out several unsolved challenges. Our code is available at https://github.com/DengPingFan/FSGAN</w:t>
      </w:r>
    </w:p>
    <w:p>
      <w:pPr/>
      <w:r>
        <w:rPr>
          <w:b/>
        </w:rPr>
        <w:t>POSSIBLE 2021:</w:t>
      </w:r>
      <w:r>
        <w:t xml:space="preserve"> A New Idea(l) for Europe: Report on the Future of Cosmopolitanism in Europe — https://doi.org/10.17185/duepublico/74426</w:t>
      </w:r>
    </w:p>
    <w:p>
      <w:pPr/>
      <w:r>
        <w:rPr>
          <w:b/>
        </w:rPr>
        <w:t>Shared claim-specific concepts:</w:t>
      </w:r>
      <w:r>
        <w:t xml:space="preserve"> sketch, two, possible, emphasize, union; EU scope visible. This is a provisional connection, not an outcome finding.</w:t>
      </w:r>
    </w:p>
    <w:p>
      <w:pPr>
        <w:pStyle w:val="SourceNote"/>
      </w:pPr>
      <w:r>
        <w:rPr>
          <w:b/>
        </w:rPr>
        <w:t>Available abstract (not full text):</w:t>
      </w:r>
      <w:r>
        <w:t xml:space="preserve"> While designing its migration policies, the European Union must carefully weigh two conflicting considerations. On the one hand, the Union has set some normative standards for itself in its Charter of Fundamental Rights. On the other hand, after the sudden influx of asylum seekers over the summer of 2015, several member states signalled that their reception facilities could not cope with the tide of new arrivals, while some populations voted into power or confirmed national governments committed to restricting immigration into Europe. This report aims to offer some constructive criticisms and to present various solutions that would reconcile the Union’s normative commitments with its migration practices. To that end, we will proceed in four major steps. To begin with, we present a thorough diagnostic of the current situation of the Union’s migration policies and of its adequation to its self-assigned values and norms. Then, we introduce three possible scenarios for the future of the Union’s migration policies. In our first scenario, we suggest that the current status quo is unstable and that its perpetuation is likely to come at a political cost. We then sketch two alternative options. In the second scenario, the Union takes a step back in the management of its external borders, hands over most of the operational responsibilities to its member states and limits itself to a supe</w:t>
      </w:r>
    </w:p>
    <w:p>
      <w:pPr/>
      <w:r>
        <w:rPr>
          <w:b/>
        </w:rPr>
        <w:t>POSSIBLE 2020:</w:t>
      </w:r>
      <w:r>
        <w:t xml:space="preserve"> Public Policy during COVID-19: Challenges for Public Administration and Policy Research in Central and Eastern Europe — https://doi.org/10.2478/nispa-2020-0011</w:t>
      </w:r>
    </w:p>
    <w:p>
      <w:pPr/>
      <w:r>
        <w:rPr>
          <w:b/>
        </w:rPr>
        <w:t>Shared claim-specific concepts:</w:t>
      </w:r>
      <w:r>
        <w:t xml:space="preserve"> suggested, article; EU scope visible. This is a provisional connection, not an outcome finding.</w:t>
      </w:r>
    </w:p>
    <w:p>
      <w:pPr>
        <w:pStyle w:val="SourceNote"/>
      </w:pPr>
      <w:r>
        <w:rPr>
          <w:b/>
        </w:rPr>
        <w:t>Available abstract (not full text):</w:t>
      </w:r>
      <w:r>
        <w:t xml:space="preserve"> Abstract The authors of this text decided to prepare a short article, with the aim to induce further discussion and to orient ongoing and future research efforts in Central and Eastern Europe but also worldwide. The article uses the method of a multi-country case study as the basis for proposing several critical research (and policy) challenges for our region – but many of them of a world-wide character. Four countries are covered by our thumbnail informative sketches – the Czech Republic, Estonia, Hungary and the Slovak Republic. The final part of this article proposes a set of questions suggested by the CEE experience with COVID-19 for future research. Such research will both be necessary and interesting for scholarship and policy in the region, and – as a particularly interesting context and area – helpful, one hopes, for questions and answers globally, concerning the pandemic, as well as public administration and policy as a whole.</w:t>
      </w:r>
    </w:p>
    <w:p>
      <w:pPr/>
      <w:r>
        <w:rPr>
          <w:b/>
        </w:rPr>
        <w:t>POSSIBLE 2019:</w:t>
      </w:r>
      <w:r>
        <w:t xml:space="preserve"> Innovators in the Crossfire: A Policy Sketch for Unknowable Risks in European and United States Product Liability Law — https://doi.org/10.37381/tds8a957</w:t>
      </w:r>
    </w:p>
    <w:p>
      <w:pPr/>
      <w:r>
        <w:rPr>
          <w:b/>
        </w:rPr>
        <w:t>Shared claim-specific concepts:</w:t>
      </w:r>
      <w:r>
        <w:t xml:space="preserve"> sketch, possible, union, far, article; EU scope visible. This is a provisional connection, not an outcome finding.</w:t>
      </w:r>
    </w:p>
    <w:p>
      <w:pPr>
        <w:pStyle w:val="SourceNote"/>
      </w:pPr>
      <w:r>
        <w:rPr>
          <w:b/>
        </w:rPr>
        <w:t>Available abstract (not full text):</w:t>
      </w:r>
      <w:r>
        <w:t xml:space="preserve"> hrrRopucroNA product defect results from an unknowable innovation riskl when available scientific testing procedures could not have permitted discovery of the defect prior to the product's initial manufacture.Such product defects occur rather commonly in innovative or newly developed products and materials2 typically found in the pharmaceutical, medico- technical, nuclear, aviation, and biochemical engineering industries.Irgal treatment of product innovation risks has significant economic implications, which this Article addresses.Although strict liabilityincluding liability for innovation risks-has expanded for the last twenty years,3 it now seems to have started to contract on both sides of the Atlantic.4The role of innovation risks in product liability law is currently attracting attention from both lawyers and government administrators.Although cunently on the European Union's agenda, the subject of innovation risk has thus far beon addressed only tentatively in Council Directive 85/374 of July 25, 1985, concerning the member states'l.This term excludes losses occurring after the risk has been detected because such lesses result from failure to forewam a user of its consequences, not from the innovation risk itself.James A. Henderson, h., Coping with the Time Dimension in Products linbility,69 Cru-.L. REV.919, 922 n.5 (1981).Because these cases do not pose special problems </w:t>
      </w:r>
    </w:p>
    <w:p>
      <w:pPr/>
      <w:r>
        <w:rPr>
          <w:b/>
        </w:rPr>
        <w:t>POSSIBLE 2019:</w:t>
      </w:r>
      <w:r>
        <w:t xml:space="preserve"> European Union social policy — https://doi.org/10.4324/9780429290510-30</w:t>
      </w:r>
    </w:p>
    <w:p>
      <w:pPr/>
      <w:r>
        <w:rPr>
          <w:b/>
        </w:rPr>
        <w:t>Shared claim-specific concepts:</w:t>
      </w:r>
      <w:r>
        <w:t xml:space="preserve"> two, potential, union; EU scope visible. This is a provisional connection, not an outcome finding.</w:t>
      </w:r>
    </w:p>
    <w:p>
      <w:pPr>
        <w:pStyle w:val="SourceNote"/>
      </w:pPr>
      <w:r>
        <w:rPr>
          <w:b/>
        </w:rPr>
        <w:t>Available abstract (not full text):</w:t>
      </w:r>
      <w:r>
        <w:t xml:space="preserve"> This chapter presents quantitative and qualitative developments of EU social policy over the last two decades. It differentiates between instrument types (spending, regulatory, and coordinating) and areas of EU social policy (freedom of movement, unemployment, old age, and health) to show that overall continuity prevails. Economic integration continues to dominate over social integration, developments are incremental and frequently take place in form of soft, non-binding rather than binding instruments. This is astonishing as deepening economic integration, austerity policies, and hardship of the economic and financial crisis create demand for more or for a different EU social policy. Turning to potential explanations for this paradox, the chapter finishes by discussing the heterogeneity of member states and their interests as well as EU politics.</w:t>
      </w:r>
    </w:p>
    <w:p>
      <w:pPr/>
      <w:r>
        <w:rPr>
          <w:b/>
        </w:rPr>
        <w:t>POSSIBLE 2019:</w:t>
      </w:r>
      <w:r>
        <w:t xml:space="preserve"> Energy Policy and European Union Politics — https://doi.org/10.1093/acrefore/9780190228637.013.1079</w:t>
      </w:r>
    </w:p>
    <w:p>
      <w:pPr/>
      <w:r>
        <w:rPr>
          <w:b/>
        </w:rPr>
        <w:t>Shared claim-specific concepts:</w:t>
      </w:r>
      <w:r>
        <w:t xml:space="preserve"> energy, governance, union, beyond, coherence; EU scope visible. This is a provisional connection, not an outcome finding.</w:t>
      </w:r>
    </w:p>
    <w:p>
      <w:pPr>
        <w:pStyle w:val="SourceNote"/>
      </w:pPr>
      <w:r>
        <w:rPr>
          <w:b/>
        </w:rPr>
        <w:t>Available abstract (not full text):</w:t>
      </w:r>
      <w:r>
        <w:t xml:space="preserve"> Abstract Energy policy has been considered as a “special case of Europeanization,” due to its tardy and patchy development as a domain of EU activity as well as its important but highly contested external dimension. Divergent energy pathways across Member States and the sensitivity of this policy domain have militated against a unified European Energy Policy. And yet, since the mid-2000s cooperation in this policy area has picked up speed, leading to the adoption of the Energy Union, presented by the European Commission as the most ambitious energy initiative since the European Coal and Steel Community. This dynamism has attracted growing scholarly attention, seeking to determine whether, why and how European Energy Policy has consolidated against all odds during a particularly critical moment for European integration. The underlying question that emerges in this context is whether the Energy Union represents a step forward towards a more homogenous and joined-up energy policy or, rather a strategy to manage heterogeneity through greater flexibility and differentiated integration. Given the multilevel and multisectoral characteristics of energy policy, answering these questions requires a three-fold analysis of (1) the degree of centralization of European Energy Policy (vertical integration), (2) the coherence between energy sub-sectors (cross-sectoral integration), and (3) the</w:t>
      </w:r>
    </w:p>
    <w:p>
      <w:pPr/>
      <w:r>
        <w:rPr>
          <w:b/>
        </w:rPr>
        <w:t>POSSIBLE 2018:</w:t>
      </w:r>
      <w:r>
        <w:t xml:space="preserve"> Institutional Economics: A Sketch of Economic Growth Policy — https://openalex.org/W2785147937</w:t>
      </w:r>
    </w:p>
    <w:p>
      <w:pPr/>
      <w:r>
        <w:rPr>
          <w:b/>
        </w:rPr>
        <w:t>Shared claim-specific concepts:</w:t>
      </w:r>
      <w:r>
        <w:t xml:space="preserve"> sketch, possible; EU scope not established. This is a provisional connection, not an outcome finding.</w:t>
      </w:r>
    </w:p>
    <w:p>
      <w:pPr>
        <w:pStyle w:val="SourceNote"/>
      </w:pPr>
      <w:r>
        <w:rPr>
          <w:b/>
        </w:rPr>
        <w:t>Available abstract (not full text):</w:t>
      </w:r>
      <w:r>
        <w:t xml:space="preserve"> In the postwar period until today the call for more intensive economic growth, again and again, enjoyed a substantial popularity in the world of politics, in particular with reference to possible current solutions of given economic problems. Here growth considerations and decisions in the past concentrating on some few years will be critically evaluated and found to be inadequate. Since economic growth is a long-term phenomenon, pertaining institutional and organizational precautions for formulating policies must be taken that will embody the preconditions of growth, the infrastructure of the market economy. In this context a proposal will be made on the basis of a wellknown constitutional model.</w:t>
      </w:r>
    </w:p>
    <w:p>
      <w:pPr/>
      <w:r>
        <w:rPr>
          <w:b/>
        </w:rPr>
        <w:t>POSSIBLE 2018:</w:t>
      </w:r>
      <w:r>
        <w:t xml:space="preserve"> Discourse analysis in the study of European foreign policy — https://doi.org/10.7765/9781526137647.00010</w:t>
      </w:r>
    </w:p>
    <w:p>
      <w:pPr/>
      <w:r>
        <w:rPr>
          <w:b/>
        </w:rPr>
        <w:t>Shared claim-specific concepts:</w:t>
      </w:r>
      <w:r>
        <w:t xml:space="preserve"> potential, union; EU scope visible. This is a provisional connection, not an outcome finding.</w:t>
      </w:r>
    </w:p>
    <w:p>
      <w:pPr>
        <w:pStyle w:val="SourceNote"/>
      </w:pPr>
      <w:r>
        <w:rPr>
          <w:b/>
        </w:rPr>
        <w:t>Available abstract (not full text):</w:t>
      </w:r>
      <w:r>
        <w:t xml:space="preserve"> Social constructivist discourse analysis has, since the early 1990s, become increasingly popular across the social sciences, including international relations. This chapter outlines the possibilities for the use of discourse analysis in the study of European foreign policy. It introduces the main features and assumptions of discourse analysis within the general field of social constructivism, and presents the main implications of discourse analysis for concrete empirical research. The chapter describes the main dimensions of discourse analysis using the categories of Milliken: representation, policy practice and play of practice. It highlights the use, and potential use, of discourse analysis in relation to four different aspects of European Union (EU) foreign policy. They are: is the EU constructed as an actor; as what kind of actor; what kind of values does it draw on; and how are EU foreign policy decision-making procedures constructed? .</w:t>
      </w:r>
    </w:p>
    <w:p>
      <w:pPr/>
      <w:r>
        <w:rPr>
          <w:b/>
        </w:rPr>
        <w:t>POSSIBLE 2017:</w:t>
      </w:r>
      <w:r>
        <w:t xml:space="preserve"> Towards a European Food and Nutrition Policy — https://openalex.org/W2766455788</w:t>
      </w:r>
    </w:p>
    <w:p>
      <w:pPr/>
      <w:r>
        <w:rPr>
          <w:b/>
        </w:rPr>
        <w:t>Shared claim-specific concepts:</w:t>
      </w:r>
      <w:r>
        <w:t xml:space="preserve"> provide, climate; EU scope visible. This is a provisional connection, not an outcome finding.</w:t>
      </w:r>
    </w:p>
    <w:p>
      <w:pPr>
        <w:pStyle w:val="SourceNote"/>
      </w:pPr>
      <w:r>
        <w:rPr>
          <w:b/>
        </w:rPr>
        <w:t>Available abstract (not full text):</w:t>
      </w:r>
      <w:r>
        <w:t xml:space="preserve"> Food is pivotal to our existence, connecting us with nature and with each other.Food is essential for our growth, livelihood and health.It defines who we are and is part of our identity.No wonder almost everyone has opinions on our diets, with lots of emerging hypes and intense discussions.Most of the time we make food choices unconsciously, without thinking.But sometimes this routine is disrupted by a news item about food safety or the impact that food production has on the environment, on overweight and disease, on climate change and food scarcity.Food is an important predictor of chronic disease, with our food choices, lifestyle and living environment greatly affecting our health and quality of life.Our confidence in food also relates to trust in farmers, the food industry, supermarkets and the government.Food is about who we are in relation to our own health and the health of our friends &amp; family.It is highly dependent on those who supply it, whether from nearby sources or the other side of the world.Wageningen University &amp; Research conducts research into food systems that provide diets to people in their daily life, in both Western and non-Western contexts, as part of the global community or as individuals.Wageningen University &amp; Research is one of the few universities in the world to carry out research on food, nutrition, lifestyle and health while also studying animal an</w:t>
      </w:r>
    </w:p>
    <w:p>
      <w:pPr>
        <w:pStyle w:val="Heading2"/>
      </w:pPr>
      <w:r>
        <w:t>847.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next, opportunities, increase;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2021:</w:t>
      </w:r>
      <w:r>
        <w:t xml:space="preserve"> Seeking Proxies for Internal States as a Possible Alternative for Rationality and Experientiality — https://doi.org/10.1177/2158244020986533</w:t>
      </w:r>
    </w:p>
    <w:p>
      <w:pPr/>
      <w:r>
        <w:rPr>
          <w:b/>
        </w:rPr>
        <w:t>Shared claim-specific concepts:</w:t>
      </w:r>
      <w:r>
        <w:t xml:space="preserve"> between, internal, external; EU scope not established. This is a provisional connection, not an outcome finding.</w:t>
      </w:r>
    </w:p>
    <w:p>
      <w:pPr>
        <w:pStyle w:val="SourceNote"/>
      </w:pPr>
      <w:r>
        <w:rPr>
          <w:b/>
        </w:rPr>
        <w:t>Available abstract (not full text):</w:t>
      </w:r>
      <w:r>
        <w:t xml:space="preserve"> The Cognitive–Experiential Self-Theory (CEST) proposes rationality and experientiality as independent personality constructs explaining how people process information. Recent empirical studies show that some people have low scores on both of these dimensions (the so-called disengaged profile). Another model, Seeking Proxies for Internal States (SPIS), primarily proposed to explain obsessive-compulsive tendencies, provides a framework under which both rationality and experientiality can be understood as internal resources of a person. Low rationality and experientiality could thus be overcome by seeking external clues. In two subsequent studies on independent nonclinical samples (psychology students N = 268 and technical sciences students N = 549), we examined the relationship between constructs from CEST and SPIS models, and in addition, explored their patterns of interoceptive awareness (IA) in Study 2. A latent profile analysis showed that the disengaged profile was related to high SPIS and OC tendencies in both samples. In addition, rationality and experientiality had similar and more positive correlations with some IA dimensions, compared to SPIS (and OCI)—IA correlations. Thus, impaired connection to internal states together with OC tendencies might contribute to the understanding of the specific thinking style of those who do not primarily rely on either rationality or ex</w:t>
      </w:r>
    </w:p>
    <w:p>
      <w:pPr/>
      <w:r>
        <w:rPr>
          <w:b/>
        </w:rPr>
        <w:t>POSSIBLE 2021:</w:t>
      </w:r>
      <w:r>
        <w:t xml:space="preserve"> DIAGNOSIS OF THREATS TO THE EUROPEAN UNION’S INTERNAL SECURITY — https://doi.org/10.7862/rz.2021.hss.19</w:t>
      </w:r>
    </w:p>
    <w:p>
      <w:pPr/>
      <w:r>
        <w:rPr>
          <w:b/>
        </w:rPr>
        <w:t>Shared claim-specific concepts:</w:t>
      </w:r>
      <w:r>
        <w:t xml:space="preserve"> identify, internal, threats, state; EU scope visible. This is a provisional connection, not an outcome finding.</w:t>
      </w:r>
    </w:p>
    <w:p>
      <w:pPr>
        <w:pStyle w:val="SourceNote"/>
      </w:pPr>
      <w:r>
        <w:rPr>
          <w:b/>
        </w:rPr>
        <w:t>Available abstract (not full text):</w:t>
      </w:r>
      <w:r>
        <w:t xml:space="preserve"> There is a common belief that despite the many legal, practical, and supportive solutions that the EU has introduced in recent years in the area of internal security, its citizens still lack assurance.In order to obtain the desired state of security, it is necessary to improve the existing solutions and create completely new ones.This need is associated with a deep awareness of threats, as well as knowledge of the mechanisms of their emergence and functioning.The aim of this article is to identify threats selected by scientists and experts that cause the greatest fear and anxiety in all the EU states and their citizens using theoretical methods such as analysis, synthesis, generalization, and inference.These findings highlight the opportunity to learn about the essence of threats to the internal security of the EU states that arise from contradictions and antagonisms on political, economic, and social bases and are caused not only by human activities but also by natural phenomena, the effects of which may be immediate or anticipated and very severe.</w:t>
      </w:r>
    </w:p>
    <w:p>
      <w:pPr/>
      <w:r>
        <w:rPr>
          <w:b/>
        </w:rPr>
        <w:t>POSSIBLE 2019:</w:t>
      </w:r>
      <w:r>
        <w:t xml:space="preserve"> Achievements of the European Union Countries in Seeking a Sustainable Electricity Sector — https://doi.org/10.3390/en12122254</w:t>
      </w:r>
    </w:p>
    <w:p>
      <w:pPr/>
      <w:r>
        <w:rPr>
          <w:b/>
        </w:rPr>
        <w:t>Shared claim-specific concepts:</w:t>
      </w:r>
      <w:r>
        <w:t xml:space="preserve"> seeks, identify, increase; EU scope visible. This is a provisional connection, not an outcome finding.</w:t>
      </w:r>
    </w:p>
    <w:p>
      <w:pPr>
        <w:pStyle w:val="SourceNote"/>
      </w:pPr>
      <w:r>
        <w:rPr>
          <w:b/>
        </w:rPr>
        <w:t>Available abstract (not full text):</w:t>
      </w:r>
      <w:r>
        <w:t xml:space="preserve"> The electricity production sector has a significant share of final energy consumption and has a huge potential to use more renewable energy sources. Over the last two decades, the European Union (EU) reform of electricity markets has had positive results, and market liberalization acts as a stimulus for energy efficiency, lower prices, and technological progress. Today’s EU policy for the development of electricity and the entire energy sector seeks to provide system modernization, stability, reinforcement of the single market, and implementation of climate change policy with an emphasis on the decarbonization of energy sources and the increase of energy efficiency. After all of the EU efforts to form an electricity sector in member states, it is necessary to assess the efficiency of the policy implemented and to identify the results achieved in shaping a sustainable electricity sector. The purpose of this article is to carry out a sustainability assessment of the electricity sector in the EU countries. A set of eight indicators designed to assess the sustainability of the electricity sector of different EU countries in 2017 has been drawn up. The assessment is made using the multi-criteria decision-making method (MCDM) Technique for Order Preference (TOPSIS). The assessment shows that the electricity market of Slovenia is the most sustainable, with Luxembourg in the second pos</w:t>
      </w:r>
    </w:p>
    <w:p>
      <w:pPr/>
      <w:r>
        <w:rPr>
          <w:b/>
        </w:rPr>
        <w:t>POSSIBLE 2019:</w:t>
      </w:r>
      <w:r>
        <w:t xml:space="preserve"> Social Innovation in Community Energy in Europe: A Review of the Evidence — https://doi.org/10.3389/fenrg.2019.00031</w:t>
      </w:r>
    </w:p>
    <w:p>
      <w:pPr/>
      <w:r>
        <w:rPr>
          <w:b/>
        </w:rPr>
        <w:t>Shared claim-specific concepts:</w:t>
      </w:r>
      <w:r>
        <w:t xml:space="preserve"> identify, opportunities, government;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The populist citizen: Empirical evidence from Europe and Latin America — https://doi.org/10.1017/s1755773919000262</w:t>
      </w:r>
    </w:p>
    <w:p>
      <w:pPr/>
      <w:r>
        <w:rPr>
          <w:b/>
        </w:rPr>
        <w:t>Shared claim-specific concepts:</w:t>
      </w:r>
      <w:r>
        <w:t xml:space="preserve"> identify, between, government; EU scope visible. This is a provisional connection, not an outcome finding.</w:t>
      </w:r>
    </w:p>
    <w:p>
      <w:pPr>
        <w:pStyle w:val="SourceNote"/>
      </w:pPr>
      <w:r>
        <w:rPr>
          <w:b/>
        </w:rPr>
        <w:t>Available abstract (not full text):</w:t>
      </w:r>
      <w:r>
        <w:t xml:space="preserve"> Abstract Scholars are increasingly interested in ‘populist attitudes’, which – studies show – can explain party support and vote choice. However, current research has not yet analyzed in detail the characteristics of those individuals with populist proclivities, or so-called populist citizens . To address this research gap, we harmonize survey data on populist attitudes for nine European countries, five Latin American countries, and Turkey in order to uncover shared or distinct features of populist citizens. Our findings are threefold. First, we identify differences in the sociodemographic characteristics of populist citizens, notably between Europe and Latin America. Second, we find similar patterns of heterogeneity in the political features of populist citizens. Third, we show that populist citizens across all countries have the same democratic profile. They systematically support democracy over other forms of government, while being dissatisfied with its implementation. This suggests populist attitudes are intrinsic to the political culture of contemporary democracies.</w:t>
      </w:r>
    </w:p>
    <w:p>
      <w:pPr/>
      <w:r>
        <w:rPr>
          <w:b/>
        </w:rPr>
        <w:t>POSSIBLE 2017:</w:t>
      </w:r>
      <w:r>
        <w:t xml:space="preserve"> Seeking to Belong: How the Words of Internal and External Beneficiaries Influence Performance — https://doi.org/10.5465/ambpp.2017.17184abstract</w:t>
      </w:r>
    </w:p>
    <w:p>
      <w:pPr/>
      <w:r>
        <w:rPr>
          <w:b/>
        </w:rPr>
        <w:t>Shared claim-specific concepts:</w:t>
      </w:r>
      <w:r>
        <w:t xml:space="preserve"> internal, external, increase; EU scope not established. This is a provisional connection, not an outcome finding.</w:t>
      </w:r>
    </w:p>
    <w:p>
      <w:pPr>
        <w:pStyle w:val="SourceNote"/>
      </w:pPr>
      <w:r>
        <w:rPr>
          <w:b/>
        </w:rPr>
        <w:t>Available abstract (not full text):</w:t>
      </w:r>
      <w:r>
        <w:t xml:space="preserve"> Theories of relational motivation provide evidence that beneficiary contact can enhance prosocial motivation in jobs high in significance by influencing employees’ perceived impact on these beneficiaries. This body of work generally focuses on service functions, or contexts in which the beneficiaries directly benefit from the employee’s work. Our study builds on these theories, suggesting that in contexts where the benefits to customers are indirect and distant, contact with internal beneficiaries can lead to increases in prosocial motivation by enhancing employees’ sense of belongingness. Our study leverages the insight that employees are seeking to belong–and seek to enhance their sense of belongingness in work settings. We find, in a longitudinal field experiment of fruit harvesters, that though beneficiary contact with the overall customer did not significantly improve productivity, contact with an internal beneficiary that made connectedness salient yielded a persistent increase in productivity relative to a control group.</w:t>
      </w:r>
    </w:p>
    <w:p>
      <w:pPr>
        <w:pStyle w:val="Heading2"/>
      </w:pPr>
      <w:r>
        <w:t>848.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2024:</w:t>
      </w:r>
      <w:r>
        <w:t xml:space="preserve"> The impact of Finnish politics on third-sector organizations’ human trafficking work — https://openalex.org/W7132975241</w:t>
      </w:r>
    </w:p>
    <w:p>
      <w:pPr/>
      <w:r>
        <w:rPr>
          <w:b/>
        </w:rPr>
        <w:t>Shared claim-specific concepts:</w:t>
      </w:r>
      <w:r>
        <w:t xml:space="preserve"> third, show, work; EU scope visible. This is a provisional connection, not an outcome finding.</w:t>
      </w:r>
    </w:p>
    <w:p>
      <w:pPr>
        <w:pStyle w:val="SourceNote"/>
      </w:pPr>
      <w:r>
        <w:rPr>
          <w:b/>
        </w:rPr>
        <w:t>Available abstract (not full text):</w:t>
      </w:r>
      <w:r>
        <w:t xml:space="preserve">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pPr/>
      <w:r>
        <w:rPr>
          <w:b/>
        </w:rPr>
        <w:t>POSSIBLE 2024:</w:t>
      </w:r>
      <w:r>
        <w:t xml:space="preserve"> Nonlinear Influence of the Built Environment on the Attraction of the Third Activity: A Comparative Analysis of Inflow from Home and Work — https://doi.org/10.3390/ijgi13090337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Gaining an understanding of the intricate mechanisms between human activity and the built environment can help in promoting sustainable urban development. However, most scholars have focused on residents’ life and work behavior and have ignored the third activity (e.g., shopping, eating, and entertainment). In this study, a random forest algorithm and SHapley Additive exPlanation model were utilized to explore the nonlinear influence of the built environment on the attraction of the third activity (other than home and work). A comparative analysis of the inflow of the third activity from home and work was also carried out. The results show that the contributions of all built environment variables to the attraction of the third activity differ between home–other flow (HO) and work–other flow (WO) at the global scale, but their local effects are significantly similar. Furthermore, the nonlinear influence of the built environment on the attractions of the third activity can vary from one factor to another. A significant spatial heterogeneity can be observed on the built environment variables’ local effects on the attractions of the third activity. These findings can provide urban planners with insights that will help in the planning and optimization of communities for pursuing the third activity.</w:t>
      </w:r>
    </w:p>
    <w:p>
      <w:pPr/>
      <w:r>
        <w:rPr>
          <w:b/>
        </w:rPr>
        <w:t>POSSIBLE 2023:</w:t>
      </w:r>
      <w:r>
        <w:t xml:space="preserve"> THE HALF AND THE THIRD – BINARY CONTINUITY LESSON IN THIRD AND FIFTH GRADES — https://doi.org/10.26883/2010.232.5592</w:t>
      </w:r>
    </w:p>
    <w:p>
      <w:pPr/>
      <w:r>
        <w:rPr>
          <w:b/>
        </w:rPr>
        <w:t>Shared claim-specific concepts:</w:t>
      </w:r>
      <w:r>
        <w:t xml:space="preserve"> third, show, work, two; EU scope not established. This is a provisional connection, not an outcome finding.</w:t>
      </w:r>
    </w:p>
    <w:p>
      <w:pPr>
        <w:pStyle w:val="SourceNote"/>
      </w:pPr>
      <w:r>
        <w:rPr>
          <w:b/>
        </w:rPr>
        <w:t>Available abstract (not full text):</w:t>
      </w:r>
      <w:r>
        <w:t xml:space="preserve"> This is a binary mathematics lesson to reinforce the concepts of halves and the thirds. The new knowledge that third graders gain in the lesson is their introduction to the appropriate notation of halves and thirds with fractions. This is also the continuity between third and fifth grade. The lesson combines knowledge and skills in mathematics, Bulgarian language and literature, fine arts, technology, and entrepreneurship. The pre-project activity „The Half and the third“ gives a visual image of these concepts. Hands-on teamwork activities in a lesson are a great way to represent the concepts with real objects and a way to work with units of measurement that have been learned. Students should present what they have already learned about halves and thirds with a paper and cardboard presentation in the shape of flowers. They present drawn geometric shapes that are divided into two or three equal parts. In some of the shapes one of the two /three/ equal parts is colored. This is the problem situation – how to label this part in the presentation? The task of the fifth-grade teacher is to introduce fractions one-half and one-third of something whole through demonstration and with mathematical expression that is understandable to third graders. To show, explain and write down the fractions 1/2 and 1/3. The lesson ends with an emotional story about the symbolism of flowers by the scho</w:t>
      </w:r>
    </w:p>
    <w:p>
      <w:pPr/>
      <w:r>
        <w:rPr>
          <w:b/>
        </w:rPr>
        <w:t>POSSIBLE 2021:</w:t>
      </w:r>
      <w:r>
        <w:t xml:space="preserve"> Customer Work Practices and the Productive Third Place — https://doi.org/10.1177/10946705211014278</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Third places—communal or socializing places such as coffee shops—are confronted with a rising customer segment: customers who use them for work. Prior research is divided on this trend: customer-workers are seen either as a source of added value or a major threat to third places. Relying on a multimethod, qualitative study, we investigate the strategic implications of the rise of customer-workers in third places. We extend prior research by considering customer-workers as a new and valuable segment, with its specific motivations and practices. Building on the co-constitution of practices and places, we show that the rise of the customer-worker segment has fostered market differentiation. We identify four types of third places (archetypal, status quo, compromise, and productive) depending on their targeting strategy and their servicescape adaptation. We delineate how customer-workers transform third places’ value proposition and bring challenges to each type. Specifically, we show that status quo third places are most prone to customer conflicts while compromise third places generate managerial struggles. In contrast, productive third places adapt their servicescape to become work accelerators and a source of professional identity for customer-workers. We provide recommendations for managers to overcome conflicts and benefit from this growing customer base.</w:t>
      </w:r>
    </w:p>
    <w:p>
      <w:pPr/>
      <w:r>
        <w:rPr>
          <w:b/>
        </w:rPr>
        <w:t>POSSIBLE 2021:</w:t>
      </w:r>
      <w:r>
        <w:t xml:space="preserve"> Work, family life and recovery: An exploratory study of “the third shift” — https://doi.org/10.3233/wor-213624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BACKGROUND: Using 24-hour narratives as a starting-point, the present study examines conditions for recovery from work. The third shift concept forms the explorative starting point for highlighting the interplay between work, family responsibilities, leisure time and recovery. OBJECTIVE: The aim of the study is to explore how the third shift affects possibilities for recovery. METHOD: The material was gathered by group interviews and diaries. Thirty employees participated in the study. Ten participants where women between 30 and 45 years of age with children living at home. RESULTS: Being solely responsible for the third shift reduced the chances of recovery during work-free time. The material showed that women aged 30-45 years had to a greater extent than others the main responsibility in a complex third shift. CONCLUSION: As a precondition for external recovery, this study show how theoretically beneficial the breakdown of the second shift and development of the third shift is for understanding different preconditions and the way they affect the possibility of recovery.</w:t>
      </w:r>
    </w:p>
    <w:p>
      <w:pPr/>
      <w:r>
        <w:rPr>
          <w:b/>
        </w:rPr>
        <w:t>POSSIBLE 2019:</w:t>
      </w:r>
      <w:r>
        <w:t xml:space="preserve"> Show Your Work: Improved Reporting of Experimental Results — https://doi.org/10.18653/v1/d19-1224</w:t>
      </w:r>
    </w:p>
    <w:p>
      <w:pPr/>
      <w:r>
        <w:rPr>
          <w:b/>
        </w:rPr>
        <w:t>Shared claim-specific concepts:</w:t>
      </w:r>
      <w:r>
        <w:t xml:space="preserve"> show, work, methods; EU scope not established. This is a provisional connection, not an outcome finding.</w:t>
      </w:r>
    </w:p>
    <w:p>
      <w:pPr>
        <w:pStyle w:val="SourceNote"/>
      </w:pPr>
      <w:r>
        <w:rPr>
          <w:b/>
        </w:rPr>
        <w:t>Available abstract (not full text):</w:t>
      </w:r>
      <w:r>
        <w:t xml:space="preserve"> Jesse Dodge, Suchin Gururangan, Dallas Card, Roy Schwartz, Noah A. Smith. Proceedings of the 2019 Conference on Empirical Methods in Natural Language Processing and the 9th International Joint Conference on Natural Language Processing (EMNLP-IJCNLP). 2019.</w:t>
      </w:r>
    </w:p>
    <w:p>
      <w:pPr/>
      <w:r>
        <w:rPr>
          <w:b/>
        </w:rPr>
        <w:t>POSSIBLE 2019:</w:t>
      </w:r>
      <w:r>
        <w:t xml:space="preserve"> Pragmatism in the Third Reich — https://doi.org/10.4000/ejpap.1524</w:t>
      </w:r>
    </w:p>
    <w:p>
      <w:pPr/>
      <w:r>
        <w:rPr>
          <w:b/>
        </w:rPr>
        <w:t>Shared claim-specific concepts:</w:t>
      </w:r>
      <w:r>
        <w:t xml:space="preserve"> third, show, two; EU scope visible. This is a provisional connection, not an outcome finding.</w:t>
      </w:r>
    </w:p>
    <w:p>
      <w:pPr>
        <w:pStyle w:val="SourceNote"/>
      </w:pPr>
      <w:r>
        <w:rPr>
          <w:b/>
        </w:rPr>
        <w:t>Available abstract (not full text):</w:t>
      </w:r>
      <w:r>
        <w:t xml:space="preserve"> In this article I try to answer one central question: how can it be explained that the most intense reception of American pragmatism in Germany took place during the Nazi dictatorship (and not in democratic political environments before – during the Weimar Republic – and afterwards – in the first 20 years of the Federal Republic)? The answer is complicated: it starts with an academic exchange programme between Germany and the USA which brought the young post-doc Eduard Baumgarten in the mid -20ties to America and put him in contact with John Dewey and some of his pupils. After his return in 1929 he hoped to write and teach about pragmatism. This project came to an abrupt end, when Martin Heidegger denied him a promised position at the university of Freiburg. After the Nazi “seizure of power” the situation became worse when a completely negative expert opinion by Heidegger, by then the leading Nazi philosopher, blocked Baumgartens habilitation in Göttingen. Baumgarten fought back and established ties to a rising star in Nazi-philosophy, Alfred Baeumler, a devoted follower of Nietzsche’s “Will to Power.” This move secured in the end the publication of Baumgarten´s two books on American philosophy and especially on pragmatism. But this triumph came at a cost: a “reinterpretation” of the democratic content of pragmatism and an effort to show similarities between it and Nietzsche´s </w:t>
      </w:r>
    </w:p>
    <w:p>
      <w:pPr/>
      <w:r>
        <w:rPr>
          <w:b/>
        </w:rPr>
        <w:t>POSSIBLE 2019:</w:t>
      </w:r>
      <w:r>
        <w:t xml:space="preserve"> The Third Wave of LCA as the “Decade of Consolidation” — https://doi.org/10.3390/su11123283</w:t>
      </w:r>
    </w:p>
    <w:p>
      <w:pPr/>
      <w:r>
        <w:rPr>
          <w:b/>
        </w:rPr>
        <w:t>Shared claim-specific concepts:</w:t>
      </w:r>
      <w:r>
        <w:t xml:space="preserve"> third, show, methods; EU scope not established. This is a provisional connection, not an outcome finding.</w:t>
      </w:r>
    </w:p>
    <w:p>
      <w:pPr>
        <w:pStyle w:val="SourceNote"/>
      </w:pPr>
      <w:r>
        <w:rPr>
          <w:b/>
        </w:rPr>
        <w:t>Available abstract (not full text):</w:t>
      </w:r>
      <w:r>
        <w:t xml:space="preserve"> Several authors have pointed out the importance of systems thinking, and have considered both environmental and social aspects (holistic perspective) of sustainability assessment in the past. Sustainability assessment tools which integrate different aspects (e.g., environmental/social aspects) in order to identify negative impacts have already been developed. Common tools used to assess environmental, social, or economic impacts include the life cycle assessment (LCA), social life cycle assessment (S-LCA), life cycle costing (LCC) and life cycle sustainability assessment (LCSA) approaches. The goal of the present study was to investigate how and to what extent the three dimensions of sustainability (environmental, social, economic; holistic sustainability perspective) have been integrated into the field of LCA. A topic modeling method was applied to examine whether the emphasis placed on integrating environmental, social, and economic aspects in sustainability assessment has resulted in a more comprehensive application of the LCA approach. The results show that topics related to energy and infrastructure are currently prevailing, and that topics related to methods have been decreasing since 1997. A minor discussion of social aspects and a lack of discussion on economic aspects were identified in the present study. These results do not support the predicted “decade of life cycle</w:t>
      </w:r>
    </w:p>
    <w:p>
      <w:pPr>
        <w:pStyle w:val="Heading2"/>
      </w:pPr>
      <w:r>
        <w:t>849.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2024:</w:t>
      </w:r>
      <w:r>
        <w:t xml:space="preserve">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pPr/>
      <w:r>
        <w:rPr>
          <w:b/>
        </w:rPr>
        <w:t>POSSIBLE 2024:</w:t>
      </w:r>
      <w:r>
        <w:t xml:space="preserve"> AIRR-C IG Reference Sets: curated sets of immunoglobulin heavy and light chain germline genes — https://doi.org/10.3389/fimmu.2023.1330153</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pPr/>
      <w:r>
        <w:rPr>
          <w:b/>
        </w:rPr>
        <w:t>POSSIBLE 2024:</w:t>
      </w:r>
      <w:r>
        <w:t xml:space="preserve"> Visible‐Light‐Promoted Difluoromethylation/Cyclization of 1‐Acryloyl‐2‐cyanoindole for Construction of Difluoromethylated Pyrrolo[1,2‐a]indolediones — https://doi.org/10.1002/adsc.202301173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A visible‐light‐promoted cascade difluoromethylation/cyclization reaction to access various difluoromethylated pyrrolo[1,2‐a]indolediones was developed using difluoromethyltriphenylphosphonium bromide salt as the difluoromethylating reagent. A possible radical mechanism has been investigated and proven as a single electron transfer (SET) procedure.</w:t>
      </w:r>
    </w:p>
    <w:p>
      <w:pPr/>
      <w:r>
        <w:rPr>
          <w:b/>
        </w:rPr>
        <w:t>POSSIBLE 2022:</w:t>
      </w:r>
      <w:r>
        <w:t xml:space="preserve"> Colour, Light, and Materiality: Biophilic Interior Design Presence in Research and Practice — https://doi.org/10.7454/in.v5i1.189</w:t>
      </w:r>
    </w:p>
    <w:p>
      <w:pPr/>
      <w:r>
        <w:rPr>
          <w:b/>
        </w:rPr>
        <w:t>Shared claim-specific concepts:</w:t>
      </w:r>
      <w:r>
        <w:t xml:space="preserve"> light, developed, identified; EU scope not established. This is a provisional connection, not an outcome finding.</w:t>
      </w:r>
    </w:p>
    <w:p>
      <w:pPr>
        <w:pStyle w:val="SourceNote"/>
      </w:pPr>
      <w:r>
        <w:rPr>
          <w:b/>
        </w:rPr>
        <w:t>Available abstract (not full text):</w:t>
      </w:r>
      <w:r>
        <w:t xml:space="preserve"> The biophilic design hypothesis uses nature-based environmental design for optimising people’s health and well-being. Stephen Kellert in 2008 developed a list of biophilic attributes that was further refined in the Biophilic Interior Design Matrix (BID-M) to specifically support the interior application of biophilic design for health and well-being. The present study further investigates biophilic interior design using the BID-M language and the key interior design components colour, light, and materiality. The first part of the study reviewed four decades of literature related to biophilia and colour, light, and materiality to investigate a total of 19 publications. The second part of the study explored the perceptions of 23 design practitioners' and the use of biophilia related to colour, light, and materiality in their practice. For the first time, evidence was identified about colour, light, and materiality being linked to biophilic design and the attributes in the BID-M. The study results showed colour preferences were the most frequently identified theme, and practitioners used a variety of biophilic attributes in their practice. The top attributes shared by both the literature review and practitioners were the abstraction of nature, composition, natural light, and natural materials. This finding shows that there is a focus on biophilic attributes in both research and pra</w:t>
      </w:r>
    </w:p>
    <w:p>
      <w:pPr/>
      <w:r>
        <w:rPr>
          <w:b/>
        </w:rPr>
        <w:t>POSSIBLE 2020:</w:t>
      </w:r>
      <w:r>
        <w:t xml:space="preserve"> Light opens a new window for N-heterocyclic carbene catalysis — https://doi.org/10.1039/d0sc03595e</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N-Heterocyclic carbenes (NHCs) are efficient Lewis basic catalysts for the umpolung of various polarized unsaturated compounds usually including aldehydes, imines, acyl chlorides and activated esters. NHC catalysis involving electron pair transfer steps has been extensively studied; however, NHC catalysis through single-electron transfer (SET) processes, despite having the potential to achieve chemical transformations of inert chemical bonds and using green reagents, has long been a challenging task in organic synthesis. In parallel, visible-light-induced photocatalysis and photoexcitation have been established as powerful tools to facilitate sustainable organic synthesis, as they enable the generation of various reactive radical intermediates under extremely mild conditions. Recently, a number of elegant visible-light-induced, NHC-catalyzed transformations were developed for accessing valuable organic compounds. As a result, this minireview will highlight the recent advances in this field.</w:t>
      </w:r>
    </w:p>
    <w:p>
      <w:pPr/>
      <w:r>
        <w:rPr>
          <w:b/>
        </w:rPr>
        <w:t>POSSIBLE 2020:</w:t>
      </w:r>
      <w:r>
        <w:t xml:space="preserve"> Exploration of Emerging Microreactors, and Investigation into the Size Options of Light Water Nuclear Reactors for Prospective Microreactor Designs — https://openalex.org/W3111435069</w:t>
      </w:r>
    </w:p>
    <w:p>
      <w:pPr/>
      <w:r>
        <w:rPr>
          <w:b/>
        </w:rPr>
        <w:t>Shared claim-specific concepts:</w:t>
      </w:r>
      <w:r>
        <w:t xml:space="preserve"> light, developed, options, identified; EU scope not established. This is a provisional connection, not an outcome finding.</w:t>
      </w:r>
    </w:p>
    <w:p>
      <w:pPr>
        <w:pStyle w:val="SourceNote"/>
      </w:pPr>
      <w:r>
        <w:rPr>
          <w:b/>
        </w:rPr>
        <w:t>Available abstract (not full text):</w:t>
      </w:r>
      <w:r>
        <w:t xml:space="preserve"> In response to the economic realities of the American nuclear market, numerous corporations have formed with the goal of bringing new types of nuclear reactor designs to market. A survey was undertaken of these emerging small modular reactor and microreactor designs, with the NuScale Power Module (NPM) identified as a technological forerunner. A neutronics model of this reactor was developed and used to characterize and explore miniaturization alternatives for the development of a light water microreactor based on the proposed reduced size NPM. This model was characterized and the design iterated to arrive at a potential candidate light water micro reactor. Available literature on proposed nuclear reactor designs was reviewed. Government documentation, NRC applications, and company released technical details were collected to present an overview of design alternatives. Of these designs the NuScale reactor alternative was found to have the greatest technological readiness and availability of engineering detail. Using these details, a monte carlo N-particle (MCNP) neutronics model was developed and used to explore options by which this core could be miniaturized. Using a reduced number of assemblies with graphite reflectors, a reactor model was developed that offered the same performance of the proposed reduced size NPM. \nThis design has a two and three quarter year lifespan pro</w:t>
      </w:r>
    </w:p>
    <w:p>
      <w:pPr/>
      <w:r>
        <w:rPr>
          <w:b/>
        </w:rPr>
        <w:t>POSSIBLE 2020:</w:t>
      </w:r>
      <w:r>
        <w:t xml:space="preserve"> Making LiGHT Work of Large Area Survey? Developing Approaches to Rapid Archaeological Mapping and the Creation of Systematic National-scaled Heritage Data — https://doi.org/10.5334/jcaa.49</w:t>
      </w:r>
    </w:p>
    <w:p>
      <w:pPr/>
      <w:r>
        <w:rPr>
          <w:b/>
        </w:rPr>
        <w:t>Shared claim-specific concepts:</w:t>
      </w:r>
      <w:r>
        <w:t xml:space="preserve"> light, strategic, across, different, areas, landscape; EU scope not established. This is a provisional connection, not an outcome finding.</w:t>
      </w:r>
    </w:p>
    <w:p>
      <w:pPr>
        <w:pStyle w:val="SourceNote"/>
      </w:pPr>
      <w:r>
        <w:rPr>
          <w:b/>
        </w:rPr>
        <w:t>Available abstract (not full text):</w:t>
      </w:r>
      <w:r>
        <w:t xml:space="preserve"> The characteristics and form of heritage data are fundamental to its utility in a range of applications, particularly so for heritage agencies who have a remit in management, policy, and the creation and curation of national databases of monuments, sites, and landscapes. Written from the perspective of an archaeological survey function in a national heritage agency, this paper draws on preliminary outcomes from a research and development project that aims to proof protocols for creating systematic data across large areas drawing heavily on remotely sensed data. This recognises that a systemic consideration of the implications of changing technology and data is sometimes desirable, rather than gradual assimilation of developments into existing practice. In particular, the issues being addressed relate to the challenges and opportunities of proliferating remote sensed data and digital workflows. These include the strategic assessment of threat, consideration of fitness for purpose of different datasets relative to landscape characteristics, the documentation of processes and sources of information, the suitability of data structures, and the mechanisms for automating site detection and data creation.</w:t>
      </w:r>
    </w:p>
    <w:p>
      <w:pPr/>
      <w:r>
        <w:rPr>
          <w:b/>
        </w:rPr>
        <w:t>POSSIBLE 2019:</w:t>
      </w:r>
      <w:r>
        <w:t xml:space="preserve"> Developing a vector light sensor — https://openalex.org/W2947760590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Over the past few decades, numerous sensors have been invented for the measurement of light intensity.In most cases, a setup external to the sensor is required to detect the direction of an incoming beam of light.In this work, the design, fabrication, and characterization of a novel light sensor is described.The three-dimensional structure of the sensor allows it to detect both the intensity as well as the direction of the incident light beam, hence becoming a vector light sensor (VLS).The sensor structure is based on creating photodiodes on sidewalls of miniaturized raised or inverted pyramids etched in silicon.Each photodiode was formed by selective doping of the material on each facet of the pyramid, forming a photodiode with the P-type substrate.A set of signal processing algorithms was developed to estimate the direction and the distance of a light source from the sensors.The light sensing devices with both raised and inverted pyramid structures were then fabricated in a cleanroom based on silicon microfabrication technologies.Throughout the process, the lithography step for the textured surface needed to be optimized.An interface circuit was designed and used to amplify and process the signals from the devices.The device operation was verified experimentally to estimate the direction of a light beam.The small size and low power consumption of the individual sensors make t</w:t>
      </w:r>
    </w:p>
    <w:p>
      <w:pPr/>
      <w:r>
        <w:rPr>
          <w:b/>
        </w:rPr>
        <w:t>POSSIBLE 2019:</w:t>
      </w:r>
      <w:r>
        <w:t xml:space="preserve"> Development of computer simulations to overcome students misconceptions on light and optical instruments — https://doi.org/10.1088/1742-6596/1321/3/032074</w:t>
      </w:r>
    </w:p>
    <w:p>
      <w:pPr/>
      <w:r>
        <w:rPr>
          <w:b/>
        </w:rPr>
        <w:t>Shared claim-specific concepts:</w:t>
      </w:r>
      <w:r>
        <w:t xml:space="preserve"> light, developed, set, assessed; EU scope not established. This is a provisional connection, not an outcome finding.</w:t>
      </w:r>
    </w:p>
    <w:p>
      <w:pPr>
        <w:pStyle w:val="SourceNote"/>
      </w:pPr>
      <w:r>
        <w:rPr>
          <w:b/>
        </w:rPr>
        <w:t>Available abstract (not full text):</w:t>
      </w:r>
      <w:r>
        <w:t xml:space="preserve"> Abstract This study aims to develop computer simulations on light and optical instruments topic for junior high school students. The simulations are developed according to the students’ misconception having assessed with two-tier multiple choices test of light and optical instruments concept. The simulations are reviewed by six science teachers to gain comments and suggestion for further development using a set of questionnaires which consists of 10 items with 5-point Likert scale. The items of the instrument are created to assess simulations from aspects of content explanation and its deepness, display, language use, content, curriculum, and students’ misconception. The results of the study show that: (1) The computer simulations program is suited with the contents in the science curriculum, (2) The quality of computer simulations based on science teacher responses is in very good criteria. In conclusion, computer simulations are feasible for junior high school students to overcome misconceptions on light and optical instruments concept.</w:t>
      </w:r>
    </w:p>
    <w:p>
      <w:pPr/>
      <w:r>
        <w:rPr>
          <w:b/>
        </w:rPr>
        <w:t>POSSIBLE 2019:</w:t>
      </w:r>
      <w:r>
        <w:t xml:space="preserve"> Live-work options in light industrial areas: District of Sechelt — https://doi.org/10.25316/ir-7083</w:t>
      </w:r>
    </w:p>
    <w:p>
      <w:pPr/>
      <w:r>
        <w:rPr>
          <w:b/>
        </w:rPr>
        <w:t>Shared claim-specific concepts:</w:t>
      </w:r>
      <w:r>
        <w:t xml:space="preserve"> light, options, different, areas; EU scope not established. This is a provisional connection, not an outcome finding.</w:t>
      </w:r>
    </w:p>
    <w:p>
      <w:pPr>
        <w:pStyle w:val="SourceNote"/>
      </w:pPr>
      <w:r>
        <w:rPr>
          <w:b/>
        </w:rPr>
        <w:t>Available abstract (not full text):</w:t>
      </w:r>
      <w:r>
        <w:t xml:space="preserve"> The purpose of this research is to determine options for the District of Sechelt to allow for housing in light industrial zones. Light industrial areas in a community are generally not considered desirable neighbourhoods for residential development, with the exception of caretaker or security housing. However, a new approach that recognizes the compatibility of light industrial land uses with housing as live-work is evolving and can provide residents with a unique lifestyle. This study provides research into all aspects of live-work with a specific focus on light industrial/residential combinations. Three case studies provide different perspectives on mixed-use zoning. Given the changing nature of uses on industrial lands, new forms of zoning can offer a wider range of options to urban residents.</w:t>
      </w:r>
    </w:p>
    <w:p>
      <w:pPr>
        <w:pStyle w:val="Heading2"/>
      </w:pPr>
      <w:r>
        <w:t>850.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2023:</w:t>
      </w:r>
      <w:r>
        <w:t xml:space="preserve"> Advancing participatory backcasting for climate change adaptation planning using 10 cases from 3 continents — https://doi.org/10.1016/j.crm.2023.100559</w:t>
      </w:r>
    </w:p>
    <w:p>
      <w:pPr/>
      <w:r>
        <w:rPr>
          <w:b/>
        </w:rPr>
        <w:t>Shared claim-specific concepts:</w:t>
      </w:r>
      <w:r>
        <w:t xml:space="preserve"> developed, participatory, backcasting; EU scope visible. This is a provisional connection, not an outcome finding.</w:t>
      </w:r>
    </w:p>
    <w:p>
      <w:pPr>
        <w:pStyle w:val="SourceNote"/>
      </w:pPr>
      <w:r>
        <w:rPr>
          <w:b/>
        </w:rPr>
        <w:t>Available abstract (not full text):</w:t>
      </w:r>
      <w:r>
        <w:t xml:space="preserve"> In the face of climate change, a major challenge is to inform and guide long-term climate change adaptation planning under deep uncertainty, while aiming at transformative change. Normative futures studies approaches, such as participatory backcasting, visioning and transition management, are increasingly applied, but their potential for climate change adaptation research and practice remains undervalued. This paper aims to advance the potential of backcasting in climate adaptation, by comparing various climate change adaptation studies that have used backcasting or visioning approaches. A framework has been further developed and applied to evaluate 10 cases in Africa, Europe and North America, using four dimensions: (i) inputs and settings; (ii) process and methods (iii) results, and (iv), impact. Our evaluation provides key insights into the use and further development of backcasting for climate adaptation. Key elements to add are advanced system modeling, robust elements, pathway switching and hybrid pathways, enhancing participation of marginal groups, and contributing to impact by facilitating the utilization of results and knowledge in practice and decision making.</w:t>
      </w:r>
    </w:p>
    <w:p>
      <w:pPr/>
      <w:r>
        <w:rPr>
          <w:b/>
        </w:rPr>
        <w:t>POSSIBLE 2023:</w:t>
      </w:r>
      <w:r>
        <w:t xml:space="preserve"> How to Create Serious Games? Proposal for a Participatory Methodology — https://doi.org/10.17083/ijsg.v10i4.642</w:t>
      </w:r>
    </w:p>
    <w:p>
      <w:pPr/>
      <w:r>
        <w:rPr>
          <w:b/>
        </w:rPr>
        <w:t>Shared claim-specific concepts:</w:t>
      </w:r>
      <w:r>
        <w:t xml:space="preserve"> developed, participatory, methodology; EU scope not established. This is a provisional connection, not an outcome finding.</w:t>
      </w:r>
    </w:p>
    <w:p>
      <w:pPr>
        <w:pStyle w:val="SourceNote"/>
      </w:pPr>
      <w:r>
        <w:rPr>
          <w:b/>
        </w:rPr>
        <w:t>Available abstract (not full text):</w:t>
      </w:r>
      <w:r>
        <w:t xml:space="preserve"> The demand for practical, engaging, and enjoyable learning experiences has led to a shift in student preferences. Students now seek active learning approaches that prioritize their involvement and utilize technology. In response to this demand, simulators and serious games have emerged as effective strategies in education. Serious games offer numerous benefits, including the promotion of critical thinking, creativity, problem-solving skills, and improved knowledge retention. However, it is crucial to ensure that serious games are well-designed to maintain their appeal and playful nature. Inadequate requirements definition during the initial stages of development can lead to issues in game design. This article emphasizes the importance of establishing clear requirements and objectives in the creation of serious games for educational purposes. By doing so, effective serious games can be developed that meet the needs of students and align with educational goals. This systematic approach to game development ensures that the games are engaging, effective, and conducive to learning.</w:t>
      </w:r>
    </w:p>
    <w:p>
      <w:pPr/>
      <w:r>
        <w:rPr>
          <w:b/>
        </w:rPr>
        <w:t>POSSIBLE 2022:</w:t>
      </w:r>
      <w:r>
        <w:t xml:space="preserve"> Computer‐aided scenario design using participatory backcasting: A case study of sustainable vision creation in a Japanese city — https://doi.org/10.1002/ffo2.141</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Designing backcasting scenarios is a powerful approach to the development of sustainable visions and pathways for governments or enterprises in the early stage of their policy‐making or strategic decision‐making process. To date, a number of scholars have proposed various backcasting methods, in which workshops are often used to reflect the voices of stakeholders. However, it is still a challenge to test the validity of scenarios because the process of designing backcasting scenarios is not transparent or shared among involved stakeholders. This also prevents reusing knowledge and intermediate outputs generated during the scenario design process. To solve these problems, this paper aims to develop a method for supporting a backcasting scenario design by introducing computational assistance. A scenario design support system called the sustainable society scenario (3S) simulator is used to visualize a scenario's logical sequence of the scenario in graph format. To demonstrate the proposed method, a case study for the city of Toyama, a Japanese municipality, was performed using three workshops with citizen participation. The results showed that two different scenarios, involving future visions and associated pathways, were developed by reflecting the diversified values of local citizens. The usage of the 3S simulator visualized the logical relations of the described scena</w:t>
      </w:r>
    </w:p>
    <w:p>
      <w:pPr/>
      <w:r>
        <w:rPr>
          <w:b/>
        </w:rPr>
        <w:t>POSSIBLE 2022:</w:t>
      </w:r>
      <w:r>
        <w:t xml:space="preserve"> Envisioning the driverless city using backcasting and Q-methodology — https://doi.org/10.1016/j.cities.2022.104159</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Despite the expected future introduction of autonomous vehicles in cities, very few studies have analysed the needs and challenges facing urban planning. This paper employs a combination of backcasting and Q-methodology to carry out participatory visioning for a future driverless city. This novel approach was used to elaborate shared visions of the desirable city among a group of 20 citizens and 10 practitioners. Views on 41 statements were analysed relating to urban design, society, environment, transport and mobility needs. Three main visions were identified. The first focuses on high-quality urban spaces and active mobility. The second vision is more futuristic and pro-social, consistent with the more imaginative and innovative stance of young people. The third vision is more conventional and closer to business-as-usual. The results suggest that there is some agreement on the future conditions and policies, especially on the need for environmentally friendly urban development and safe urban design. The article is premised on the belief that engaging stakeholders from different backgrounds, including citizens of various ages, can be enriching for urban planning since there is a wide variety of heterogeneous preferences across society. This requires a search for common ground when designing policy measures that satisfy multiple interests.</w:t>
      </w:r>
    </w:p>
    <w:p>
      <w:pPr/>
      <w:r>
        <w:rPr>
          <w:b/>
        </w:rPr>
        <w:t>POSSIBLE 2021:</w:t>
      </w:r>
      <w:r>
        <w:t xml:space="preserve"> Gamification of backcasting for sustainability: The development of the gameful backcasting framework (GAMEBACK) — https://doi.org/10.1016/j.jclepro.2021.126609</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Considering how wicked problems, such as overconsumption, climate change, or the management of the COVID-19 pandemic rely on multiple stakeholder groups’ deliberation, this study investigates gamification’s potential in participatory backcasting processes to support the emergence and growth of social innovations towards sustainability. Gameful methodologies have progressively been introduced into strategic planning processes, futures research, and transition studies, offering a powerful input to participatory backcasting processes. As gamification is a novel and impactful way to motivate and engage participants to take action during and after the participatory process, this study develops a framework for practitioners to gamify backcasting processes. Developed through state-of-the-art review of extant corpus as well as two cases of gamified participatory backcasting, the framework elucidates how participatory backcasting processes that include gamification elements designed to address engagement do have an impact on the participants, particularly in terms of the process being a positive, co-creative experience, and offer a good foundation for posterior actions.</w:t>
      </w:r>
    </w:p>
    <w:p>
      <w:pPr/>
      <w:r>
        <w:rPr>
          <w:b/>
        </w:rPr>
        <w:t>POSSIBLE 2021:</w:t>
      </w:r>
      <w:r>
        <w:t xml:space="preserve"> Future export markets of industrial wood construction – A qualitative backcasting study — https://doi.org/10.1016/j.forpol.2021.102480</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The forest sector can play a major role in the transformation to a sustainable bioeconomy, driven by climate change, population growth, and accelerated urbanization. However, in most contexts, the industrial wood construction markets, as a promising field for sustainable bioeconomy, are still at a niche level. The analysis in this study concerns the preferred future export markets for industrial wood construction for the Finnish wood construction industry, as viewed by a panel of industrial, policy and academic experts.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 Thirty-five experts formed a panel which produced five visions of the development of industrial wood construction sector exports from Finland, covering the period 2020–2030. All the visions foresaw that the domestic market needs to develop first, to build up the competencies needed to fuel the growth in the exports. Asia, particularly China with its rapidly growing markets, and Europe, with its growing sustainability awareness, commonly appeared as the most promising areas for export growth. The resulting visions differed in terms</w:t>
      </w:r>
    </w:p>
    <w:p>
      <w:pPr/>
      <w:r>
        <w:rPr>
          <w:b/>
        </w:rPr>
        <w:t>POSSIBLE 2021:</w:t>
      </w:r>
      <w:r>
        <w:t xml:space="preserve"> Participatory policy design in system innovation — https://doi.org/10.1080/25741292.2021.1887592</w:t>
      </w:r>
    </w:p>
    <w:p>
      <w:pPr/>
      <w:r>
        <w:rPr>
          <w:b/>
        </w:rPr>
        <w:t>Shared claim-specific concepts:</w:t>
      </w:r>
      <w:r>
        <w:t xml:space="preserve"> developed, participatory; EU scope not established. This is a provisional connection, not an outcome finding.</w:t>
      </w:r>
    </w:p>
    <w:p>
      <w:pPr>
        <w:pStyle w:val="SourceNote"/>
      </w:pPr>
      <w:r>
        <w:rPr>
          <w:b/>
        </w:rPr>
        <w:t>Available abstract (not full text):</w:t>
      </w:r>
      <w:r>
        <w:t xml:space="preserve"> Governments are affected by an unprecedented technological acceleration that is transforming societies. Most technologies unfold in complex and unpredictable ways. Unfolding technologies have been both a source of societal and environmental challenges as well as a possible response to address them. This complexity challenges the ability of policy makers to recognize the systemic dimension of innovation and to learn from stakeholders engagement. For these reasons, sustainable transitions have progressively become a policy discourse on how to guide innovation trajectories. In this paper, we argue that a system innovation approach has great potential for governments to improve their policy design for sustainable transitions. This participatory approach requires a more systemic understanding of technological change and a better organization of stakeholder engagement than most traditional practices (e.g. an evidence-driven, technocratic or an idealistic, consensus approach) can offer. How can a participatory policy design tool with a strong emphasis on sustainable transitions be developed? In this paper, we applied a reflexive understanding of knowledge creation in stakeholder networks to develop such a tool in accordance with a system innovation approach.</w:t>
      </w:r>
    </w:p>
    <w:p>
      <w:pPr/>
      <w:r>
        <w:rPr>
          <w:b/>
        </w:rPr>
        <w:t>POSSIBLE 2020:</w:t>
      </w:r>
      <w:r>
        <w:t xml:space="preserve"> Combining participatory games and backcasting to support collective scenario evaluation: an action research approach for sustainable agroforestry landscape management — https://doi.org/10.1007/s11625-020-00829-3</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The combined and interacting effects of land-use change, resource extraction and climate change threaten the sustainability of millions of mainly smallholder farms in tropical agroforested landscapes. In many of these landscapes, coordinated action among stakeholders at landscape level would help to address challenges such as pests and diseases, price crises and climate change. However, methods to facilitate the co-production of sustainable landscape management in such complex multi-stakeholder systems are currently largely lacking. In this paper, we present a novel approach to explore pathways for the sustainability transition of agroforestry systems. By combining participatory forecasting and backcasting approaches, based on serious games and future vision development, we explore relevant agroforestry management strategies for reaching sustainable future coffee-based agroforestry landscapes. We focused our research on the challenges faced in the main coffee-producing area in Nicaragua. Here, we organized five participatory game sessions to explore farmer decision-making processes, farming strategies and to develop new networks and stimulate social learning among farmers. In the associated backcasting workshop, the most influential game session participants joined technicians, researchers and municipality officials to collectively envision sustainable future landscape</w:t>
      </w:r>
    </w:p>
    <w:p>
      <w:pPr>
        <w:pStyle w:val="Heading2"/>
      </w:pPr>
      <w:r>
        <w:t>851.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2026:</w:t>
      </w:r>
      <w:r>
        <w:t xml:space="preserve"> Monitoring the Screens: Current Challenges of Minority Language Media in the Context of the Council of Europe — https://doi.org/10.1163/15718115-bja10260</w:t>
      </w:r>
    </w:p>
    <w:p>
      <w:pPr/>
      <w:r>
        <w:rPr>
          <w:b/>
        </w:rPr>
        <w:t>Shared claim-specific concepts:</w:t>
      </w:r>
      <w:r>
        <w:t xml:space="preserve"> specifically, looks, recent, particularly, context; EU scope visible. This is a provisional connection, not an outcome finding.</w:t>
      </w:r>
    </w:p>
    <w:p>
      <w:pPr>
        <w:pStyle w:val="SourceNote"/>
      </w:pPr>
      <w:r>
        <w:rPr>
          <w:b/>
        </w:rPr>
        <w:t>Available abstract (not full text):</w:t>
      </w:r>
      <w:r>
        <w:t xml:space="preserve"> Abstract The rapidly changing media landscape affects all areas of society, but minoritized groups and media in minority languages can be particularly precarious. Therefore, after a short outlook on the relevant regulation and case-law in the context of the UN, the Council of Europe, the OSCE and the EU, this paper unpacks media trends and challenges minority language media faces in a post-Covid-19 era, then looks at how international monitoring handles the most recent challenges. Specifically, monitoring materials under the Framework Convention for the Protection of National Minorities and the European Charter for Regional or Minority Languages from the past five years are analysed with the aim to ascertain to what extent the Advisory Committee and the Committee of Experts are prepared to interpret media provisions in a way that satisfies the needs of changing times. Finally, the paper outlines precisely where Council of Europe monitoring could be strengthened.</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recent, regions;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Sensor Networks, Data Processing, and Inference: The Hydrology Challenge — https://doi.org/10.1109/access.2023.3318739</w:t>
      </w:r>
    </w:p>
    <w:p>
      <w:pPr/>
      <w:r>
        <w:rPr>
          <w:b/>
        </w:rPr>
        <w:t>Shared claim-specific concepts:</w:t>
      </w:r>
      <w:r>
        <w:t xml:space="preserve"> specifically, concepts; EU scope visible. This is a provisional connection, not an outcome finding.</w:t>
      </w:r>
    </w:p>
    <w:p>
      <w:pPr>
        <w:pStyle w:val="SourceNote"/>
      </w:pPr>
      <w:r>
        <w:rPr>
          <w:b/>
        </w:rPr>
        <w:t>Available abstract (not full text):</w:t>
      </w:r>
      <w:r>
        <w:t xml:space="preserve"> In the last years, many European countries have experienced the effects of climate change, in the form of a scarcity of drinking water resources, prolonged periods of drought, and extremely heavy rainfall, with unprecedented dramatic environmental, economic, and social costs. Therefore, understanding, modeling, and predicting the movement and distribution of water on Earth, and effectively managing water resources are problems of paramount importance. In this article, we discuss the fundamental role that sensing technologies, data processing algorithms, and inference based on machine learning techniques can have in modern hydrology and the many challenges that still need to be addressed to improve the accuracy and reduce the complexity of current hydrology models. More specifically, we overview the main solutions proposed in the literature to monitor, analyze and predict hydrological processes, and present a selection of results obtained from empirical data sets to ground the main concepts and substantiate the dissertation. Finally, we conclude our article by discussing open problems and possible avenues for future research.</w:t>
      </w:r>
    </w:p>
    <w:p>
      <w:pPr/>
      <w:r>
        <w:rPr>
          <w:b/>
        </w:rPr>
        <w:t>POSSIBLE 2023:</w:t>
      </w:r>
      <w:r>
        <w:t xml:space="preserve"> An analytic strategy for data processing of multimode networks — https://doi.org/10.1007/s11634-023-00556-4</w:t>
      </w:r>
    </w:p>
    <w:p>
      <w:pPr/>
      <w:r>
        <w:rPr>
          <w:b/>
        </w:rPr>
        <w:t>Shared claim-specific concepts:</w:t>
      </w:r>
      <w:r>
        <w:t xml:space="preserve"> network, actors, mobility, context, concepts; EU scope visible. This is a provisional connection, not an outcome finding.</w:t>
      </w:r>
    </w:p>
    <w:p>
      <w:pPr>
        <w:pStyle w:val="SourceNote"/>
      </w:pPr>
      <w:r>
        <w:rPr>
          <w:b/>
        </w:rPr>
        <w:t>Available abstract (not full text):</w:t>
      </w:r>
      <w:r>
        <w:t xml:space="preserve"> Abstract Complex network data structures are considered to capture the richness of social phenomena and real-life data settings. Multipartite networks are an example in which various scenarios are represented by different types of relations, actors, or modes. Within this context, the present contribution aims at discussing an analytic strategy for simplifying multipartite networks in which different sets of nodes are linked. By considering the connection of multimode networks and hypergraphs as theoretical concepts, a three-step procedure is introduced to simplify, normalize, and filter network data structures. Thus, a model-based approach is introduced for derived bipartite weighted networks in order to extract statistically significant links. The usefulness of the strategy is demonstrated in handling two application fields, that is, intranational student mobility in higher education and research collaboration in European framework programs. Finally, both examples are explored using community detection algorithms to determine the presence of groups by mixing up different modes.</w:t>
      </w:r>
    </w:p>
    <w:p>
      <w:pPr/>
      <w:r>
        <w:rPr>
          <w:b/>
        </w:rPr>
        <w:t>POSSIBLE 2022:</w:t>
      </w:r>
      <w:r>
        <w:t xml:space="preserve"> Recent trends in publications of economic historians in Europe and North America (1980–2019): an empirical analysis — https://doi.org/10.1007/s11698-022-00245-w</w:t>
      </w:r>
    </w:p>
    <w:p>
      <w:pPr/>
      <w:r>
        <w:rPr>
          <w:b/>
        </w:rPr>
        <w:t>Shared claim-specific concepts:</w:t>
      </w:r>
      <w:r>
        <w:t xml:space="preserve"> recent, network; EU scope visible. This is a provisional connection, not an outcome finding.</w:t>
      </w:r>
    </w:p>
    <w:p>
      <w:pPr>
        <w:pStyle w:val="SourceNote"/>
      </w:pPr>
      <w:r>
        <w:rPr>
          <w:b/>
        </w:rPr>
        <w:t>Available abstract (not full text):</w:t>
      </w:r>
      <w:r>
        <w:t xml:space="preserve"> Abstract This article analyses the integration of economic history into economics using a unique dataset containing 11,143 articles written by 919 economic historians and published between 1980 and 2019 in leading journals; we also analyzed the authors’ biographical information. Using a probit regression, we find that since 1980, economic historians have increased their likelihood of publishing in Economics or Finance Journals (EFJs) by 12 points. This integration is more marked in North America than in Europe because North American economic historians are more likely to be trained in the discipline of economics. In contrast, a significant share of scholars in Europe are trained in the discipline of economic history. Network visualizations confirm these regional differences: citations to EFJs are much more central in North American scholars’ work. Our findings support Robert Margo’s claim that economic history is currently integrated into economics more often in publications in North America than in Europe.</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looks, one, concepts;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Mediatization Of Electoral Processes In Europe — https://doi.org/10.15405/epsbs.2021.05.02.150</w:t>
      </w:r>
    </w:p>
    <w:p>
      <w:pPr/>
      <w:r>
        <w:rPr>
          <w:b/>
        </w:rPr>
        <w:t>Shared claim-specific concepts:</w:t>
      </w:r>
      <w:r>
        <w:t xml:space="preserve"> network, ideas, one; EU scope visible. This is a provisional connection, not an outcome finding.</w:t>
      </w:r>
    </w:p>
    <w:p>
      <w:pPr>
        <w:pStyle w:val="SourceNote"/>
      </w:pPr>
      <w:r>
        <w:rPr>
          <w:b/>
        </w:rPr>
        <w:t>Available abstract (not full text):</w:t>
      </w:r>
      <w:r>
        <w:t xml:space="preserve"> The material considers political manipulation in social networks, which is one of the important political aspects of communication in election campaigns. The aim of the study is to identify the features of the use of political manipulation technologies in European social networks based on an analysis of the presidential elections in France. The material demonstrates the different uses of social networks (Facebook, Twitter, Telegram and others) in the presidential election campaigns in France in 2012 and 2017 with an emphasis on the younger generation, due to the greatest susceptibility to hidden management, because they are more impulsive and do not have distinct life landmarks. Social networks and platforms are considered as a tool for changing and complementing traditional media. Political programs are considered as a start to the stream of comments on the social network Twitter on television; joining a TV audience to a social network for a detailed analysis of the biography of politicians; considered television as a mediator of ideas in this case. The material also provides an example of an analysis of the digitalization risks of the election campaign in France during the presidential election, the use of specially created computer games, as well as bots during election campaigns. The material in some cases compares the use of social networks in France and Russia, a forecast</w:t>
      </w:r>
    </w:p>
    <w:p>
      <w:pPr/>
      <w:r>
        <w:rPr>
          <w:b/>
        </w:rPr>
        <w:t>POSSIBLE 2021:</w:t>
      </w:r>
      <w:r>
        <w:t xml:space="preserve"> AI Hubs: Europe and CANZUK — https://doi.org/10.51593/20200061</w:t>
      </w:r>
    </w:p>
    <w:p>
      <w:pPr/>
      <w:r>
        <w:rPr>
          <w:b/>
        </w:rPr>
        <w:t>Shared claim-specific concepts:</w:t>
      </w:r>
      <w:r>
        <w:t xml:space="preserve"> looks, regions; EU scope visible. This is a provisional connection, not an outcome finding.</w:t>
      </w:r>
    </w:p>
    <w:p>
      <w:pPr>
        <w:pStyle w:val="SourceNote"/>
      </w:pPr>
      <w:r>
        <w:rPr>
          <w:b/>
        </w:rPr>
        <w:t>Available abstract (not full text):</w:t>
      </w:r>
      <w:r>
        <w:t xml:space="preserve"> U.S. policymakers need to understand the landscape of artificial intelligence talent and investment as AI becomes increasingly important to national and economic security. This knowledge is critical as leaders develop new alliances and work to curb China’s growing influence. As an initial effort, an earlier CSET report, “AI Hubs in the United States,” examined the domestic AI ecosystem by mapping where U.S. AI talent is produced, where it is concentrated, and where AI private equity funding goes. Given the global nature of the AI ecosystem and the importance of international talent flows, this paper looks for the centers of AI talent and investment in regions and countries that are key U.S. partners: Europe and the CANZUK countries (Canada, Australia, New Zealand, and the United Kingdom).</w:t>
      </w:r>
    </w:p>
    <w:p>
      <w:pPr/>
      <w:r>
        <w:rPr>
          <w:b/>
        </w:rPr>
        <w:t>POSSIBLE 2020:</w:t>
      </w:r>
      <w:r>
        <w:t xml:space="preserve"> Recent Evolutions of Gender, State Feminism and Care Models in Latin America and Europe — https://doi.org/10.1007/978-3-030-48442-2_12</w:t>
      </w:r>
    </w:p>
    <w:p>
      <w:pPr/>
      <w:r>
        <w:rPr>
          <w:b/>
        </w:rPr>
        <w:t>Shared claim-specific concepts:</w:t>
      </w:r>
      <w:r>
        <w:t xml:space="preserve"> recent, process, one; EU scope visible. This is a provisional connection, not an outcome finding.</w:t>
      </w:r>
    </w:p>
    <w:p>
      <w:pPr>
        <w:pStyle w:val="SourceNote"/>
      </w:pPr>
      <w:r>
        <w:rPr>
          <w:b/>
        </w:rPr>
        <w:t>Available abstract (not full text):</w:t>
      </w:r>
      <w:r>
        <w:t xml:space="preserve"> Abstract This chapter presents and characterises the way in which, in the twenty-first century, after years of feminist struggles inside and outside of institutions, gender relations are organised in the different countries of the INCASI project (on the European side, Spain, Italy, Finland, France and the United Kingdom, on the side of the South American Southern Cone, Argentina, Brazil, Chile and Uruguay). It pays special attention to the implementation of feminist issues on political agendas, and in particular the assignment of women to unpaid care work—an aspect of the power continuum that we look to relate to other aspects. Gradually and for almost a century all countries in both continents have granted women the status of subjects, citizens and employees. However, the conditions, challenges and timelines of this process differ considerably from one continent to another, so they need to be addressed separately. The neoliberal era did not have the same impact in Europe as it did in South America (nor was it exactly the same between particular European countries or among South American ones).</w:t>
      </w:r>
    </w:p>
    <w:p>
      <w:pPr>
        <w:pStyle w:val="Heading2"/>
      </w:pPr>
      <w:r>
        <w:t>852.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2023:</w:t>
      </w:r>
      <w:r>
        <w:t xml:space="preserve"> European expert recommendations on clinical investigation and evaluation of high‐risk medical devices for children — https://doi.org/10.1111/apa.16919</w:t>
      </w:r>
    </w:p>
    <w:p>
      <w:pPr/>
      <w:r>
        <w:rPr>
          <w:b/>
        </w:rPr>
        <w:t>Shared claim-specific concepts:</w:t>
      </w:r>
      <w:r>
        <w:t xml:space="preserve"> evaluation, review, evaluating; EU scope visible. This is a provisional connection, not an outcome finding.</w:t>
      </w:r>
    </w:p>
    <w:p>
      <w:pPr>
        <w:pStyle w:val="SourceNote"/>
      </w:pPr>
      <w:r>
        <w:rPr>
          <w:b/>
        </w:rPr>
        <w:t>Available abstract (not full text):</w:t>
      </w:r>
      <w:r>
        <w:t xml:space="preserve"> Several high-risk medical devices for children have become unavailable in the European Union (EU), since requirements and costs for device certification increased markedly due to the EU Medical Device Regulation. The EU-funded CORE-MD project held a workshop in January 2023 with experts from various child health specialties, representatives of European paediatric associations, a regulatory authority and the European Commission Directorate General Health and Food Safety. A virtual follow-up meeting took place in March 2023. We developed recommendations for investigation of high-risk medical devices for children building on participants' expertise and results of a scoping review of clinical trials on high-risk medical devices in children. Approaches for evaluating and certifying high-risk medical devices for market introduction are proposed.</w:t>
      </w:r>
    </w:p>
    <w:p>
      <w:pPr/>
      <w:r>
        <w:rPr>
          <w:b/>
        </w:rPr>
        <w:t>POSSIBLE 2022:</w:t>
      </w:r>
      <w:r>
        <w:t xml:space="preserve"> A critical perspective on the European Commission’s publications ‘Evaluating the impact of nature-based solutions’ — https://doi.org/10.1016/j.nbsj.2022.100027</w:t>
      </w:r>
    </w:p>
    <w:p>
      <w:pPr/>
      <w:r>
        <w:rPr>
          <w:b/>
        </w:rPr>
        <w:t>Shared claim-specific concepts:</w:t>
      </w:r>
      <w:r>
        <w:t xml:space="preserve"> view, evaluation, review, evaluating, relevance, field; EU scope visible. This is a provisional connection, not an outcome finding.</w:t>
      </w:r>
    </w:p>
    <w:p>
      <w:pPr>
        <w:pStyle w:val="SourceNote"/>
      </w:pPr>
      <w:r>
        <w:rPr>
          <w:b/>
        </w:rPr>
        <w:t>Available abstract (not full text):</w:t>
      </w:r>
      <w:r>
        <w:t xml:space="preserve"> The European Commission’s (EC) double publication ‘Evaluating the impact of nature-based solutions’ (NBS) can be considered as a milestone for the adoption and evaluation of these solutions, which reportedly have a significant potential for climate change mitigation or the improvement of social justice. This optimistic view, however, is not equally held by everyone: a widespread scepticism over the NBS concept makes clear that the debate about the potential and convenience of NBS is far from over. Here we review some of this criticism and put this EC double document (handbook + appendix) under deep scrutiny, with the aim of proposing improvements for it and as an opportunity to discuss general aspects of the NBS field. In particular, we base our criticism on four perspectives: climate emergency, economy-driven ideology, ecolinguistics and the presence of logic pitfalls. The general aim of this article is to discuss the relevance of the NBS concepts present in the EC texts in relation to the climate crisis.</w:t>
      </w:r>
    </w:p>
    <w:p>
      <w:pPr/>
      <w:r>
        <w:rPr>
          <w:b/>
        </w:rPr>
        <w:t>POSSIBLE 2022:</w:t>
      </w:r>
      <w:r>
        <w:t xml:space="preserve"> The expected impact of cultivated and plant-based meats on jobs: the views of experts from Brazil, the United States and Europe — https://doi.org/10.1057/s41599-022-01316-z</w:t>
      </w:r>
    </w:p>
    <w:p>
      <w:pPr/>
      <w:r>
        <w:rPr>
          <w:b/>
        </w:rPr>
        <w:t>Shared claim-specific concepts:</w:t>
      </w:r>
      <w:r>
        <w:t xml:space="preserve"> view, expected, about; EU scope visible. This is a provisional connection, not an outcome finding.</w:t>
      </w:r>
    </w:p>
    <w:p>
      <w:pPr>
        <w:pStyle w:val="SourceNote"/>
      </w:pPr>
      <w:r>
        <w:rPr>
          <w:b/>
        </w:rPr>
        <w:t>Available abstract (not full text):</w:t>
      </w:r>
      <w:r>
        <w:t xml:space="preserve"> Abstract Cultivated and plant-based meats are substitutes for conventional animal meat products. As radical innovations, they may trigger profound social and economic changes. Despite the many benefits of alternative meats, such as environmental sustainability, animal welfare, human health and food safety, some unintended consequences remain unexplored in the literature. In this paper, we studied the potential impact of the meat production system transition on jobs. Using a survey, we compared opinions regarding the impact on jobs in Brazil, the United States and Europe, according to alternative protein experts. Our results showed the potential of plant-based and cultivated meat production to create new and higher-skilled jobs. The data analysis also suggested that the impact of novel food production systems on jobs in conventional meat production may be different for each stage of the value chain. In particular, the results showed a pressure point on animal farmers, who may be most affected in a fast transition scenario. Considering the studied geographical contexts, Brazilian professionals were more optimistic about the potential of plant-based and cultivated meat production to create new jobs. Our findings may provide new insights for the development of policies, measures and strategies that promote job creation, skills and income in view of the ongoing transition.</w:t>
      </w:r>
    </w:p>
    <w:p>
      <w:pPr/>
      <w:r>
        <w:rPr>
          <w:b/>
        </w:rPr>
        <w:t>POSSIBLE 2021:</w:t>
      </w:r>
      <w:r>
        <w:t xml:space="preserve"> Evaluating the systematic risk and its impact on profitability and liquidity; evidence from European countries — https://doi.org/10.1504/ijesb.2021.117342</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r>
        <w:rPr>
          <w:b/>
        </w:rPr>
        <w:t>POSSIBLE 2021:</w:t>
      </w:r>
      <w:r>
        <w:t xml:space="preserve"> Evaluating the systematic risk and its impact on profitability and liquidity; evidence from European countries — https://doi.org/10.1504/ijesb.2021.10040605</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r>
        <w:rPr>
          <w:b/>
        </w:rPr>
        <w:t>POSSIBLE 2020:</w:t>
      </w:r>
      <w:r>
        <w:t xml:space="preserve"> Impact of sex and gender on COVID-19 outcomes in Europe — https://doi.org/10.1186/s13293-020-00304-9</w:t>
      </w:r>
    </w:p>
    <w:p>
      <w:pPr/>
      <w:r>
        <w:rPr>
          <w:b/>
        </w:rPr>
        <w:t>Shared claim-specific concepts:</w:t>
      </w:r>
      <w:r>
        <w:t xml:space="preserve"> well, review; EU scope visible. This is a provisional connection, not an outcome finding.</w:t>
      </w:r>
    </w:p>
    <w:p>
      <w:pPr>
        <w:pStyle w:val="SourceNote"/>
      </w:pPr>
      <w:r>
        <w:rPr>
          <w:b/>
        </w:rPr>
        <w:t>Available abstract (not full text):</w:t>
      </w:r>
      <w:r>
        <w:t xml:space="preserve"> BACKGROUND: Emerging evidence from China suggests that coronavirus disease 2019 (COVID-19) is deadlier for infected men than women with a 2.8% fatality rate being reported in Chinese men versus 1.7% in women. Further, sex-disaggregated data for COVID-19 in several European countries show a similar number of cases between the sexes, but more severe outcomes in aged men. Case fatality is highest in men with pre-existing cardiovascular conditions. The mechanisms accounting for the reduced case fatality rate in women are currently unclear but may offer potential to develop novel risk stratification tools and therapeutic options for women and men. CONTENT: The present review summarizes latest clinical and epidemiological evidence for gender and sex differences in COVID-19 from Europe and China. We discuss potential sex-specific mechanisms modulating the course of disease, such as hormone-regulated expression of genes encoding for the severe acute respiratory syndrome coronavirus 2 (SARS-CoV2) entry receptors angiotensin converting enzyme (ACE) 2 receptor and TMPRSS2 as well as sex hormone-driven innate and adaptive immune responses and immunoaging. Finally, we elucidate the impact of gender-specific lifestyle, health behavior, psychological stress, and socioeconomic conditions on COVID-19 and discuss sex specific aspects of antiviral therapies. CONCLUSION: The sex and gender dispari</w:t>
      </w:r>
    </w:p>
    <w:p>
      <w:pPr/>
      <w:r>
        <w:rPr>
          <w:b/>
        </w:rPr>
        <w:t>POSSIBLE 2020:</w:t>
      </w:r>
      <w:r>
        <w:t xml:space="preserve"> Evaluating the impact of viewing location on view perception using a virtual environment — https://doi.org/10.1016/j.buildenv.2020.106932</w:t>
      </w:r>
    </w:p>
    <w:p>
      <w:pPr/>
      <w:r>
        <w:rPr>
          <w:b/>
        </w:rPr>
        <w:t>Shared claim-specific concepts:</w:t>
      </w:r>
      <w:r>
        <w:t xml:space="preserve"> view, evaluating; EU scope not established. This is a provisional connection, not an outcome finding.</w:t>
      </w:r>
    </w:p>
    <w:p>
      <w:pPr>
        <w:pStyle w:val="SourceNote"/>
      </w:pPr>
      <w:r>
        <w:rPr>
          <w:b/>
        </w:rPr>
        <w:t>Available abstract (not full text):</w:t>
      </w:r>
      <w:r>
        <w:t xml:space="preserve"> Window views are an important design feature in buildings. Views can impact the cognitive attention, psychological and physiological well-being of building occupants due to their ability to provide recovery in stressful working environments. The impact of viewing position on view perception as a result of the visual parallax effect resulted from occupants seeing a window from different relative positions in any given room has not been comprehensively investigated. In this study, view perception was evaluated using a physically-based 360° virtual environment at three different viewing locations: close, middle, and far. The three conditions were presented to thirty-two participants. The study employed a comprehensive method by collecting subjective and physiological evaluations. A stress-recovery methodology to assess restorativeness effects was used by presenting a window view observing period after a stressful task was performed. Subjective assessments included questions on view restorative ability, view content and size preferences, view valance/arousal, and positive and negative affects. Physiological measures included skin conductance, heart rate, and heart rate variability. Results showed significant differences in subjective parameters and measures of skin conductance. Decreased view quality was reported as participants observed the view from the further viewing locations </w:t>
      </w:r>
    </w:p>
    <w:p>
      <w:pPr/>
      <w:r>
        <w:rPr>
          <w:b/>
        </w:rPr>
        <w:t>POSSIBLE 2020:</w:t>
      </w:r>
      <w:r>
        <w:t xml:space="preserve"> The PROFOUND Database for evaluating vegetation models and simulating climate impacts on European forests — https://doi.org/10.5194/essd-12-1295-2020</w:t>
      </w:r>
    </w:p>
    <w:p>
      <w:pPr/>
      <w:r>
        <w:rPr>
          <w:b/>
        </w:rPr>
        <w:t>Shared claim-specific concepts:</w:t>
      </w:r>
      <w:r>
        <w:t xml:space="preserve"> evaluation, well, evaluating; EU scope visible. This is a provisional connection, not an outcome finding.</w:t>
      </w:r>
    </w:p>
    <w:p>
      <w:pPr>
        <w:pStyle w:val="SourceNote"/>
      </w:pPr>
      <w:r>
        <w:rPr>
          <w:b/>
        </w:rPr>
        <w:t>Available abstract (not full text):</w:t>
      </w:r>
      <w:r>
        <w:t xml:space="preserve"> Process-based vegetation models are widely used to predict local and global ecosystem dynamics and climate change impacts. Due to their complexity, they require careful parameterization and evaluation to ensure that projections are accurate and reliable. The PROFOUND Database (PROFOUND DB) provides a wide range of empirical data on European forests to calibrate and evaluate vegetation models that simulate climate impacts at the forest stand scale. A particular advantage of this database is its wide coverage of multiple data sources at different hierarchical and temporal scales, together with environmental driving data as well as the latest climate scenarios. Specifically, the PROFOUND DB provides general site descriptions, soil, climate, CO 2 , nitrogen deposition, tree and forest stand level, and remote sensing data for nine contrasting forest stands distributed across Europe. Moreover, for a subset of five sites, time series of carbon fluxes, atmospheric heat conduction and soil water are also available. The climate and nitrogen deposition data contain several datasets for the historic period and a wide range of future climate change scenarios following the Representative Concentration Pathways (RCP2.6, RCP4.5, RCP6.0, RCP8.5). We also provide pre-industrial climate simulations that allow for model runs aimed at disentangling the contribution of climate change to observed for</w:t>
      </w:r>
    </w:p>
    <w:p>
      <w:pPr/>
      <w:r>
        <w:rPr>
          <w:b/>
        </w:rPr>
        <w:t>POSSIBLE 2019:</w:t>
      </w:r>
      <w:r>
        <w:t xml:space="preserve"> Evaluating Academic Legal Research in Europe — https://doi.org/10.4337/9781788115506</w:t>
      </w:r>
    </w:p>
    <w:p>
      <w:pPr/>
      <w:r>
        <w:rPr>
          <w:b/>
        </w:rPr>
        <w:t>Shared claim-specific concepts:</w:t>
      </w:r>
      <w:r>
        <w:t xml:space="preserve"> evaluation, review, evaluating, action; EU scope visible. This is a provisional connection, not an outcome finding.</w:t>
      </w:r>
    </w:p>
    <w:p>
      <w:pPr>
        <w:pStyle w:val="SourceNote"/>
      </w:pPr>
      <w:r>
        <w:rPr>
          <w:b/>
        </w:rPr>
        <w:t>Available abstract (not full text):</w:t>
      </w:r>
      <w:r>
        <w:t xml:space="preserve"> Where rankings, journal impact factors, citation scores and time-consuming peer review processes are increasingly viewed as a nightmare in the natural and social sciences, law still seems to be an oasis of peace and tranquility in certain countries. Nevertheless, this book reveals that law is a discipline in transition, moving from a national towards a transnational focus, from managerial laissez faire towards research programming and output financing, from monodisciplinarity to multidisciplinarity, from implicit quality standards toward more explicit attention for theory-building and methodological accountability. Experts from all over Europe in this volume show how these developments already have a serious impact on the way in which academic legal research is being evaluated throughout Europe. We argue that law has the advantage of lagging behind. Legal scholars can learn from the mistakes in other disciplines. We still have time to develop our own quality indicators, methodological standards and evaluation methods, but action is required.</w:t>
      </w:r>
    </w:p>
    <w:p>
      <w:pPr/>
      <w:r>
        <w:rPr>
          <w:b/>
        </w:rPr>
        <w:t>POSSIBLE 2019:</w:t>
      </w:r>
      <w:r>
        <w:t xml:space="preserve"> Impact of the Electric Mobility Implementation on the Greenhouse Gases Production in Central European Countries — https://doi.org/10.3390/su11184948</w:t>
      </w:r>
    </w:p>
    <w:p>
      <w:pPr/>
      <w:r>
        <w:rPr>
          <w:b/>
        </w:rPr>
        <w:t>Shared claim-specific concepts:</w:t>
      </w:r>
      <w:r>
        <w:t xml:space="preserve"> view, expected; EU scope visible. This is a provisional connection, not an outcome finding.</w:t>
      </w:r>
    </w:p>
    <w:p>
      <w:pPr>
        <w:pStyle w:val="SourceNote"/>
      </w:pPr>
      <w:r>
        <w:rPr>
          <w:b/>
        </w:rPr>
        <w:t>Available abstract (not full text):</w:t>
      </w:r>
      <w:r>
        <w:t xml:space="preserve"> The preference and the development of electromobility are included among the priorities of transport policies in many European countries. This article deals with the issue of electric vehicle operation from the point of view of the environmental impact of electric power production, specifically the energy effectiveness of its production by utilizing primary power production sources. Differences in the effectiveness of the conversion of mixed forms of energy into electricity and their share in the process directly affect the final level of greenhouse gases (GHG) production, and thus the ecological footprint of electric vehicle operations. The specification of energy consumption and GHG production is based on the principles of the EN 16 258: 2012 standard, which considers legislative-regulated power plant effectiveness values, statistical values of GHG emissions from electricity production, and real energy consumption values of an electric vehicle fleet. The calculation takes into account the share of primary sources and the efficiency of electricity production and effectiveness of electricity distribution in each of the evaluated countries. The specific research study is performed by comparing measured parameters for individual countries chosen from the Central Europe region. The results of the study show that the quantification of the positive environmental consequences of incr</w:t>
      </w:r>
    </w:p>
    <w:p>
      <w:pPr>
        <w:pStyle w:val="Heading2"/>
      </w:pPr>
      <w:r>
        <w:t>853.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Democracy and Media in Europe — https://doi.org/10.4324/9781003485438</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https://www.taylorfrancis.com, has been made available under a Creative Commons Attribution-Non Commercial-No Derivatives (CC-BY-NC-ND) 4.0 lic</w:t>
      </w:r>
    </w:p>
    <w:p>
      <w:pPr/>
      <w:r>
        <w:rPr>
          <w:b/>
        </w:rPr>
        <w:t>POSSIBLE 2024:</w:t>
      </w:r>
      <w:r>
        <w:t xml:space="preserve"> Democracy and Media in Europe — https://openalex.org/W7137605746</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http://www.taylorfrancis.com, has been made available under a Creative Commons Attribution-Non Commercial-No Derivatives (CC-BY-NC-ND) 4.0 lice</w:t>
      </w:r>
    </w:p>
    <w:p>
      <w:pPr/>
      <w:r>
        <w:rPr>
          <w:b/>
        </w:rPr>
        <w:t>POSSIBLE 2023:</w:t>
      </w:r>
      <w:r>
        <w:t xml:space="preserve"> THE PROBLEM OF THE “DEFICIT OF DEMOCRACY” AS A THREAT TO THE VALUES OF THE EUROPEAN UNION — https://doi.org/10.32782/2524-0374/2023-4/158</w:t>
      </w:r>
    </w:p>
    <w:p>
      <w:pPr/>
      <w:r>
        <w:rPr>
          <w:b/>
        </w:rPr>
        <w:t>Shared claim-specific concepts:</w:t>
      </w:r>
      <w:r>
        <w:t xml:space="preserve"> article, democracy; EU scope visible. This is a provisional connection, not an outcome finding.</w:t>
      </w:r>
    </w:p>
    <w:p>
      <w:pPr>
        <w:pStyle w:val="SourceNote"/>
      </w:pPr>
      <w:r>
        <w:rPr>
          <w:b/>
        </w:rPr>
        <w:t>Available abstract (not full text):</w:t>
      </w:r>
      <w:r>
        <w:t xml:space="preserve"> Асірян С.Р., к.ю.н., асистент кафедри права Європейського Союзу Національний юридичний університет імені Ярослава Мудрого Бухова Д.М., студентка ІІІ курсу факультету прокуратури Національний юридичний університет імені Ярослава Мудрого Кречик А.С., студент ІІІ курсу факультету прокуратури Національний юридичний університет імені Ярослава Мудрого Статтю присвячено аналізу проблеми "дефіциту демократії" в Європейському Союзі.Розглянуто основні положення Договору про ЄС щодо демократичних принципів, зокрема дотримання принципу рівності громадян, принцип представницької демократії, вимоги до демократичності діяльності установ Союзу.Проаналізовано історію виникнення терміну "дефіцит демократії" та підходи до його визначення.Виділено основні причини існування даної проблеми в Європейському Союзі, такі як: нерівномірний розподіл влади, складні процеси прийняття рішень, менші повноваження Парламенту ЄС у сфері законотворчості порівняно з Європейською Комісією, брак прозорості, зростання абсентеїзму, технократичне управління та інші.Приділено увагу Лісабонському договору, що набрав чинності у 2009 році, положення якого внесли зміни в інституційні механізми з метою мінімізації проблеми демократичного дефіциту в Європейському Союзі: збільшення повноважень Європейського Парламенту, посилення ролі національних парламентів, підвищення прозорості процесів прийняття рішень та формування механі</w:t>
      </w:r>
    </w:p>
    <w:p>
      <w:pPr/>
      <w:r>
        <w:rPr>
          <w:b/>
        </w:rPr>
        <w:t>POSSIBLE 2022:</w:t>
      </w:r>
      <w:r>
        <w:t xml:space="preserve"> Democracy in Central Eastern Europe and European Union — https://doi.org/10.26417/202nch96</w:t>
      </w:r>
    </w:p>
    <w:p>
      <w:pPr/>
      <w:r>
        <w:rPr>
          <w:b/>
        </w:rPr>
        <w:t>Shared claim-specific concepts:</w:t>
      </w:r>
      <w:r>
        <w:t xml:space="preserve"> democracy, develop; EU scope visible. This is a provisional connection, not an outcome finding.</w:t>
      </w:r>
    </w:p>
    <w:p>
      <w:pPr>
        <w:pStyle w:val="SourceNote"/>
      </w:pPr>
      <w:r>
        <w:rPr>
          <w:b/>
        </w:rPr>
        <w:t>Available abstract (not full text):</w:t>
      </w:r>
      <w:r>
        <w:t xml:space="preserve"> Some of the countries in the region have contributed through assistance programs to develop and align their democracies with what the EU itself lobbies. EU aid to CEE is seen as a phenomenon of EU-perceived responsibility in the interaction of new democracies in Central and Eastern Europe. This paper will create a genuine study of the perceived responsibility for the development of democracies in these countries. It paints a clear picture of the development of democracy and the need for CEE countries to be under EU assistance. The assistance coming from this institution has given and continues to contribute to developing a democracy with strong executive foundations for society and beneficial to the region. In this way, the EU manages to achieve its objectives of achieving a federal union. When we say federal union we mean a Europe with the same democratic values and executive standards.In this paper the EU's responsibility for the new democracies of Central and Eastern Europe is seen in activities with EU programs to enhance institutions above democratic values. Having access to the issues facing the democracies of Central and Eastern Europe, the Council Acquis provides an overview in the field of democracy. The paper gives us the opportunity to look more closely at democratic forces in countries where the latter is still developing, aiming not only at the analysis of democrac</w:t>
      </w:r>
    </w:p>
    <w:p>
      <w:pPr/>
      <w:r>
        <w:rPr>
          <w:b/>
        </w:rPr>
        <w:t>POSSIBLE 2022:</w:t>
      </w:r>
      <w:r>
        <w:t xml:space="preserve"> DOES PANDEMIC DECLINED OR MAINTAINED DEMOCRACY? — https://doi.org/10.15642/sarpass.2022.1.2.125-148</w:t>
      </w:r>
    </w:p>
    <w:p>
      <w:pPr/>
      <w:r>
        <w:rPr>
          <w:b/>
        </w:rPr>
        <w:t>Shared claim-specific concepts:</w:t>
      </w:r>
      <w:r>
        <w:t xml:space="preserve"> article, maintaining, democracy, directions; EU scope not established. This is a provisional connection, not an outcome finding.</w:t>
      </w:r>
    </w:p>
    <w:p>
      <w:pPr>
        <w:pStyle w:val="SourceNote"/>
      </w:pPr>
      <w:r>
        <w:rPr>
          <w:b/>
        </w:rPr>
        <w:t>Available abstract (not full text):</w:t>
      </w:r>
      <w:r>
        <w:t xml:space="preserve"> This paper investigates two sides effects of COVID-19 pandemic on democracy in Indonesia. Majority articles on democracy and pandemic argue that COVID-19 pandemic has declined democracy in many countries, including Indonesia. This article, on the one hand agrees with the dominant argument, but on the other hand argues that the COVID-19 pandemic also contributed to maintain democracy. This paper bases democracy on Beetham's notion whose defined democracy as popular control over public affairs with the principles of equality and participation. In order to examine relationship between democracy and pandemic, we use three issues as case studies: the Minerba Bill, the Omnibus Law and data transparency issues. This paper uses qualitative methods and data obtained by literature study regarding civil society’s participation and control in public affairs during the last a year. Two main findings of this paper show that the pandemic has accelerated democratic decline trough two directions, they are from above and from below. Decline from above due to restrictions of freedom of speech and civil participation in public affairs. At the same time, decline from below occurred due to people cleavage in public health issues. In addition, disinformation spread by buzzer which redistributed by other people has been made this situation worse. Otherwise, pandemic also maintained democracy through s</w:t>
      </w:r>
    </w:p>
    <w:p>
      <w:pPr/>
      <w:r>
        <w:rPr>
          <w:b/>
        </w:rPr>
        <w:t>POSSIBLE 2022:</w:t>
      </w:r>
      <w:r>
        <w:t xml:space="preserve"> Threat or corrective to democracy? The relationship between populism and different models of democracy — https://doi.org/10.1111/1475-6765.12564</w:t>
      </w:r>
    </w:p>
    <w:p>
      <w:pPr/>
      <w:r>
        <w:rPr>
          <w:b/>
        </w:rPr>
        <w:t>Shared claim-specific concepts:</w:t>
      </w:r>
      <w:r>
        <w:t xml:space="preserve"> article, democracy, different; EU scope visible. This is a provisional connection, not an outcome finding.</w:t>
      </w:r>
    </w:p>
    <w:p>
      <w:pPr>
        <w:pStyle w:val="SourceNote"/>
      </w:pPr>
      <w:r>
        <w:rPr>
          <w:b/>
        </w:rPr>
        <w:t>Available abstract (not full text):</w:t>
      </w:r>
      <w:r>
        <w:t xml:space="preserve"> Abstract The phenomenon of populism and its relationship with modern democracy has gained considerable attention in recent years. This article aims at advancing our understanding of how populism affects different models of democracy and tests the proposed arguments empirically. Building on a large scholarly literature on populism and democracy, we take stock of existing arguments and theorize which democratic models may be affected by populism in a positive or negative way. Moreover, we move beyond the normative debate and analyse the effect of populism in power on different models of democracy empirically. We do so by merging data on populist governments in Europe and Latin America from 1995 until today with the Varieties of Democracy dataset, which enables us to capture the relationship between populism and different democratic models in these regions. Despite mixed‐theoretical expectations, our results suggest a rather negative impact of populism on the electoral, liberal and deliberative models of democracy.</w:t>
      </w:r>
    </w:p>
    <w:p>
      <w:pPr>
        <w:pStyle w:val="Heading2"/>
      </w:pPr>
      <w:r>
        <w:t>854.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2022:</w:t>
      </w:r>
      <w:r>
        <w:t xml:space="preserve"> Ellenberg‐type indicator values for European vascular plant species — https://doi.org/10.1111/jvs.13168</w:t>
      </w:r>
    </w:p>
    <w:p>
      <w:pPr/>
      <w:r>
        <w:rPr>
          <w:b/>
        </w:rPr>
        <w:t>Shared claim-specific concepts:</w:t>
      </w:r>
      <w:r>
        <w:t xml:space="preserve"> create, set, indicator, based;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The indicator-based measurement of the circular economy in the countries of the European Union — https://doi.org/10.17649/tet.36.2.3374</w:t>
      </w:r>
    </w:p>
    <w:p>
      <w:pPr/>
      <w:r>
        <w:rPr>
          <w:b/>
        </w:rPr>
        <w:t>Shared claim-specific concepts:</w:t>
      </w:r>
      <w:r>
        <w:t xml:space="preserve"> create, set, indicators, areas, high, based; EU scope visible. This is a provisional connection, not an outcome finding.</w:t>
      </w:r>
    </w:p>
    <w:p>
      <w:pPr>
        <w:pStyle w:val="SourceNote"/>
      </w:pPr>
      <w:r>
        <w:rPr>
          <w:b/>
        </w:rPr>
        <w:t>Available abstract (not full text):</w:t>
      </w:r>
      <w:r>
        <w:t xml:space="preserve"> The circular economy is an integral part of sustainable development as a new economic model, which is the opposite of the linear economy that is still in force today. In terms of its basics, we can speak of a sustainable economic system in which economic growth is completely decoupled from the use of resources, in order to reduce the use of natural resources and recycle them. In the study, the authors present the possibility of measuring the circular economy and establish a ranking for the 28 Member States of the European Union based on the created composite indicators measuring the circular economy. The values of the created CCEI index were compared with rankings produced by other researchers in similar and different ways. The goodness of the presented methodology is examined by comparing previous similar research results. The primary objective of the study is to create composite indicators and to analyse their comparability. Further aim is to characterise the leading and the tail-ender countries from which conclusions can be drawn regarding ranking and thus make them comparable. The research objective is achieved by using secondary data based on different Eurostat databases related to a sub-sector of the circular economy for the year 2018. The indicators of the circular economy were grouped according to four areas: production and consumption, waste management secondary raw ma</w:t>
      </w:r>
    </w:p>
    <w:p>
      <w:pPr/>
      <w:r>
        <w:rPr>
          <w:b/>
        </w:rPr>
        <w:t>POSSIBLE 2022:</w:t>
      </w:r>
      <w:r>
        <w:t xml:space="preserve"> The 2018–2020 Multi‐Year Drought Sets a New Benchmark in Europe — https://doi.org/10.1029/2021ef002394</w:t>
      </w:r>
    </w:p>
    <w:p>
      <w:pPr/>
      <w:r>
        <w:rPr>
          <w:b/>
        </w:rPr>
        <w:t>Shared claim-specific concepts:</w:t>
      </w:r>
      <w:r>
        <w:t xml:space="preserve"> warming, socioeconomic, based;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A comprehensive indicator set for measuring the sustainable energy performance in the European Union — https://doi.org/10.1201/9781003259954-2</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Clean energy transition is the key for sustainable energy. In spite of the positive tendencies, the Covid-19 has also raised many issues and highlighted the importance of the topic. The Sustainable Development Goal 7 and 13 may serve as a basis to achieve affordable and clean energy and to combat global climate change. Meeting these objectives needs well-designed energy and environmental policy with a strong holistic approach. This study aims to build a comprehensive indicator set for measuring the sustainable energy performance of the European Union Member States. To determine the indicator set we follow rigorous steps, the methodology of which is described in detail. Finally, we present the list of eight selected indicators, from which a composite indicator can be built. Additionally, the overall structure of the dataset is analyzed through correlation analysis, stationarity and normality tests. Standardization is carried out to make the variables comparable with different units. Respecting the main dimensions of the theory of sustainable development, we also determine the weighting factors and we put them up for discussion.</w:t>
      </w:r>
    </w:p>
    <w:p>
      <w:pPr/>
      <w:r>
        <w:rPr>
          <w:b/>
        </w:rPr>
        <w:t>POSSIBLE 2022:</w:t>
      </w:r>
      <w:r>
        <w:t xml:space="preserve"> Digitalisation as the Indicator of the Evidence of Sustainability in the European Union — https://doi.org/10.3390/su14148371</w:t>
      </w:r>
    </w:p>
    <w:p>
      <w:pPr/>
      <w:r>
        <w:rPr>
          <w:b/>
        </w:rPr>
        <w:t>Shared claim-specific concepts:</w:t>
      </w:r>
      <w:r>
        <w:t xml:space="preserve"> create, indicators, indicator, fixed; EU scope visible. This is a provisional connection, not an outcome finding.</w:t>
      </w:r>
    </w:p>
    <w:p>
      <w:pPr>
        <w:pStyle w:val="SourceNote"/>
      </w:pPr>
      <w:r>
        <w:rPr>
          <w:b/>
        </w:rPr>
        <w:t>Available abstract (not full text):</w:t>
      </w:r>
      <w:r>
        <w:t xml:space="preserve"> Digitalisation provides access to an integrated network of information that can benefit society and businesses. However, the evidence of sustainability in business is less researched. In our paper, by building up the research approach, we address the relevant gap by investigating how sustainable development goals represent the interrelationship between digitalisation and sustainability. Such research is particularly important because understandings of digitalisation and sustainability determine how different actors, including business managers and policymakers, act in response to those imperatives to develop future employees skills starting from school age. Following a multi-method approach, we have combined our analysis into two steps examining the relationship between digitalisation and sustainability. Building digital networks, business managers and policy makers using digital means can create some unique opportunities to strategically address sustainable development challenges for the United Nations Targets (SDG) to ensure higher productivity, education, and an equality-oriented society. This point of view describes the potential of digitalisation for society and businesses of the future. The authors revise the links between digitalisation and sustainability in the European Union countries by using data available in Eurostat and UNECE public databases. The two-stage methodo</w:t>
      </w:r>
    </w:p>
    <w:p>
      <w:pPr/>
      <w:r>
        <w:rPr>
          <w:b/>
        </w:rPr>
        <w:t>POSSIBLE 2022:</w:t>
      </w:r>
      <w:r>
        <w:t xml:space="preserve"> High Mountain Areas — https://doi.org/10.1017/9781009157964.004</w:t>
      </w:r>
    </w:p>
    <w:p>
      <w:pPr/>
      <w:r>
        <w:rPr>
          <w:b/>
        </w:rPr>
        <w:t>Shared claim-specific concepts:</w:t>
      </w:r>
      <w:r>
        <w:t xml:space="preserve"> areas, high, low; EU scope visible. This is a provisional connection, not an outcome finding.</w:t>
      </w:r>
    </w:p>
    <w:p>
      <w:pPr>
        <w:pStyle w:val="SourceNote"/>
      </w:pPr>
      <w:r>
        <w:rPr>
          <w:b/>
        </w:rPr>
        <w:t>Available abstract (not full text):</w:t>
      </w:r>
      <w:r>
        <w:t xml:space="preserve"> The cryosphere (including, snow, glaciers, permafrost, lake and river ice) is an integral element of high mountain regions, which are home to roughly 10% of the global population.Widespread cryosphere changes affect physical, biological and human systems in the mountains and surrounding lowlands, with impacts evident even in the ocean.Building on the IPCC's 5th Assessment Report (AR5), this chapter assesses new evidence on observed recent and projected changes in the mountain cryosphere as well as associated impacts, risks and adaptation measures related to natural and human systems.Impacts in response to climate changes independently of changes in the cryosphere are not assessed in this chapter.Polar mountains are included in Chapter 3, except those in Alaska and adjacent Yukon, Iceland and Scandinavia, which are included in this chapter. Observations of cryospheric changes, impacts, and adaptation in high mountain areasObservations show general decline in low-elevation snow cover (high confidence 1 ), glaciers (very high confidence) and permafrost (high confidence) due to climate change in recent decades.Snow cover duration has declined in nearly all regions, especially at lower elevations, on average by 5 days per decade, with a likely 2 range from 0-10 days per decade.Low elevation snow depth and extent have declined, although year-to-year variation is high.Mass change of g</w:t>
      </w:r>
    </w:p>
    <w:p>
      <w:pPr/>
      <w:r>
        <w:rPr>
          <w:b/>
        </w:rPr>
        <w:t>POSSIBLE 2022:</w:t>
      </w:r>
      <w:r>
        <w:t xml:space="preserve"> Using high-resolution global climate models from the PRIMAVERA project to create a European winter windstorm event set — https://doi.org/10.5194/nhess-22-3585-2022</w:t>
      </w:r>
    </w:p>
    <w:p>
      <w:pPr/>
      <w:r>
        <w:rPr>
          <w:b/>
        </w:rPr>
        <w:t>Shared claim-specific concepts:</w:t>
      </w:r>
      <w:r>
        <w:t xml:space="preserve"> create, set, estimated; EU scope visible. This is a provisional connection, not an outcome finding.</w:t>
      </w:r>
    </w:p>
    <w:p>
      <w:pPr>
        <w:pStyle w:val="SourceNote"/>
      </w:pPr>
      <w:r>
        <w:rPr>
          <w:b/>
        </w:rPr>
        <w:t>Available abstract (not full text):</w:t>
      </w:r>
      <w:r>
        <w:t xml:space="preserve"> Abstract. PRIMAVERA was a European Union Horizon 2020 project whose primary aim was to generate advanced and well-evaluated high-resolution global climate model datasets, for the beneﬁt of governments, business and society in general. Following consultation with members of the insurance industry, we have used a PRIMAVERA multi-model ensemble to generate a European winter windstorm event set for use in insurance risk analysis, containing approximately 1300 years of windstorm data. To create the storm footprints for the event set, the storms in the PRIMAVERA models are identified through tracking. A method is developed to separate the winds from storms occurring in the domain at the same time. The wind footprints are bias corrected and converted to 3-s gusts onto a uniform grid using quantile mapping. The distribution of the number of model storms per season as a function of estimated loss is consistent with re-analysis, as are the total losses per season, and the additional event set data greatly reduces uncertainty on return period magnitudes. The event set also reproduces the temporally clustered nature of European windstorms. Since the event set is generated from global climate models, it can help to quantify the non-linear relationship between large-scale climate indices such as the North Atlantic Oscillation (NAO) and windstorm damage. Although we find only a moderate posit</w:t>
      </w:r>
    </w:p>
    <w:p>
      <w:pPr/>
      <w:r>
        <w:rPr>
          <w:b/>
        </w:rPr>
        <w:t>POSSIBLE 2021:</w:t>
      </w:r>
      <w:r>
        <w:t xml:space="preserve"> The impact of sustainable tourism indicators on destination competitiveness: the European Tourism Indicator System — https://doi.org/10.1080/09669582.2021.1910281</w:t>
      </w:r>
    </w:p>
    <w:p>
      <w:pPr/>
      <w:r>
        <w:rPr>
          <w:b/>
        </w:rPr>
        <w:t>Shared claim-specific concepts:</w:t>
      </w:r>
      <w:r>
        <w:t xml:space="preserve"> indicators, indicator, based; EU scope visible. This is a provisional connection, not an outcome finding.</w:t>
      </w:r>
    </w:p>
    <w:p>
      <w:pPr>
        <w:pStyle w:val="SourceNote"/>
      </w:pPr>
      <w:r>
        <w:rPr>
          <w:b/>
        </w:rPr>
        <w:t>Available abstract (not full text):</w:t>
      </w:r>
      <w:r>
        <w:t xml:space="preserve"> We aimed to evaluate the impact of sustainable tourism indicators on destination competitiveness with reference to the European Tourism Indicator System (ETIS), a scheme funded by the European Commission to address the evidence gap in tourism policy making. To do this, we evaluate the absorptive capacity of destination management organisations (DMOs) to implement and use sustainable tourism indicators to make policy decisions. We provide evidence of how DMOs have acquired knowledge about the importance of sustainable tourism indicators through ETIS, and how they have assimilated it by developing their own systems based on the principles of ETIS. However, we find that the European Commission had unrealistic expectations that DMOs, or their policies, would be transformed as a result of the use of indicators, or that indicators would be exploited to improve tourism sustainability and competitiveness. We contribute to the study of policy science by showing how absorptive capacity can be used to analyse and evaluate policy interventions, despite being a linear rational approach to explaining a complex policy context.</w:t>
      </w:r>
    </w:p>
    <w:p>
      <w:pPr>
        <w:pStyle w:val="Heading2"/>
      </w:pPr>
      <w:r>
        <w:t>855.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2024:</w:t>
      </w:r>
      <w:r>
        <w:t xml:space="preserve"> Foresight: Fifty Years to Think Your Futures — https://doi.org/10.1007/978-3-031-66100-6_4</w:t>
      </w:r>
    </w:p>
    <w:p>
      <w:pPr/>
      <w:r>
        <w:rPr>
          <w:b/>
        </w:rPr>
        <w:t>Shared claim-specific concepts:</w:t>
      </w:r>
      <w:r>
        <w:t xml:space="preserve"> foresight, explore, possible, used;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The “Safe and Sustainable by Design” Concept – A Regulatory Approach for a More Sustainable Circular Economy in the European Union? — https://doi.org/10.1017/err.2024.29</w:t>
      </w:r>
    </w:p>
    <w:p>
      <w:pPr/>
      <w:r>
        <w:rPr>
          <w:b/>
        </w:rPr>
        <w:t>Shared claim-specific concepts:</w:t>
      </w:r>
      <w:r>
        <w:t xml:space="preserve"> sustainable, economy, explore; EU scope visible. This is a provisional connection, not an outcome finding.</w:t>
      </w:r>
    </w:p>
    <w:p>
      <w:pPr>
        <w:pStyle w:val="SourceNote"/>
      </w:pPr>
      <w:r>
        <w:rPr>
          <w:b/>
        </w:rPr>
        <w:t>Available abstract (not full text):</w:t>
      </w:r>
      <w:r>
        <w:t xml:space="preserve"> Abstract The creation of a more sustainable economy is one of the main targets of the European Green Deal and the new Circular Economy Action Plan. Technological innovation is needed, among other things, to render materials, products, and production processes more sustainable. Given the goals of the European Green Deal, the regulatory concept of “Safe and Sustainable by Design” is increasingly receiving attention. The concept is (arguably) a precautionary and preventative measure that is implemented at the early stages of the design of a technology. Therefore, it is often described as a tool for lowering the risks that follow from efforts to create a more circular economy. The concept was included in the European Chemicals Strategy of the European Commission. The aim of the strategy is to accelerate progress towards the discovery of more sustainable chemicals and towards a toxicity-free environment. In this paper, we will explore the benefits and disadvantages of integrating the “Safe and Sustainable by Design” concept into the regulation of technology. As a form of regulation by technology, this concept can enhance sustainability. We will first describe the origins of the concept and its current use. Then, we will analyse its implications for the circular economy.</w:t>
      </w:r>
    </w:p>
    <w:p>
      <w:pPr/>
      <w:r>
        <w:rPr>
          <w:b/>
        </w:rPr>
        <w:t>POSSIBLE 2023:</w:t>
      </w:r>
      <w:r>
        <w:t xml:space="preserve"> Supporting decision making with strategic foresight — https://doi.org/10.1787/1d78c791-en</w:t>
      </w:r>
    </w:p>
    <w:p>
      <w:pPr/>
      <w:r>
        <w:rPr>
          <w:b/>
        </w:rPr>
        <w:t>Shared claim-specific concepts:</w:t>
      </w:r>
      <w:r>
        <w:t xml:space="preserve"> purpose, foresight, help, best, each; EU scope not established. This is a provisional connection, not an outcome finding.</w:t>
      </w:r>
    </w:p>
    <w:p>
      <w:pPr>
        <w:pStyle w:val="SourceNote"/>
      </w:pPr>
      <w:r>
        <w:rPr>
          <w:b/>
        </w:rPr>
        <w:t>Available abstract (not full text):</w:t>
      </w:r>
      <w:r>
        <w:t xml:space="preserve"> This working paper discusses strategic foresight initiatives and methodologies that support decision making and process design. It highlights case studies, international benchmarks, and best practices, as well as methodological recommendations and options for promoting the adoption and use of strategic foresight in government. The paper has four sections, each centred on a critical action to improve decision making through strategic foresight: (i) framing strategic foresight, (ii) building its fundamental components in governments, (iii) fine-tuning foresight interventions to specific contexts, and (iv) undertaking concrete activities to solve specific policy challenges. Given its exploratory nature, this working paper and its proposals should be seen as contributing to ongoing debates about the use of strategic foresight for decision making in government. The ultimate purpose of this paper is to help governments become more proactive and prospective.</w:t>
      </w:r>
    </w:p>
    <w:p>
      <w:pPr/>
      <w:r>
        <w:rPr>
          <w:b/>
        </w:rPr>
        <w:t>POSSIBLE 2021:</w:t>
      </w:r>
      <w:r>
        <w:t xml:space="preserve"> Deep aspirations: towards a sustainable offshore Blue Economy — https://doi.org/10.1007/s11160-020-09628-6</w:t>
      </w:r>
    </w:p>
    <w:p>
      <w:pPr/>
      <w:r>
        <w:rPr>
          <w:b/>
        </w:rPr>
        <w:t>Shared claim-specific concepts:</w:t>
      </w:r>
      <w:r>
        <w:t xml:space="preserve"> sustainable, economy, possible, identify; EU scope not established. This is a provisional connection, not an outcome finding.</w:t>
      </w:r>
    </w:p>
    <w:p>
      <w:pPr>
        <w:pStyle w:val="SourceNote"/>
      </w:pPr>
      <w:r>
        <w:rPr>
          <w:b/>
        </w:rPr>
        <w:t>Available abstract (not full text):</w:t>
      </w:r>
      <w:r>
        <w:t xml:space="preserve"> Abstract: The ocean economy is experiencing rapid growth that will provide benefits but will also pose environmental and social risks. With limited space and degraded resources in coastal areas, offshore waters will be a particular focus of Blue Economy expansion over the next decade. When emerging and established economic sectors expand in offshore waters (within national Exclusive Economic Zones), different potential Blue Economy opportunities and challenges will arise. Following a series of interdisciplinary workshops, we imagine two technically possible futures for the offshore Blue Economy and we identify the actions required to achieve the more sustainable outcome. Under a business as usual scenario the focus will remain on economic growth, the commodification of nature, the dominance of private over public and cultural interests, and prioritisation of the interests of current over future generations. A more sustainable scenario would meet multiple UN Sustainable Development Goals and ensure inclusive economic developments, environmental sustainability, and fair and equitable access to resources and technologies across users, nations, and generations. Challenges to this more sustainable future are a lack of infrastructure and technology to support emerging offshore sectors, limited understanding of environmental impacts, inequitable outcomes, and a lack of planning and go</w:t>
      </w:r>
    </w:p>
    <w:p>
      <w:pPr/>
      <w:r>
        <w:rPr>
          <w:b/>
        </w:rPr>
        <w:t>POSSIBLE 2020:</w:t>
      </w:r>
      <w:r>
        <w:t xml:space="preserve"> Foresight – Using Science and Evidence to Anticipate and Shape the Future — https://doi.org/10.1016/b978-0-12-822596-7.00012-7</w:t>
      </w:r>
    </w:p>
    <w:p>
      <w:pPr/>
      <w:r>
        <w:rPr>
          <w:b/>
        </w:rPr>
        <w:t>Shared claim-specific concepts:</w:t>
      </w:r>
      <w:r>
        <w:t xml:space="preserve"> foresight, possible, help, identify; EU scope not established. This is a provisional connection, not an outcome finding.</w:t>
      </w:r>
    </w:p>
    <w:p>
      <w:pPr>
        <w:pStyle w:val="SourceNote"/>
      </w:pPr>
      <w:r>
        <w:rPr>
          <w:b/>
        </w:rPr>
        <w:t>Available abstract (not full text):</w:t>
      </w:r>
      <w:r>
        <w:t xml:space="preserve"> The role of public policy is to create a desirable future. However, policymaking often suffers from presentism bias, i.e. it focusses on today’s issues and ignores future challenges and opportunities. While the future is uncertain and cannot be predicted, foresight offers a well-established toolbox to help deal with it, in all its uncertainty and complexity. Foresight is a systematic participatory process to create collective intelligence about the medium- to long-term future and provide strategic knowledge for policy making. This chapter presents relevant foresight tools for policymaking: horizon scanning to identify emerging issues, megatrends to understand implications of long-term developments, scenario building to deal with uncertainty and develop a systemic understanding of complex issues, speculative design to illustrate possible future applications, and serious games to experience consequences of possible futures.</w:t>
      </w:r>
    </w:p>
    <w:p>
      <w:pPr/>
      <w:r>
        <w:rPr>
          <w:b/>
        </w:rPr>
        <w:t>POSSIBLE 2020:</w:t>
      </w:r>
      <w:r>
        <w:t xml:space="preserve"> EVIDENCE- AND FORESIGHT-BASED POLICY: DICHOTOMY OR OVERLAP? — https://doi.org/10.46473/wcsaj27240606/18-09-2020-0014//full/html</w:t>
      </w:r>
    </w:p>
    <w:p>
      <w:pPr/>
      <w:r>
        <w:rPr>
          <w:b/>
        </w:rPr>
        <w:t>Shared claim-specific concepts:</w:t>
      </w:r>
      <w:r>
        <w:t xml:space="preserve"> foresight, economy, identify, best; EU scope not established. This is a provisional connection, not an outcome finding.</w:t>
      </w:r>
    </w:p>
    <w:p>
      <w:pPr>
        <w:pStyle w:val="SourceNote"/>
      </w:pPr>
      <w:r>
        <w:rPr>
          <w:b/>
        </w:rPr>
        <w:t>Available abstract (not full text):</w:t>
      </w:r>
      <w:r>
        <w:t xml:space="preserve"> Economic research determines economic policy, which determines economic politics" could be a summary of the basic philosophy of the World Complexity Science Academy (WCSA) applied to the field of economics.Such an evidence-based policy is lively in academic circles but still absent in the political world.However, there is more: looking back in order to extrapolate and forecast tendencies for the future, as the evidence-based policy does, needs to be complemented by forward-looking attempting to identify megatrends based on change drivers that should be translated into concrete policy action today.Therefore, to narrow the gap between economy, policy and politics, foresight thinking on top of evidence-based policy could be the best option for more accurate policy and law-making.Black boxes should be avoided in the evidence-based approach as it makes policy unexplainable to the citizens and politicians unaccountable.Black swans could be integrated into the foresight-based advice in an attempt to foresee the unforeseeable and think the unthinkable.</w:t>
      </w:r>
    </w:p>
    <w:p>
      <w:pPr/>
      <w:r>
        <w:rPr>
          <w:b/>
        </w:rPr>
        <w:t>POSSIBLE 2020:</w:t>
      </w:r>
      <w:r>
        <w:t xml:space="preserve"> European environment policy for the circular economy: Implications for business and industry stakeholders — https://doi.org/10.1002/sd.2113</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Abstract European Union (EU) institutions and agencies are increasingly raising awareness on the circular economy agenda. They are encouraging marketplace stakeholders to engage in sustainable production and consumption behaviors by reducing, reusing, restoring, refurbishing, and recycling resources in all stages of their value chain. Therefore, this research evaluates the latest European environmental policies including its “new circular economy plans for a cleaner and more competitive Europe.” Afterwards, it presents a systematic literature review that is focused on the circular economy in the EU context. The findings suggest that there are a number of opportunities as well as challenges for the successful planning, organization, implementation, and measurement of circular economy practices for sustainable supply chains in Europe. This contribution identifies key implications and provides reasonable recommendations to policy makers and industry practitioners.</w:t>
      </w:r>
    </w:p>
    <w:p>
      <w:pPr/>
      <w:r>
        <w:rPr>
          <w:b/>
        </w:rPr>
        <w:t>POSSIBLE 2020:</w:t>
      </w:r>
      <w:r>
        <w:t xml:space="preserve"> Effects of Circular Economy Policies on the Environment and Sustainable Growth: Worldwide Research — https://doi.org/10.3390/su12145792</w:t>
      </w:r>
    </w:p>
    <w:p>
      <w:pPr/>
      <w:r>
        <w:rPr>
          <w:b/>
        </w:rPr>
        <w:t>Shared claim-specific concepts:</w:t>
      </w:r>
      <w:r>
        <w:t xml:space="preserve"> purpose, sustainable, economy, possible; EU scope not established. This is a provisional connection, not an outcome finding.</w:t>
      </w:r>
    </w:p>
    <w:p>
      <w:pPr>
        <w:pStyle w:val="SourceNote"/>
      </w:pPr>
      <w:r>
        <w:rPr>
          <w:b/>
        </w:rPr>
        <w:t>Available abstract (not full text):</w:t>
      </w:r>
      <w:r>
        <w:t xml:space="preserve"> The challenge of transitioning from a linear to a circular economy model is still ongoing and requires the development and application of new knowledge, leading to innovative, technological, and sustainable processes, products, and services. The evolution of global research on this topic from 2004 to 2019 was studied in this work. For this purpose, a bibliometric analysis of 1366 articles was applied, producing results on the scientific productivity of the driving agents that most contribute to this theme. The findings show a growing interest, especially in the last four years, in the study of circular economy (CE) policies on the environment. The main subject area that articles address is environmental science. Five research lines have been identified, which mainly study the efficient management of energy resources and the economic factors that make the CE model possible: Environmental pollution and agricultural activity; waste management to avoid a negative environmental impact; improvement of the environmental impact through ecological products; the product life cycle, and the consequences of climate change. The implementation of CE policies will contribute to making economies less dependent and unprotected and more competitive. Global research has exhibited an upward trend during the period analyzed and has grown exponentially since 2015, coinciding with the publication of </w:t>
      </w:r>
    </w:p>
    <w:p>
      <w:pPr/>
      <w:r>
        <w:rPr>
          <w:b/>
        </w:rPr>
        <w:t>POSSIBLE 2020:</w:t>
      </w:r>
      <w:r>
        <w:t xml:space="preserve"> JRC in Euratom Research and Training Programme − 2014–2020 — https://doi.org/10.1051/epjn/2019036</w:t>
      </w:r>
    </w:p>
    <w:p>
      <w:pPr/>
      <w:r>
        <w:rPr>
          <w:b/>
        </w:rPr>
        <w:t>Shared claim-specific concepts:</w:t>
      </w:r>
      <w:r>
        <w:t xml:space="preserve"> jrc, explore, way; EU scope visible. This is a provisional connection, not an outcome finding.</w:t>
      </w:r>
    </w:p>
    <w:p>
      <w:pPr>
        <w:pStyle w:val="SourceNote"/>
      </w:pPr>
      <w:r>
        <w:rPr>
          <w:b/>
        </w:rPr>
        <w:t>Available abstract (not full text):</w:t>
      </w:r>
      <w:r>
        <w:t xml:space="preserve"> The Euratom Research and Training Programme 2014–2018 and its extension 2019–2020 (the Euratom Programme) is implemented through direct actions in fission − i.e. research performed by the Commission's Joint Research Centre (JRC), and through indirect actions in fission– i.e. via competitive calls for proposals, and in fusion − i.e. through a comprehensive named-beneficiary co-fund action managed by the Commission's Directorate-General for Research &amp; Innovation (RTD). The general objective of the Programme is “to pursue nuclear research and training activities with an emphasis on the continuous improvement of nuclear safety, security and radiation protection, in particular to potentially contribute to the long-term decarbonisation of the energy system in a safe, efficient and secure way.” The Programme is an integral part of Horizon 2020, the EU Framework Programme for Research and Innovation. The direct actions implemented by the JRC constitute an important part of the Euratom Programme and pursue specific objectives covering: nuclear safety, radioactive waste management, decommissioning, emergency preparedness; nuclear security, safeguards and non-proliferation; standardisation; knowledge management; education and training; and support to the policy of the Union on these fields. The JRC multi-annual work programme for nuclear activities fully reflects the aforementioned object</w:t>
      </w:r>
    </w:p>
    <w:p>
      <w:pPr/>
      <w:r>
        <w:rPr>
          <w:b/>
        </w:rPr>
        <w:t>POSSIBLE 2019:</w:t>
      </w:r>
      <w:r>
        <w:t xml:space="preserve"> Forecasting and foresight — https://doi.org/10.17169/refubium-26117</w:t>
      </w:r>
    </w:p>
    <w:p>
      <w:pPr/>
      <w:r>
        <w:rPr>
          <w:b/>
        </w:rPr>
        <w:t>Shared claim-specific concepts:</w:t>
      </w:r>
      <w:r>
        <w:t xml:space="preserve"> foresight, help; EU scope visible. This is a provisional connection, not an outcome finding.</w:t>
      </w:r>
    </w:p>
    <w:p>
      <w:pPr>
        <w:pStyle w:val="SourceNote"/>
      </w:pPr>
      <w:r>
        <w:rPr>
          <w:b/>
        </w:rPr>
        <w:t>Available abstract (not full text):</w:t>
      </w:r>
      <w:r>
        <w:t xml:space="preserve"> In this paper, authors Sarah Bressan, Håvard Mokleiv Nygård, and Dominic Seefeldt present the evolution and state of the art of both quantitative forecasting and scenario-based foresight methods that can be applied to help prevent governance breakdown and violent conflict in Europe’s neighbourhood. In the quantitative section, they describe the different phases of conflict forecasting in political science and outline which methodological gaps EU-LISTCO’s quantitative sub-national prediction tool will address to forecast tipping points for violent conflict and governance breakdown. The qualitative section explains EU-LISTCO’s scenario-based foresight methodology for identifying potential tipping points. After comparing both approaches, the authors discuss opportunities for methodological advancements across the boundaries of quantitative forecasting and scenario-based foresight, as well as how they can inform the design of strategic policy options.</w:t>
      </w:r>
    </w:p>
    <w:p>
      <w:pPr>
        <w:pStyle w:val="Heading2"/>
      </w:pPr>
      <w:r>
        <w:t>856.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2026:</w:t>
      </w:r>
      <w:r>
        <w:t xml:space="preserve"> The Determinants of Greenhouse Gas Emissions (GHE) in European Economies — https://doi.org/10.2478/picbe-2026-0132</w:t>
      </w:r>
    </w:p>
    <w:p>
      <w:pPr/>
      <w:r>
        <w:rPr>
          <w:b/>
        </w:rPr>
        <w:t>Shared claim-specific concepts:</w:t>
      </w:r>
      <w:r>
        <w:t xml:space="preserve"> reduction, greenhouse, gas, used, method, use;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2025:</w:t>
      </w:r>
      <w:r>
        <w:t xml:space="preserve"> A Group Delphi on economic perspectives on climate policy measures. A basis for informing a Citizen Forum — https://doi.org/10.14512/gaia.34.3.11</w:t>
      </w:r>
    </w:p>
    <w:p>
      <w:pPr/>
      <w:r>
        <w:rPr>
          <w:b/>
        </w:rPr>
        <w:t>Shared claim-specific concepts:</w:t>
      </w:r>
      <w:r>
        <w:t xml:space="preserve"> greenhouse, gas, basis, delphi, expert, asked; EU scope visible. This is a provisional connection, not an outcome finding.</w:t>
      </w:r>
    </w:p>
    <w:p>
      <w:pPr>
        <w:pStyle w:val="SourceNote"/>
      </w:pPr>
      <w:r>
        <w:rPr>
          <w:b/>
        </w:rPr>
        <w:t>Available abstract (not full text):</w:t>
      </w:r>
      <w:r>
        <w:t xml:space="preserve"> How do economic and consumer researchers assess the different EU policy options to reach net zero greenhouse gas emissions by 2050? The research team of the EU project REAL-DEAL convened twelve experts to evaluate economic measures to implement the Green Deal objectives. This information was one of the major inputs for a subsequent Citizen Forum in Berlin, Germany.As one component of the EU project, REAL-DEAL, the authors conducted a Group Delphi involving experts from economics and consumer research. Group Delphi processes represent participatory formats aimed at providing a more accurate, fair, and complete representation of expert judgments regarding a specific topic. During the Delphi process in Berlin, twelve experts, representing different schools of economic thought, were asked to assess and evaluate economic instruments and measures to implement the Green Deal objectives with a focus on transport, housing, nutrition, and overarching economic issues related to climate protection. The results of the Delphi revealed a large diversity among the experts, in particular on the issue of state interventions into the economy. However, there was broad consensus on rejecting subsidies that encourage non-sustainable practices, and on recommending effective carbon pricing. The outcome of the Delphi was used as information for a subsequent Citizen Forum with randomly selected citizens</w:t>
      </w:r>
    </w:p>
    <w:p>
      <w:pPr/>
      <w:r>
        <w:rPr>
          <w:b/>
        </w:rPr>
        <w:t>POSSIBLE 2025:</w:t>
      </w:r>
      <w:r>
        <w:t xml:space="preserve"> Freshwater restoration effects on biodiversity and ecosystem services: a Delphi survey — https://doi.org/10.1111/rec.70119</w:t>
      </w:r>
    </w:p>
    <w:p>
      <w:pPr/>
      <w:r>
        <w:rPr>
          <w:b/>
        </w:rPr>
        <w:t>Shared claim-specific concepts:</w:t>
      </w:r>
      <w:r>
        <w:t xml:space="preserve"> delphi, expert, use, methods; EU scope visible. This is a provisional connection, not an outcome finding.</w:t>
      </w:r>
    </w:p>
    <w:p>
      <w:pPr>
        <w:pStyle w:val="SourceNote"/>
      </w:pPr>
      <w:r>
        <w:rPr>
          <w:b/>
        </w:rPr>
        <w:t>Available abstract (not full text):</w:t>
      </w:r>
      <w:r>
        <w:t xml:space="preserve"> Abstract Introduction Freshwater ecosystem restoration is vital for halting biodiversity loss, enhancing resilience, and securing ecosystem services amid climate and land use change. With major initiatives like the United Nations Decade on Ecosystem Restoration and the European Union's Nature Restoration Regulation gaining momentum, identifying multifunctional restoration strategies is increasingly important. Objectives This study examines which restoration measures in rivers, peatlands, and other wetlands deliver consistent benefits for both biodiversity and ecosystem services—key goals under EU restoration policies. Methods A structured Delphi survey was conducted with European experts in ecological restoration and ecosystem services. Restoration measures were compiled from scientific and gray literature, categorized into standardized types, and screened for data gaps. Measures with limited evidence were prioritized for expert evaluation. Experts assessed the expected effects of each measure on biodiversity and 18 ecosystem services through two survey rounds. Results Most restoration measures—especially hydrological and morphological interventions in rivers and vegetation‐based actions in peatlands—were expected to strongly benefit biodiversity. Many also enhanced multiple ecosystem services, with river interventions such as restoring natural flow, channel structure, and habi</w:t>
      </w:r>
    </w:p>
    <w:p>
      <w:pPr/>
      <w:r>
        <w:rPr>
          <w:b/>
        </w:rPr>
        <w:t>POSSIBLE 2025:</w:t>
      </w:r>
      <w:r>
        <w:t xml:space="preserve"> An Eco‐Social Policy Mix for 1.5°C Lifestyles: A Multi‐Country Policy Delphi Analysis — https://doi.org/10.1111/rego.12655</w:t>
      </w:r>
    </w:p>
    <w:p>
      <w:pPr/>
      <w:r>
        <w:rPr>
          <w:b/>
        </w:rPr>
        <w:t>Shared claim-specific concepts:</w:t>
      </w:r>
      <w:r>
        <w:t xml:space="preserve"> reduction, delphi, about, approach; EU scope visible. This is a provisional connection, not an outcome finding.</w:t>
      </w:r>
    </w:p>
    <w:p>
      <w:pPr>
        <w:pStyle w:val="SourceNote"/>
      </w:pPr>
      <w:r>
        <w:rPr>
          <w:b/>
        </w:rPr>
        <w:t>Available abstract (not full text):</w:t>
      </w:r>
      <w:r>
        <w:t xml:space="preserve"> ABSTRACT Bridging the gap between welfare and climate policies is essential for simultaneously pursuing increased well‐being and reduced carbon emissions. This study uses a policy Delphi approach, involving experts and stakeholders from five European countries: Germany, Hungary, Latvia, Spain, and Sweden, to assess the perceived desirability and feasibility of six eco‐social policies for enabling 1.5°C lifestyles. The results show that eco‐social policies are challenged by current growth and work paradigms, which transcend welfare‐regime‐related, ideological, social, and institutional rationales. Of the selected policies, stakeholders found low‐efficiency housing retrofits the most desirable, but income caps the least desirable. Worktime reduction, job guarantees, and income ceilings raise deep concerns over work, motivation, and consumption. However, universal basic services, free public transport, and public renovation raise concerns about service efficiency, innovation incentives, and welfare entitlement. Stakeholders agreed that eco‐social policies are desirable and feasible, but only when combined in a way that balances social and environmental impacts. They believe it might be easier to address challenges in understanding and implementing these policies if they were part of a broader, coordinated approach at a supranational level, rather than isolated, single‐issue polici</w:t>
      </w:r>
    </w:p>
    <w:p>
      <w:pPr/>
      <w:r>
        <w:rPr>
          <w:b/>
        </w:rPr>
        <w:t>POSSIBLE 2025:</w:t>
      </w:r>
      <w:r>
        <w:t xml:space="preserve"> GHGs (greenhouse gases) emission reduction — https://doi.org/10.4337/9781035310371.00073</w:t>
      </w:r>
    </w:p>
    <w:p>
      <w:pPr/>
      <w:r>
        <w:rPr>
          <w:b/>
        </w:rPr>
        <w:t>Shared claim-specific concepts:</w:t>
      </w:r>
      <w:r>
        <w:t xml:space="preserve"> reduction, greenhouse, gas, emission, innovative, approach; EU scope visible. This is a provisional connection, not an outcome finding.</w:t>
      </w:r>
    </w:p>
    <w:p>
      <w:pPr>
        <w:pStyle w:val="SourceNote"/>
      </w:pPr>
      <w:r>
        <w:rPr>
          <w:b/>
        </w:rPr>
        <w:t>Available abstract (not full text):</w:t>
      </w:r>
      <w:r>
        <w:t xml:space="preserve"> The United Nations Framework Convention on Climate Change (UNFCCC) Conference of the Parties (COP) meetings, the European Commission, and initiatives by several countries and organizations have resulted in the adoption of several international agreements aimed at reducing greenhouse gas emissions. These agreements set targets for countries to reduce their emissions and establish mechanisms for reporting and verifying progress. However, achieving meaningful emissions and greenhouse gases reduction requires a multifaceted approach that considers the thorough study of trade, taxes, innovative technologies, industrialization, and economic growth effects and interactions. This includes implementing a combination of policies such as carbon pricing, regulations and subsidies to incentivize emissions reductions, promoting the adoption of clean technologies, fostering innovation and promoting sustainable practices across sectors. Additionally, international cooperation and coordination are essential to address global challenges such as climate change effectively.</w:t>
      </w:r>
    </w:p>
    <w:p>
      <w:pPr/>
      <w:r>
        <w:rPr>
          <w:b/>
        </w:rPr>
        <w:t>POSSIBLE 2025:</w:t>
      </w:r>
      <w:r>
        <w:t xml:space="preserve"> Impact of Agriculture on Greenhouse Gas Emissions—A Review — https://doi.org/10.3390/en18092272</w:t>
      </w:r>
    </w:p>
    <w:p>
      <w:pPr/>
      <w:r>
        <w:rPr>
          <w:b/>
        </w:rPr>
        <w:t>Shared claim-specific concepts:</w:t>
      </w:r>
      <w:r>
        <w:t xml:space="preserve"> greenhouse, gas, emission, used, innovative, use; EU scope visible. This is a provisional connection, not an outcome finding.</w:t>
      </w:r>
    </w:p>
    <w:p>
      <w:pPr>
        <w:pStyle w:val="SourceNote"/>
      </w:pPr>
      <w:r>
        <w:rPr>
          <w:b/>
        </w:rPr>
        <w:t>Available abstract (not full text):</w:t>
      </w:r>
      <w:r>
        <w:t xml:space="preserve"> The restrictions imposed by the European Green Deal on Europe are expected to make Europe climate-neutral by 2050. In this context, this article examines the current efforts to reduce emission levels, focusing on available international scientific papers concerning European territory, particularly Poland. The study paid special attention to the sector of agriculture, which is considered a key contributor to greenhouse gas generation. It also analysed the impact of various tillage techniques and the application of organic and inorganic fertilisers, e.g., nitrogen fertilisers, digestate, or compost, on the emissions of greenhouse gases and other environmentally harmful substances. Although there are few scientific articles available that comprehensively describe the problem of greenhouse gas emissions from agriculture, it is still possible to observe the growing awareness of farmers and their daily impact on the environment. The current study demonstrated that agricultural activities significantly contribute to the emissions of three main greenhouse gases: carbon dioxide, nitrous oxide, and methane. The tillage and soil fertilisation methods used play a crucial role in their emissions into the atmosphere. The use of no-tillage (or reduced-tillage) techniques contributes to the sustainable development of agriculture while reducing greenhouse gas emissions. The machinery and fuels </w:t>
      </w:r>
    </w:p>
    <w:p>
      <w:pPr>
        <w:pStyle w:val="Heading2"/>
      </w:pPr>
      <w:r>
        <w:t>857.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2022:</w:t>
      </w:r>
      <w:r>
        <w:t xml:space="preserve"> Performance evaluation of constructed wetland for removal of pharmaceutical compounds from hospital wastewater: Seasonal perspective — https://doi.org/10.1016/j.arabjc.2022.104344</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Constructed wetland employs vegetation as a natural medium to remove pollutants from wastewater for this treatment. It is eco-friendly, sustainable, economical, low maintenance, low running cost, and easy to use. This has prompted several studies to investigate its performance in treating pollutants from the conventional to emerging contaminants category, including pharmaceutical compounds. However, there is still a lack of work on the impact of monsoons on the removal efficiency of pharmaceutically active compounds from wastewater. This study evaluated constructed wetland performance during the premonsoon, monsoon, and post-monsoon seasons. A pilot-scale constructed wetland setup was established to conduct this study. The target compound included paracetamol, ibuprofen, carbamazepine, lorazepam, ciprofloxacin, sulfamethoxazole, and Fluvastatin. In the constructed wetland, for paracetamol and ibuprofen, NSAIDs concentration was observed to be 1503–6307 ngL −1 and 564–808 ngL −1 . The concentrations of antibiotics, sulfamethoxazole, and ciprofloxacin were 16532–21635 ngL −1 and 734–1178 ngL −1, respectively. The carbamazepine, lorazepam, and Lutvastatin concentration range was 616–906 ngL −1 , 2742–3775 ngL −1 , and 694–2068 ngL −1, respectively. The hazard quotient approach was adopted to evaluate potential environmental risk from target compounds. The increase of paracetamol 3</w:t>
      </w:r>
    </w:p>
    <w:p>
      <w:pPr/>
      <w:r>
        <w:rPr>
          <w:b/>
        </w:rPr>
        <w:t>POSSIBLE 2022:</w:t>
      </w:r>
      <w:r>
        <w:t xml:space="preserve"> Evaluating the potential of MeteoSwiss forecast strategies when constructing weather warnings — https://doi.org/10.5194/ems2022-458</w:t>
      </w:r>
    </w:p>
    <w:p>
      <w:pPr/>
      <w:r>
        <w:rPr>
          <w:b/>
        </w:rPr>
        <w:t>Shared claim-specific concepts:</w:t>
      </w:r>
      <w:r>
        <w:t xml:space="preserve"> several, evaluate, different, mitigate; EU scope not established. This is a provisional connection, not an outcome finding.</w:t>
      </w:r>
    </w:p>
    <w:p>
      <w:pPr>
        <w:pStyle w:val="SourceNote"/>
      </w:pPr>
      <w:r>
        <w:rPr>
          <w:b/>
        </w:rPr>
        <w:t>Available abstract (not full text):</w:t>
      </w:r>
      <w:r>
        <w:t xml:space="preserve"> To mitigate the impacts associated with adverse weather conditions, meteorological services issue weather warnings to the general public. These warning systems rely heavily on forecasts issued by underlying prediction systems. When deciding which prediction system(s) to utilise when constructing warnings, it is important to compare systems in their ability to forecast the occurrence and severity of extreme weather events: if a warning system has access to more accurate forecasts for extreme weather, then it has the potential to generate more useful warnings. However, evaluating forecasts for extreme events is known to be a challenging task. This is exacerbated further by the fact that high-impact weather often manifests as a result of several confounding features, a realisation that has led to considerable recent research on so-called compound weather events. Both univariate and multivariate methods are therefore required to evaluate forecasts for high-impact weather. In this work, we review weighted verification tools, which allow particular outcomes to be emphasised during forecast evaluation, and demonstrate how these can be used to verify forecasts for compound weather events. We compare different approaches to construct weighted scoring rules, and exploit recent developments to apply these scores in a multivariate setting. Additionally, we leverage existing results on weig</w:t>
      </w:r>
    </w:p>
    <w:p>
      <w:pPr/>
      <w:r>
        <w:rPr>
          <w:b/>
        </w:rPr>
        <w:t>POSSIBLE 2022:</w:t>
      </w:r>
      <w:r>
        <w:t xml:space="preserve"> Multi-Criteria Analysis for Evaluating Constructed Wetland as a Sustainable Sanitation Technology, Jordan Case Study — https://doi.org/10.3390/su142214867</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There is a growing demand for integrating an assessment tool to select wastewater treatment alternatives based on sustainability in the Jordanian wastewater sector. The sector in Jordan has a unique and critical situation that has raised concerns among stakeholders, including donors, and international and national organizations, to carefully select a sustainable treatment system for each case. The Jordanian government set a tool to distinguish between treatment systems, and this tool is mainly focused on financial criteria. However, the sector needs to integrate assessment tools with a wider consideration of other sustainability criteria. Usually, stakeholders are not equipped with a clear methodology to perform sustainability assessments. Therefore, this study proposes and develops a Multi-Criteria Analysis (MCA) tool to evaluate wastewater treatment alternatives from a sustainability perspective for a case study in Jordan—Al Azraq town. Firstly, the study explored the decision and organizational context of the wastewater sector through several interviews. Secondly, assessment criteria and indicators were proposed to compare three proposed treatment alternatives. Finally, the Analytical Hierarchy Process (AHP) was applied with composite scores to evaluate wastewater treatment alternatives. Finally, The results of the composite scores indicated that French Constructed Wetland (</w:t>
      </w:r>
    </w:p>
    <w:p>
      <w:pPr/>
      <w:r>
        <w:rPr>
          <w:b/>
        </w:rPr>
        <w:t>POSSIBLE 2021:</w:t>
      </w:r>
      <w:r>
        <w:t xml:space="preserve"> Assessing the Impact of Water Efficiency Policies on Qatar’s Electricity and Water Sectors — https://doi.org/10.3390/en14144348</w:t>
      </w:r>
    </w:p>
    <w:p>
      <w:pPr/>
      <w:r>
        <w:rPr>
          <w:b/>
        </w:rPr>
        <w:t>Shared claim-specific concepts:</w:t>
      </w:r>
      <w:r>
        <w:t xml:space="preserve"> different, water, policies, scarcity; EU scope not established. This is a provisional connection, not an outcome finding.</w:t>
      </w:r>
    </w:p>
    <w:p>
      <w:pPr>
        <w:pStyle w:val="SourceNote"/>
      </w:pPr>
      <w:r>
        <w:rPr>
          <w:b/>
        </w:rPr>
        <w:t>Available abstract (not full text):</w:t>
      </w:r>
      <w:r>
        <w:t xml:space="preserve"> Water and electricity have a unique relationship in the modern world as one requires the other in a complex system of networks to supply the utility to the customers. This energy–water interaction is especially peculiar in the Gulf Cooperation Council, where there are limited water resources, but extremely high use rates. Qatar provides a unique case in terms of extreme water scarcity and excessive water use. To understand the intricate network, this paper establishes an updated and comprehensive qualitative model of the water system in the country with the help of a water balance and system dynamics (causal loop diagram) methodology. Regression estimates are then used to estimate future water and energy consumption in addition to carbon dioxide emissions until the year 2050. Finally, system dynamics (stock and flow diagram) is used to determine the supply impacts of efficiency policies including limiting of groundwater abstraction to only 50 million m3, reduction of water consumption in the household, commercial and industrial sector by 10%, and gradual increase in the share of reverse osmosis (RO)-produced desalinated water to 50% in order to assess the supply volume, electricity consumption and CO2 emissions. The efficient use of water in different sectors of the economy results in a combined saving of 1222 GWh (8.1%) or 594,000 tons CO2. Furthermore, by moving to membrane-b</w:t>
      </w:r>
    </w:p>
    <w:p>
      <w:pPr/>
      <w:r>
        <w:rPr>
          <w:b/>
        </w:rPr>
        <w:t>POSSIBLE 2020:</w:t>
      </w:r>
      <w:r>
        <w:t xml:space="preserve"> A review of climate-change impact and adaptation studies for the water sector in Thailand — https://doi.org/10.1088/1748-9326/abce80</w:t>
      </w:r>
    </w:p>
    <w:p>
      <w:pPr/>
      <w:r>
        <w:rPr>
          <w:b/>
        </w:rPr>
        <w:t>Shared claim-specific concepts:</w:t>
      </w:r>
      <w:r>
        <w:t xml:space="preserve"> several, water; EU scope not established. This is a provisional connection, not an outcome finding.</w:t>
      </w:r>
    </w:p>
    <w:p>
      <w:pPr>
        <w:pStyle w:val="SourceNote"/>
      </w:pPr>
      <w:r>
        <w:rPr>
          <w:b/>
        </w:rPr>
        <w:t>Available abstract (not full text):</w:t>
      </w:r>
      <w:r>
        <w:t xml:space="preserve"> Abstract Thailand plays a central economic and policy-making role in Southeast Asia. Although climate change adaptation is being mainstreamed in Thailand, a well-organized overview of the impacts of climate change and potential adaptation measures has been unavailable to date. Here we present a comprehensive review of climate-change impact studies that focused on the Thai water sector, based on a literature review of six sub-sectors: riverine hydrology, sediment erosion, coastal erosion, forest hydrology, agricultural hydrology, and urban hydrology. Our review examined the long-term availability of observational data, historical changes, projected changes in key variables, and the availability of economic assessments and their implications for adaptation actions. Although some basic hydrometeorological variables have been well monitored, specific historical changes due to climate change have seldom been detected. Furthermore, although numerous future projections have been proposed, the likely changes due to climate change remain unclear due to a general lack of systematic multi-model and multi-scenario assessments and limited spatiotemporal coverage of the study area. Several gaps in the research were identified, and ten research recommendations are presented. While the information contained herein contributes to state-of-the-art knowledge on the impact of climate change on the</w:t>
      </w:r>
    </w:p>
    <w:p>
      <w:pPr/>
      <w:r>
        <w:rPr>
          <w:b/>
        </w:rPr>
        <w:t>POSSIBLE 2020:</w:t>
      </w:r>
      <w:r>
        <w:t xml:space="preserve"> Some Fuzzy Measures Constructing Paradigm and Methods From Given Measure Spaces and Evaluation Information — https://doi.org/10.1109/tfuzz.2020.3044247</w:t>
      </w:r>
    </w:p>
    <w:p>
      <w:pPr/>
      <w:r>
        <w:rPr>
          <w:b/>
        </w:rPr>
        <w:t>Shared claim-specific concepts:</w:t>
      </w:r>
      <w:r>
        <w:t xml:space="preserve"> several, constructed, different; EU scope not established. This is a provisional connection, not an outcome finding.</w:t>
      </w:r>
    </w:p>
    <w:p>
      <w:pPr>
        <w:pStyle w:val="SourceNote"/>
      </w:pPr>
      <w:r>
        <w:rPr>
          <w:b/>
        </w:rPr>
        <w:t>Available abstract (not full text):</w:t>
      </w:r>
      <w:r>
        <w:t xml:space="preserve"> With some theoretical derivation and practical decision-making problems, in this article, we propose a constructing paradigm for generating fuzzy measures in some certain decision situations, such as in risk evaluation and decision making. The constructing paradigm involves four constructing factors: source measure space, construction function, construction choice, and object/constructed measure space. We use some strict and consistent formulation to reinvent the processes of constructing the well-known belief measure and plausibility measure. In this a, the belief measure and plausibility measure are regarded as the two extremities of some pessimism–optimism preferences, and we further propose two construction choices to construct the families of fuzzy measures to generalize and seamlessly connect them. We also propose three different ways to determine construction functions in some certain decisional situations. Several relevant mathematical properties and numerical examples are also presented.</w:t>
      </w:r>
    </w:p>
    <w:p>
      <w:pPr/>
      <w:r>
        <w:rPr>
          <w:b/>
        </w:rPr>
        <w:t>POSSIBLE 2019:</w:t>
      </w:r>
      <w:r>
        <w:t xml:space="preserve"> Evaluation of software to construct genetic linkage maps in plants — https://doi.org/10.11606/d.11.2019.tde-28082019-142400</w:t>
      </w:r>
    </w:p>
    <w:p>
      <w:pPr/>
      <w:r>
        <w:rPr>
          <w:b/>
        </w:rPr>
        <w:t>Shared claim-specific concepts:</w:t>
      </w:r>
      <w:r>
        <w:t xml:space="preserve"> several, evaluate, different; EU scope not established. This is a provisional connection, not an outcome finding.</w:t>
      </w:r>
    </w:p>
    <w:p>
      <w:pPr>
        <w:pStyle w:val="SourceNote"/>
      </w:pPr>
      <w:r>
        <w:rPr>
          <w:b/>
        </w:rPr>
        <w:t>Available abstract (not full text):</w:t>
      </w:r>
      <w:r>
        <w:t xml:space="preserve"> Evaluation of software to construct genetic linkage maps in plantsGenetic maps are useful tools in breeding programs and evolutionary studies.Since the publication of the first map, several concepts have been proposed and implemented in various mapping software.Each software presents different characteristics for the construction of maps.For example, aspects such as availability of source code, licenses, tutorials, and operating system need to be considered.There are also important points related to the statistical methods employed.In this context, the users' choice can often be a complicated task.The objectives here were: i) to present the main software with free licenses developed in recent years; ii) construct linkage maps using these software and, iii) evaluate them from the point of view of users.The software considered were: OneMap, Lep-MAP, HighMap, Lep-MAP2, Flipper, Lep-MAP3, ASMap, and GUSMap.This work can guide researchers about the free tools available to construct genetic maps.</w:t>
      </w:r>
    </w:p>
    <w:p>
      <w:pPr/>
      <w:r>
        <w:rPr>
          <w:b/>
        </w:rPr>
        <w:t>POSSIBLE 2019:</w:t>
      </w:r>
      <w:r>
        <w:t xml:space="preserve"> Evaluation of a constructed wetland for wastewater treatment: Addressing emerging organic contaminants and antibiotic resistant bacteria — https://doi.org/10.1016/j.nbt.2019.05.006</w:t>
      </w:r>
    </w:p>
    <w:p>
      <w:pPr/>
      <w:r>
        <w:rPr>
          <w:b/>
        </w:rPr>
        <w:t>Shared claim-specific concepts:</w:t>
      </w:r>
      <w:r>
        <w:t xml:space="preserve"> several, constructed, evaluate, different, water; EU scope not established. This is a provisional connection, not an outcome finding.</w:t>
      </w:r>
    </w:p>
    <w:p>
      <w:pPr>
        <w:pStyle w:val="SourceNote"/>
      </w:pPr>
      <w:r>
        <w:rPr>
          <w:b/>
        </w:rPr>
        <w:t>Available abstract (not full text):</w:t>
      </w:r>
      <w:r>
        <w:t xml:space="preserve"> The occurrence of emerging organic contaminants (EOCs) in wastewaters and the inability of the conventional wastewater treatments plants to deal with them have been pointed out several times over the last few years. As a result, remnants of those compounds released into the aquatic environment present a potential risk for public health. Constructed wetlands (CWs) have been proposed as environmentally friendly, low-cost alternative systems with satisfactory results for different types of contaminants. This study aimed to evaluate the efficiency of a CW system, planted with the halophyte Juncus acutus, to eliminate bisphenol A (BPA) and two antibiotics, namely ciprofloxacin (CIP) and sulfamethoxazole (SMX) under different operating conditions. The behavior of Escherichia coli and enterococcal populations in terms of changes in their resistance profile for the selected antibiotics and the abundance of two resistance genes (qnrA and sul1) were also examined. BPA and CIP were significantly removed by the CW, with an overall removal of 76.2% and 93.9% respectively and with the plants playing a vital role. In contrast, SMX was not significantly eliminated. Moreover, fluctuations in the antibiotic resistance profile of bacteria were observed. Treatment processes affected the response of the two selected bacterial indicators, depending on the conditions employed in each case. Furthermor</w:t>
      </w:r>
    </w:p>
    <w:p>
      <w:pPr/>
      <w:r>
        <w:rPr>
          <w:b/>
        </w:rPr>
        <w:t>POSSIBLE 2018:</w:t>
      </w:r>
      <w:r>
        <w:t xml:space="preserve"> Cross-Sectoral Analysis of Water Usage in Thailand Using Input–Output Model — https://doi.org/10.4186/ej.2018.22.6.93</w:t>
      </w:r>
    </w:p>
    <w:p>
      <w:pPr/>
      <w:r>
        <w:rPr>
          <w:b/>
        </w:rPr>
        <w:t>Shared claim-specific concepts:</w:t>
      </w:r>
      <w:r>
        <w:t xml:space="preserve"> several, constructed, water, policies; EU scope not established. This is a provisional connection, not an outcome finding.</w:t>
      </w:r>
    </w:p>
    <w:p>
      <w:pPr>
        <w:pStyle w:val="SourceNote"/>
      </w:pPr>
      <w:r>
        <w:rPr>
          <w:b/>
        </w:rPr>
        <w:t>Available abstract (not full text):</w:t>
      </w:r>
      <w:r>
        <w:t xml:space="preserve"> Thailand currently ranks third among the most water-intensive countries in the world.The percentage shares of water demand in the country's agriculture, manufacturing, and service sectors, which are major economic sectors, are 75%, 3%, and 5%, respectively.With the continuous growth of the economy, the demand for water is steadily rising, while the expansion of water supply remains constrained by several factors and the water supply is also affected by climate change.This study uses the input-output model to examine the relationship between water usage and the economic system in Thailand in 2010.The constructed input-output model is the integration of the Leontief inverse matrix, the matrix of water usage, and the details of the gross domestic product (GDP).The model indicates the linkage between GDP expansion and water demand in both direct and indirect usage.The computation result obtained from the model indicates that the agricultural sector is the major water user, with its ratio of direct water use being the highest.The manufacturing sector records the highest ratio of indirect water use, which is influenced by its supply chain comprising the agriculture and service sectors.This model and its results may serve as the main foundation for the design of economic and environmental policies oriented toward optimizing water demand and supply.The model can also be extended and en</w:t>
      </w:r>
    </w:p>
    <w:p>
      <w:pPr>
        <w:pStyle w:val="Heading2"/>
      </w:pPr>
      <w:r>
        <w:t>858.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2024:</w:t>
      </w:r>
      <w:r>
        <w:t xml:space="preserve"> For whom do site-specific art structures provide territorial services? The case of European peripheral areas — https://doi.org/10.1080/14702029.2024.2315844</w:t>
      </w:r>
    </w:p>
    <w:p>
      <w:pPr/>
      <w:r>
        <w:rPr>
          <w:b/>
        </w:rPr>
        <w:t>Shared claim-specific concepts:</w:t>
      </w:r>
      <w:r>
        <w:t xml:space="preserve"> specific, peripheral, island, local; EU scope visible. This is a provisional connection, not an outcome finding.</w:t>
      </w:r>
    </w:p>
    <w:p>
      <w:pPr>
        <w:pStyle w:val="SourceNote"/>
      </w:pPr>
      <w:r>
        <w:rPr>
          <w:b/>
        </w:rPr>
        <w:t>Available abstract (not full text):</w:t>
      </w:r>
      <w:r>
        <w:t xml:space="preserve">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pPr/>
      <w:r>
        <w:rPr>
          <w:b/>
        </w:rPr>
        <w:t>POSSIBLE 2024:</w:t>
      </w:r>
      <w:r>
        <w:t xml:space="preserve"> Active Labour Market Policies and Youth Employment in European Peripheries — https://doi.org/10.17645/pag.7958</w:t>
      </w:r>
    </w:p>
    <w:p>
      <w:pPr/>
      <w:r>
        <w:rPr>
          <w:b/>
        </w:rPr>
        <w:t>Shared claim-specific concepts:</w:t>
      </w:r>
      <w:r>
        <w:t xml:space="preserve"> implemented, peripheral, emphasis; EU scope visible. This is a provisional connection, not an outcome finding.</w:t>
      </w:r>
    </w:p>
    <w:p>
      <w:pPr>
        <w:pStyle w:val="SourceNote"/>
      </w:pPr>
      <w:r>
        <w:rPr>
          <w:b/>
        </w:rPr>
        <w:t>Available abstract (not full text):</w:t>
      </w:r>
      <w:r>
        <w:t xml:space="preserve">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pPr/>
      <w:r>
        <w:rPr>
          <w:b/>
        </w:rPr>
        <w:t>POSSIBLE 2024:</w:t>
      </w:r>
      <w:r>
        <w:t xml:space="preserve"> European statecraft in the Pacific Islands — https://doi.org/10.4324/9781003496441-11</w:t>
      </w:r>
    </w:p>
    <w:p>
      <w:pPr/>
      <w:r>
        <w:rPr>
          <w:b/>
        </w:rPr>
        <w:t>Shared claim-specific concepts:</w:t>
      </w:r>
      <w:r>
        <w:t xml:space="preserve"> island, region, potential; EU scope visible. This is a provisional connection, not an outcome finding.</w:t>
      </w:r>
    </w:p>
    <w:p>
      <w:pPr>
        <w:pStyle w:val="SourceNote"/>
      </w:pPr>
      <w:r>
        <w:rPr>
          <w:b/>
        </w:rPr>
        <w:t>Available abstract (not full text):</w:t>
      </w:r>
      <w:r>
        <w:t xml:space="preserve"> This chapter analyses the European Union, France, Germany, and the United Kingdom statecraft in the Pacific Islands region. Like other partners, Europe has gained a sudden interest in the ‘Indo-Pacific’ as part of the emerging geostrategic competition between the United States and China – – portraying Europe as a ‘mediator’ to prevent conflict. European countries have historically had colonial relationships with many Pacific Island states, but in the last few decades, their statecraft has waned to the point of invisibility. Until very recently, only France was actively deploying statecraft within and through its territories, French Polynesia, New Caledonia, and Wallis and Futuna. But with geopolitical competition, Europe has begun deploying tools of statecraft in the region again: through visits and the establishment of Special Envoys. This chapter analyses the intention and effectiveness of such statecraft, and the potential implications for the Pacific Islands region.</w:t>
      </w:r>
    </w:p>
    <w:p>
      <w:pPr/>
      <w:r>
        <w:rPr>
          <w:b/>
        </w:rPr>
        <w:t>POSSIBLE 2024:</w:t>
      </w:r>
      <w:r>
        <w:t xml:space="preserve"> Repression and growth in the periphery of Europe: The politics of changing growth regime in Turkey — https://doi.org/10.1177/10245294241233093</w:t>
      </w:r>
    </w:p>
    <w:p>
      <w:pPr/>
      <w:r>
        <w:rPr>
          <w:b/>
        </w:rPr>
        <w:t>Shared claim-specific concepts:</w:t>
      </w:r>
      <w:r>
        <w:t xml:space="preserve"> peripheral, emphasis; EU scope visible. This is a provisional connection, not an outcome finding.</w:t>
      </w:r>
    </w:p>
    <w:p>
      <w:pPr>
        <w:pStyle w:val="SourceNote"/>
      </w:pPr>
      <w:r>
        <w:rPr>
          <w:b/>
        </w:rPr>
        <w:t>Available abstract (not full text):</w:t>
      </w:r>
      <w:r>
        <w:t xml:space="preserve"> This study shows that in peripheral economies that are linked into circuits of global capital on unequal terms, attempts to change the core features of an existing growth regime without broader political support intensify externally induced conflict among the ruling coalition. Under these circumstances, a transition to a new demand regime within a short time frame is more likely to take place via authoritarian intervention when the political cost of repression is lower than the cost of redistribution. In developing these points, the analysis builds on evidence from Turkey: following the 2008 global credit crunch, the Justice and Development Party’s (Adalet ve Kalkinma Partisi, AKP) domestic demand-led and credit-fueled growth under dependent financialization has experienced a major crisis. However, the subsequent push to replace this regime with a profit-led model with an emphasis on exports worsened the conflict among the political coalition supporting the party as their preferences over monetary policy began to diverge. A temporary resolution of this deepening rift has been possible by way of an authoritarian intervention under R. T. Erdogan’s presidential bid in 2017–18. By situating the debate on the relationship between growth regimes and political institutions, the study further unpacks the nexus between democratic backsliding, dominant social blocs, and economic growth i</w:t>
      </w:r>
    </w:p>
    <w:p>
      <w:pPr/>
      <w:r>
        <w:rPr>
          <w:b/>
        </w:rPr>
        <w:t>POSSIBLE 2024:</w:t>
      </w:r>
      <w:r>
        <w:t xml:space="preserve"> Local economic development strategies in a medium-sized city on the European periphery: a path to become an economic center of Eastern Central Europe importance — https://doi.org/10.3389/fpos.2024.1335735</w:t>
      </w:r>
    </w:p>
    <w:p>
      <w:pPr/>
      <w:r>
        <w:rPr>
          <w:b/>
        </w:rPr>
        <w:t>Shared claim-specific concepts:</w:t>
      </w:r>
      <w:r>
        <w:t xml:space="preserve"> small, emphasis, local; EU scope visible. This is a provisional connection, not an outcome finding.</w:t>
      </w:r>
    </w:p>
    <w:p>
      <w:pPr>
        <w:pStyle w:val="SourceNote"/>
      </w:pPr>
      <w:r>
        <w:rPr>
          <w:b/>
        </w:rPr>
        <w:t>Available abstract (not full text):</w:t>
      </w:r>
      <w:r>
        <w:t xml:space="preserve"> Large cities are becoming increasingly valuable in the spatial structure of globalized economies. Although these centers vary significantly regarding population, economic structure, and income conditions, they—compared to their surroundings—generally show a higher productivity level, a higher rate of employment, higher education, and higher innovation performance. However, this metropolization and concentration of the economy in large cities made the development of cities regarded as medium-sized on an international scale an issue of competitiveness in Europe, characterized by dense town networks, a small number of metropolises, and a significant weight of medium- and small-sized towns. However, one of the main preconditions for achieving success in this competition is to form a comprehensive and complex concept with a significant emphasis on economic development. Therefore, the aim of our study is to analyze the local economic development strategies for the last three decades, as elaborated in Debrecen. In the framework of our empirical analysis, we examined how different mainstream concepts appear in local development strategies and which development objectives are determined by the local strategies. Furthermore, we also aimed to identify possible changes in ideas about city roles by referring to the organization of economic space.</w:t>
      </w:r>
    </w:p>
    <w:p>
      <w:pPr/>
      <w:r>
        <w:rPr>
          <w:b/>
        </w:rPr>
        <w:t>POSSIBLE 2023:</w:t>
      </w:r>
      <w:r>
        <w:t xml:space="preserve"> European Academy of Neurology/Peripheral Nerve Society Guideline on diagnosis and treatment of Guillain–Barré syndrome — https://doi.org/10.1111/ene.16073</w:t>
      </w:r>
    </w:p>
    <w:p>
      <w:pPr/>
      <w:r>
        <w:rPr>
          <w:b/>
        </w:rPr>
        <w:t>Shared claim-specific concepts:</w:t>
      </w:r>
      <w:r>
        <w:t xml:space="preserve"> specific, peripheral; EU scope visible. This is a provisional connection, not an outcome finding.</w:t>
      </w:r>
    </w:p>
    <w:p>
      <w:pPr>
        <w:pStyle w:val="SourceNote"/>
      </w:pPr>
      <w:r>
        <w:rPr>
          <w:b/>
        </w:rPr>
        <w:t>Available abstract (not full text):</w:t>
      </w:r>
      <w:r>
        <w:t xml:space="preserve"> Guillain-Barré syndrome (GBS) is an acute polyradiculoneuropathy. Symptoms may vary greatly in presentation and severity. Besides weakness and sensory disturbances, patients may have cranial nerve involvement, respiratory insufficiency, autonomic dysfunction and pain. To develop an evidence-based guideline for the diagnosis and treatment of GBS, using Grading of Recommendations, Assessment, Development and Evaluation (GRADE) methodology a Task Force (TF) of the European Academy of Neurology (EAN) and the Peripheral Nerve Society (PNS) constructed 14 Population/Intervention/Comparison/Outcome questions (PICOs) covering diagnosis, treatment and prognosis of GBS, which guided the literature search. Data were extracted and summarised in GRADE Summaries of Findings (for treatment PICOs) or Evidence Tables (for diagnostic and prognostic PICOs). Statements were prepared according to GRADE Evidence-to-Decision (EtD) frameworks. For the six intervention PICOs, evidence-based recommendations are made. For other PICOs, good practice points (GPPs) are formulated. For diagnosis, the principal GPPs are: GBS is more likely if there is a history of recent diarrhoea or respiratory infection; CSF examination is valuable, particularly when the diagnosis is less certain; electrodiagnostic testing is advised to support the diagnosis; testing for anti-ganglioside antibodies is of limited clinical va</w:t>
      </w:r>
    </w:p>
    <w:p>
      <w:pPr/>
      <w:r>
        <w:rPr>
          <w:b/>
        </w:rPr>
        <w:t>POSSIBLE 2023:</w:t>
      </w:r>
      <w:r>
        <w:t xml:space="preserve"> Rethinking regional attractiveness in the Balearic Islands region of Spain — https://doi.org/10.1787/47bf5ec1-en</w:t>
      </w:r>
    </w:p>
    <w:p>
      <w:pPr/>
      <w:r>
        <w:rPr>
          <w:b/>
        </w:rPr>
        <w:t>Shared claim-specific concepts:</w:t>
      </w:r>
      <w:r>
        <w:t xml:space="preserve"> region, sustainable, environment; EU scope visible. This is a provisional connection, not an outcome finding.</w:t>
      </w:r>
    </w:p>
    <w:p>
      <w:pPr>
        <w:pStyle w:val="SourceNote"/>
      </w:pPr>
      <w:r>
        <w:rPr>
          <w:b/>
        </w:rPr>
        <w:t>Available abstract (not full text):</w:t>
      </w:r>
      <w:r>
        <w:t xml:space="preserve"> The impact of the COVID-19 crisis, compounded by the consequences of Russia’s war of aggression against Ukraine and existing megatrends (e.g. climate change, globalisation, digitalisation and demographic change), continue to produce asymmetric effects within and between countries and regions, with the scope and scale depending on their unique characteristics. The OECD’s work on rethinking regional attractiveness policies in the new global environment, is undertaken with the support of the European Commission (DG REGIO) and is a priority activity of the Regional Development Policy Committee (RDPC). Working closely with 15 regions in 5 OECD member countries (Ireland, Italy, Portugal, Spain and Sweden), it aims to help regional and national policy-makers to better understand the position of regions in an evolving global context, including emerging challenges and opportunities, and identify the policy levers at their disposal to enhance the attractiveness of regions to the key international target groups of investors (including exporters), talent, and visitors. In doing so, it seeks to support regions transition towards new territorial development policies that promote inclusive, sustainable, and resilient development, while enhancing regional attractiveness.</w:t>
      </w:r>
    </w:p>
    <w:p>
      <w:pPr/>
      <w:r>
        <w:rPr>
          <w:b/>
        </w:rPr>
        <w:t>POSSIBLE 2022:</w:t>
      </w:r>
      <w:r>
        <w:t xml:space="preserve"> International Open Innovation Strategies of Firms in European Peripheral Regions — https://doi.org/10.3390/joitmc8010007</w:t>
      </w:r>
    </w:p>
    <w:p>
      <w:pPr/>
      <w:r>
        <w:rPr>
          <w:b/>
        </w:rPr>
        <w:t>Shared claim-specific concepts:</w:t>
      </w:r>
      <w:r>
        <w:t xml:space="preserve"> peripheral, local, used; EU scope visible. This is a provisional connection, not an outcome finding.</w:t>
      </w:r>
    </w:p>
    <w:p>
      <w:pPr>
        <w:pStyle w:val="SourceNote"/>
      </w:pPr>
      <w:r>
        <w:rPr>
          <w:b/>
        </w:rPr>
        <w:t>Available abstract (not full text):</w:t>
      </w:r>
      <w:r>
        <w:t xml:space="preserve"> The involvement of companies in different open innovation activities, through knowledge outputs and inputs, has become increasingly important for the success of companies.However, the existing literature on open innovation is scarce concerning the internationalization process of companies.The internationalization of companies is fundamental in the continuous search to increase the performance of companies externally.The objective of the present research is to explain the strategic processes in the internationalization of companies located in peripheral regions at the time of the COVID-19 pandemic from the perspective of dynamic capabilities.The sample used for this research is composed of seven Portuguese companies.The methodology of qualitative nature is exploratory and uses a case study approach.Regarding the foremost modes of operation in international markets and strategies, we find that (1) companies have partnerships with local distributors or appoint exclusive importers/distributors, and (2) companies prefer to place their products in the market through their brand, "co-branded" projects with retailers, or "private label" projects.Of the seven companies under study, six use a standardization strategy, and one opts for a configuration-coordination strategy.Our findings clarified the literature on export and internationalization strategies in a peripheral country, allowing</w:t>
      </w:r>
    </w:p>
    <w:p>
      <w:pPr/>
      <w:r>
        <w:rPr>
          <w:b/>
        </w:rPr>
        <w:t>POSSIBLE 2022:</w:t>
      </w:r>
      <w:r>
        <w:t xml:space="preserve"> The coronavirus and center-peripheral relations in the economies of the European Union — https://doi.org/10.2478/ijme-2022-0017</w:t>
      </w:r>
    </w:p>
    <w:p>
      <w:pPr/>
      <w:r>
        <w:rPr>
          <w:b/>
        </w:rPr>
        <w:t>Shared claim-specific concepts:</w:t>
      </w:r>
      <w:r>
        <w:t xml:space="preserve"> potential, external; EU scope visible. This is a provisional connection, not an outcome finding.</w:t>
      </w:r>
    </w:p>
    <w:p>
      <w:pPr>
        <w:pStyle w:val="SourceNote"/>
      </w:pPr>
      <w:r>
        <w:rPr>
          <w:b/>
        </w:rPr>
        <w:t>Available abstract (not full text):</w:t>
      </w:r>
      <w:r>
        <w:t xml:space="preserve"> Abstract From the perspective of the diversity of capitalism and that of economic sociology, the article deals with the issue of center-peripheral relations as one of the key dimensions of economic diversification that determines the development opportunities of the European Union. The collapse of the convergence processes during the 2008–2010 financial crisis revealed the separateness of development trajectories of various countries and geographical regions of the EU. Without reversing this phenomenon and working out new mechanisms of development convergence and institutions supporting them, the process of European integration will enter further structural crises that may lead to the disintegration of the EU. Various classifications of the core and of the peripheries of the euro area are characterized, within which several types of countries are identified with different economic characteristics (countries of the Northern core and of the Southern peripheries of the euro area, different types of peripheries in Southern Europe and in Central and Eastern Europe, the internal core and the external core or the outer core, and the internal peripheries and the external peripheries, as well as the super-peripheries including candidates or potential candidates to join the EU). The COVID-19 crisis has an asymmetric impact on the economic situation of the Member States. As with other cri</w:t>
      </w:r>
    </w:p>
    <w:p>
      <w:pPr/>
      <w:r>
        <w:rPr>
          <w:b/>
        </w:rPr>
        <w:t>POSSIBLE 2022:</w:t>
      </w:r>
      <w:r>
        <w:t xml:space="preserve"> Exercise Testing in Heart Failure with Preserved Ejection Fraction: An Appraisal Through Diagnosis, Pathophysiology and Therapy – A Clinical Consensus Statement of the Heart Failure Association and European Association of Preventive Cardiology of the European Society of Cardiology — https://doi.org/10.1002/ejhf.2601</w:t>
      </w:r>
    </w:p>
    <w:p>
      <w:pPr/>
      <w:r>
        <w:rPr>
          <w:b/>
        </w:rPr>
        <w:t>Shared claim-specific concepts:</w:t>
      </w:r>
      <w:r>
        <w:t xml:space="preserve"> specific, peripheral, information; EU scope visible. This is a provisional connection, not an outcome finding.</w:t>
      </w:r>
    </w:p>
    <w:p>
      <w:pPr>
        <w:pStyle w:val="SourceNote"/>
      </w:pPr>
      <w:r>
        <w:rPr>
          <w:b/>
        </w:rPr>
        <w:t>Available abstract (not full text):</w:t>
      </w:r>
      <w:r>
        <w:t xml:space="preserve"> Patients with heart failure with preserved ejection fraction (HFpEF) universally complain of exercise intolerance and dyspnoea as key clinical correlates. Cardiac as well as extracardiac components play a role for the limited exercise capacity, including an impaired cardiac and peripheral vascular reserve, a limitation in mechanical ventilation and/or gas exchange with reduced pulmonary vascular reserve, skeletal muscle dysfunction and iron deficiency/anaemia. Although most of these components can be differentiated and quantified through gas exchange analysis by cardiopulmonary exercise testing (CPET), the information provided by objective measures of exercise performance has not been systematically considered in the recent algorithms/scores for HFpEF diagnosis, by neither European nor US groups. The current clinical consensus statement by the Heart Failure Association (HFA) and European Association of Preventive Cardiology (EAPC) of the European Society of Cardiology (ESC) aims at outlining the role of exercise testing and its pathophysiological, clinical and prognostic insights, addressing the implications of a thorough functional evaluation from the diagnostic algorithm to the pathophysiology and treatment perspectives of HFpEF. Along with these goals, we provide a specific analysis of the evidence that CPET is the standard for assessing, quantifying, and differentiating the</w:t>
      </w:r>
    </w:p>
    <w:p>
      <w:pPr>
        <w:pStyle w:val="Heading2"/>
      </w:pPr>
      <w:r>
        <w:t>859.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Health Effects of Interpersonal and Structural Discrimination on Minority Groups in Europe — https://doi.org/10.1111/1467-9566.70054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This article analyses the health effects of discrimination experiences across several minority groups in Europe. Despite a broad literature advancing the idea that discrimination is a focal point for the social determinants of health among minority groups, research attempting to disentangle the health effects of interpersonal forms of discrimination and harassment from structural forms of discrimination is underexamined. Furthermore, these experiences may impact different minority groups to a greater or lesser extent due to that group's position in the social hierarchy. We address this gap in the literature by analysing the Second European Union Minorities and Discrimination Survey (EU-MIDIS II), including 19,179 respondents in six minority groups across 25 countries. We show that experiencing interpersonal discrimination and harassment has a large and consistent negative effect on the health of respondents across all groups, with some variation across different minority groups. This finding is concerning given how common these experiences are in the European context. We also show a small but consistent relationship across groups between living in segregated neighbourhoods and poorer health, whereas a negative relationship between health and living in overcrowded housing exists only for the Russian minority.</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2022:</w:t>
      </w:r>
      <w:r>
        <w:t xml:space="preserve"> Labor productivity in the agriculture, structural shifts and economic growth in the Central and Eastern European countries — https://doi.org/10.51599/are.2022.08.04.01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Purpose. In our article, we assess the scope and directions of changes in agricultural labor productivity compared to other sectors of the economy. Methodology / approach. For our survey we choose 15 countries: (і) EU countries – Bulgaria, Czech Republic, Estonia, Hungary, Latvia, Lithuania, Poland, Romania, Slovakia and Slovenia, as well (іі) post-Soviet European countries – Ukraine, Moldova, Belarus, russia and also (ііі) Albania for period 1996–2019. We use an empirical methodology designed to analyze structural decomposition of labor productivity into the growth effect within the sector and structural dynamic and static effects, often called ‘shift-share analysis’. We analyze process of convergence of sectoral labor productivity and its impact on economic growth. Results. Labor productivity grows in the agricultural sector of the economy at the fastest rate, on average by almost 12 % per year. The growth effects within the industry takes a dominant position in all sectors of the economy in the countries of Central and Eastern Europe and its share is on average 88.5 %, and the structural effects are as follows: the dynamic effect is almost 1%, the static effect is 10.4 %. We have confirmed that the agricultural sector is gaining weight in the economic growth of the countries of Central and Eastern Europe, the influence of the service sector is increasing, although together t</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2019:</w:t>
      </w:r>
      <w:r>
        <w:t xml:space="preserve"> PATTERNS OF STRUCTURAL CHANGES IN CEE ECONOMIES IN NEW MILLENNIUM — https://doi.org/10.3846/tede.2019.11253</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In the era of intensive globalization and frequent economic shocks, boosting the GDP growth becomes the most difficult task and main preoccupation of policymakers. This is particularly true for Central Eastern European countries or so called CEE countries, which are trying to overcome contemporary and inherited imbalances at the same time. These economies were faced with another huge challenge after 2008. They have to maintain the same pace of structural reforms during the global economic crisis and to mitigate the negative effects of the crisis on economic growth. In that sense, the aim of this paper is to provide insight into a structural change in these economies in the period 2000–2014, using Leontief input-output analysis of the key sectors. The results pointed out that most of the key sectors during the period are service related sectors and that their number is increased after the crisis, while manufacturing of basic metals and electricity, gas, steam, and air conditioning supply have lost the status of the key sector.</w:t>
      </w:r>
    </w:p>
    <w:p>
      <w:pPr/>
      <w:r>
        <w:rPr>
          <w:b/>
        </w:rPr>
        <w:t>POSSIBLE 2018:</w:t>
      </w:r>
      <w:r>
        <w:t xml:space="preserve"> Decoupling energy use and economic growth: Counter evidence from structural effects and embodied energy in trade — https://doi.org/10.1016/j.apenergy.2018.01.044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economic growth from energy consumption is a wide spread attempt to decarbonize economic activities and increase energy security. Almost all members of the European Union have decoupled the two since 2005 as measured by a steady decline in energy intensity, the ratio of final energy consumption and gross domestic product. Economic growth, energy efficiency and structural changes have all contributed to changes in energy intensity of economic activities at the national level. In this article, the authors analyze to what extent decoupling can be attributed to each of these three factors and in particular structural effects, namely deindustrialization and tertiarization, which shifts energy consumption abroad and re-imports it as embodied energy in products. We quantify the effects of structural changes, economic growth and energy efficiency measures as well as embodied energy in trade at the level of economic activities. The methodological approach combines decomposition and input-output analysis to address boundary cases where monetary trade surpluses meet energy trade deficits. Switzerland provides a case in point with the added hurdle of low data availability per economic activity over time. The results show that the share of embodied energy in imports has reached 81% of final energy consumption in economic activities. A comparison of energy intensities with and wit</w:t>
      </w:r>
    </w:p>
    <w:p>
      <w:pPr/>
      <w:r>
        <w:rPr>
          <w:b/>
        </w:rPr>
        <w:t>POSSIBLE 2016:</w:t>
      </w:r>
      <w:r>
        <w:t xml:space="preserve"> Frequency effects and structural change - the Afrikaans preterite — https://doi.org/10.5774/45-0-207</w:t>
      </w:r>
    </w:p>
    <w:p>
      <w:pPr/>
      <w:r>
        <w:rPr>
          <w:b/>
        </w:rPr>
        <w:t>Shared claim-specific concepts:</w:t>
      </w:r>
      <w:r>
        <w:t xml:space="preserve"> structural, article; EU scope not established. This is a provisional connection, not an outcome finding.</w:t>
      </w:r>
    </w:p>
    <w:p>
      <w:pPr>
        <w:pStyle w:val="SourceNote"/>
      </w:pPr>
      <w:r>
        <w:rPr>
          <w:b/>
        </w:rPr>
        <w:t>Available abstract (not full text):</w:t>
      </w:r>
      <w:r>
        <w:t xml:space="preserve"> According to emergent grammar and exemplar theory in cognitive linguistics, the frequency of an item affects its behaviour in terms of structural change. In this article, I illustrate how high frequency items, such as preterital modal auxiliaries and copulas in Afrikaans, resist regularising with the rest of the Afrikaans verbal system. Items with a moderately high frequency can resist change for a time, but succumb to it eventually, such as mog (“might”) and wis (“knew”). While the course of change can also be affected by other factors, such as het (“have”) and had (“had”), and dink (“think”) and gedink/dag/dog (“thought”) show, the data in diachronic Afrikaans corpora from 1911 to 2010 confirm that high frequency items resist structural change to a large extent, while low frequency items do not. This links with the cognitive representation of language and language processing, and illustrates how the use of language shapes the structure of language.</w:t>
      </w:r>
    </w:p>
    <w:p>
      <w:pPr/>
      <w:r>
        <w:rPr>
          <w:b/>
        </w:rPr>
        <w:t>POSSIBLE 2016:</w:t>
      </w:r>
      <w:r>
        <w:t xml:space="preserve"> Comparative Susceptibility and Differential Effects on the Two European Courts: A Study of Grasstops Mobilizations around Religion — https://doi.org/10.1093/ojlr/rww050</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‘Grasstops mobilizations’ in the context of the European Court of Human Rights and the Court of Justice of the European Union refers to legal and political mobilization carried out by cause lawyers, NGOs, religious, secularist and humanist organizations, political figures and national governments, and by transnational networks which may develop within and between the above groups, depending on their stakes in a given issue. In the domain of religion, such grasstops mobilizations may seek to influence what religion-related issues get placed on a court’s agenda and the climate within which the Court takes its decisions on the latter; they are forces at the European and transnational levels potentially influencing the Court’s engagements with and ultimate handling of religion-related cases. This article draws on interviews carried out with various actors engaged with or impacted by mobilizations around the European courts to yield special insight into who mobilizes, for what reasons and to what effects, and into the conditions under which particular political, religious, or NGO actors are influential. Based upon the latter research as well as examination of certain structural differences between the two courts rendering them differently ‘open’ to various pressures, this contribution considers the comparative susceptibility of the two courts to such mobilizations.</w:t>
      </w:r>
    </w:p>
    <w:p>
      <w:pPr/>
      <w:r>
        <w:rPr>
          <w:b/>
        </w:rPr>
        <w:t>POSSIBLE 2016:</w:t>
      </w:r>
      <w:r>
        <w:t xml:space="preserve"> The new ambitions for 2014-2020 European structural and investment funds evaluation: pouring water in a leaking container? — https://openalex.org/W2552820326</w:t>
      </w:r>
    </w:p>
    <w:p>
      <w:pPr/>
      <w:r>
        <w:rPr>
          <w:b/>
        </w:rPr>
        <w:t>Shared claim-specific concepts:</w:t>
      </w:r>
      <w:r>
        <w:t xml:space="preserve"> structural, foreseen, article; EU scope visible. This is a provisional connection, not an outcome finding.</w:t>
      </w:r>
    </w:p>
    <w:p>
      <w:pPr>
        <w:pStyle w:val="SourceNote"/>
      </w:pPr>
      <w:r>
        <w:rPr>
          <w:b/>
        </w:rPr>
        <w:t>Available abstract (not full text):</w:t>
      </w:r>
      <w:r>
        <w:t xml:space="preserve"> One of the recurring criticisms that have been levied to EU Cohesion policy has been its inability to prove its effectiveness and value for money. These criticisms, and the parallel growing pressures to reduce the resources assigned to the policy in recent rounds of budget negotiations, have led to the introduction of changes in the regulatory obligations attached to funding. In the 2014-2020 regulations, efforts to improve the policy’s effectiveness have primarily related to a set of new obligations intended to improve the results-orientation of programme design and implementation, and to a strengthening of the purposefulness of evaluation activities, including through a shift from evaluating implementation to appraising impacts. This article focuses on the latter theme. It reviews the main evaluation obligations foreseen by the Common Provisions Regulations (CPR) and the change in evaluation focus advocated by DG REGIO, the preparation of Evaluation Plans in selected EU programmes and these plans’ coverage, focus, objectives and resources. The article concludes with some reflections on the challenges that the new regulatory framework entails for managing authorities. It argues that the new CPR and Commission guidance notes are addressing past weaknesses by adding new demands to old ones without having sufficiently addressed the problems behind the partly ineffectual responses</w:t>
      </w:r>
    </w:p>
    <w:p>
      <w:pPr>
        <w:pStyle w:val="Heading2"/>
      </w:pPr>
      <w:r>
        <w:t>860.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limitations, implications, only, countries, different;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four, during;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EXPLORING POST-PANDEMIC PERCEPTION OF INDUSTRY 4.0 TECHNOLOGY IMPLICATIONS IN TOURISM: A STUDY OF CENTRAL EUROPEAN TRAVELERS — https://doi.org/10.29119/1641-3466.2024.197.16</w:t>
      </w:r>
    </w:p>
    <w:p>
      <w:pPr/>
      <w:r>
        <w:rPr>
          <w:b/>
        </w:rPr>
        <w:t>Shared claim-specific concepts:</w:t>
      </w:r>
      <w:r>
        <w:t xml:space="preserve"> limitations, implications, sample, only, period; EU scope visible. This is a provisional connection, not an outcome finding.</w:t>
      </w:r>
    </w:p>
    <w:p>
      <w:pPr>
        <w:pStyle w:val="SourceNote"/>
      </w:pPr>
      <w:r>
        <w:rPr>
          <w:b/>
        </w:rPr>
        <w:t>Available abstract (not full text):</w:t>
      </w:r>
      <w:r>
        <w:t xml:space="preserve"> Purpose: This study underscores the accelerated integration of technological solutions within the tourism industry post-pandemic, highlighting the service sector's heightened openness to digital advancements.Authors stress the need for tourism companies to invest in digital technologies and resilient innovation for sustainable Industry 4.0, considering social impact.This research is the perception of the importance of digitalization tools application to tourism sphere especially in the post-pandemic period.Design/methodology/approach: Focusing on Central European travelers, a survey of 553 individuals was conducted to gauge perceptions regarding the importance of digital technologies in tourism.Significantly, gender disparities in touchless technology usage were observed, with women exhibiting less interest compared to men.Moreover, variations in the evaluation of specific technological tools within tourism services indicate diverse preferences among respondents.Findings: What was found in the course of the work?This will refer to analysis, discussion, or results.Research limitations/implications: While the study contributes valuable insights, its limitations, such as generalization and sample size constraints should be acknowledged. Practical implications:The paper delves into the practical implications of these findings for travel agencies, contributing to a broader theoretic</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four, countries, during;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Play therapy in children with autism: Its role, implications, and limitations — https://doi.org/10.5409/wjcp.v12.i1.1</w:t>
      </w:r>
    </w:p>
    <w:p>
      <w:pPr/>
      <w:r>
        <w:rPr>
          <w:b/>
        </w:rPr>
        <w:t>Shared claim-specific concepts:</w:t>
      </w:r>
      <w:r>
        <w:t xml:space="preserve"> limitations, implications, different; EU scope not established. This is a provisional connection, not an outcome finding.</w:t>
      </w:r>
    </w:p>
    <w:p>
      <w:pPr>
        <w:pStyle w:val="SourceNote"/>
      </w:pPr>
      <w:r>
        <w:rPr>
          <w:b/>
        </w:rPr>
        <w:t>Available abstract (not full text):</w:t>
      </w:r>
      <w:r>
        <w:t xml:space="preserve"> Play is a pleasurable physical or mental activity that enhances the child's skills involving negotiation abilities, problem-solving, manual dexterity, sharing, decision-making, and working in a group. Play affects all the brain's areas, structures, and functions. Children with autism have adaptive behavior, adaptive response, and social interaction limitations. This review explores the different applications of play therapy in helping children with autism disorder. Play is usually significantly impaired in children with autism. Play therapy is mainly intended to help children to honor their unique mental abilities and developmental levels. The main aim of play therapy is to prevent or solve psychosocial difficulties and achieve optimal child-healthy growth and development. Play therapy helps children with autism to engage in play activities of their interest and choice to express themselves in the most comfortable ways. It changes their way of self-expression from unwanted behaviors to more non-injurious expressive behavior using toys or activities of their choice as their words. Play therapy also helps those children to experience feeling out various interaction styles. Every child with autism is unique and responds differently. Therefore, different types of intervention, like play therapy, could fit the differences in children with autism. Proper evaluation of the child is ma</w:t>
      </w:r>
    </w:p>
    <w:p>
      <w:pPr/>
      <w:r>
        <w:rPr>
          <w:b/>
        </w:rPr>
        <w:t>POSSIBLE 2023:</w:t>
      </w:r>
      <w:r>
        <w:t xml:space="preserve"> Implications of COVID-19 policies on the sustainable corporate practices of European firms — https://doi.org/10.1108/k-07-2022-1014</w:t>
      </w:r>
    </w:p>
    <w:p>
      <w:pPr/>
      <w:r>
        <w:rPr>
          <w:b/>
        </w:rPr>
        <w:t>Shared claim-specific concepts:</w:t>
      </w:r>
      <w:r>
        <w:t xml:space="preserve"> implications, firms, during, period; EU scope visible. This is a provisional connection, not an outcome finding.</w:t>
      </w:r>
    </w:p>
    <w:p>
      <w:pPr>
        <w:pStyle w:val="SourceNote"/>
      </w:pPr>
      <w:r>
        <w:rPr>
          <w:b/>
        </w:rPr>
        <w:t>Available abstract (not full text):</w:t>
      </w:r>
      <w:r>
        <w:t xml:space="preserve"> Purpose This study aims to analyze how mixes of COVID-19 policy responses are shaping the context in which companies will compete in the following years, defining how the crisis might impact firms’ ability to keep their commitments to sustainable practices. Design/methodology/approach European country-performance data for the years 2019 and 2020 were grouped into indicators of macro sustainability, then cross-analyzed against the policies adopted during the period (also grouped based on their impacts on sustainability pillars), using correlations, factor analysis and clustering. Findings The influence of traditional sustainability determinants was reframed according to the novel context shaped by the policy responses to the pandemic crisis. The social and digitalization aspects gained the most relevance and appeared interconnected, with digitalization of employment attaining overall more traction. Moreover, changes in the leadership within sustainability domains were observed for each identified country-cluster, due to newly implemented emergency policies. In fact, environmental innovation, digitalization and social support policies appeared to be the main variables to be impacted by the intensity of the policy efforts. Practical implications Businesses monitoring the developments of sustainability policies closely, will observe novel trends in technological applications. Socia</w:t>
      </w:r>
    </w:p>
    <w:p>
      <w:pPr/>
      <w:r>
        <w:rPr>
          <w:b/>
        </w:rPr>
        <w:t>POSSIBLE 2023:</w:t>
      </w:r>
      <w:r>
        <w:t xml:space="preserve"> Women in CEO duality and firm performance in Europe — https://doi.org/10.1007/s10997-023-09669-6</w:t>
      </w:r>
    </w:p>
    <w:p>
      <w:pPr/>
      <w:r>
        <w:rPr>
          <w:b/>
        </w:rPr>
        <w:t>Shared claim-specific concepts:</w:t>
      </w:r>
      <w:r>
        <w:t xml:space="preserve"> implications, sample, firms, countries, period; EU scope visible. This is a provisional connection, not an outcome finding.</w:t>
      </w:r>
    </w:p>
    <w:p>
      <w:pPr>
        <w:pStyle w:val="SourceNote"/>
      </w:pPr>
      <w:r>
        <w:rPr>
          <w:b/>
        </w:rPr>
        <w:t>Available abstract (not full text):</w:t>
      </w:r>
      <w:r>
        <w:t xml:space="preserve"> Abstract This paper investigates gender dimensions in the relationship between CEO duality and firm performance, combining feminist theories and stewardship arguments. Using a large sample of listed firms from 23 European countries in the 2014–2020 period, we have found that CEO duality has a positive effect on corporate performance when a woman holds both the roles of CEO and board chair. These findings highlight the ‘bright side’ of women in governance, suggesting the presence of women in double leadership positions can amplify benefits and/or limits costs related to CEO duality. Having a woman in CEO-chair leadership could optimize a firm’s use of its resources and more effectively contribute to improving performance. Directions for future research could include a better understanding of women in leadership in the organizational domain. Our results have a number of managerial and political implications.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four, countries, other, international, different;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The institutionalisation of social and environmental accounting practices in Europe — https://doi.org/10.1108/jaar-07-2022-0190</w:t>
      </w:r>
    </w:p>
    <w:p>
      <w:pPr/>
      <w:r>
        <w:rPr>
          <w:b/>
        </w:rPr>
        <w:t>Shared claim-specific concepts:</w:t>
      </w:r>
      <w:r>
        <w:t xml:space="preserve"> limitations, implications, sample; EU scope visible. This is a provisional connection, not an outcome finding.</w:t>
      </w:r>
    </w:p>
    <w:p>
      <w:pPr>
        <w:pStyle w:val="SourceNote"/>
      </w:pPr>
      <w:r>
        <w:rPr>
          <w:b/>
        </w:rPr>
        <w:t>Available abstract (not full text):</w:t>
      </w:r>
      <w:r>
        <w:t xml:space="preserve"> Purpose In the last few years, the European context has been characterised by a high degree of attention paid by policymakers, practitioners and academics to the effects related to the transposition of Directive 2014/95/EU by the member states. In particular, one the main issues of the intervention made by the European Commission is represented by the theoretical misalignment between corporate communications and actions. According to this evidence, this paper aims to shed light on this debate through a critical evaluation of the effectiveness of Directive 2014/95/EU. Design/methodology/approach The analysis was built using panel data analysis on a sample of 813 European listed companies. Furthermore, the authors performed additional analysis and robustness checks to assess the reliability of the analysis. Findings The analysis underlined the enabling role of the reporting scope, external assurance and corporate social responsibility (CSR) committees on sustainability reporting. Furthermore, the research highlighted the need to pay specific attention to the real contribution provided by companies to the sustainable development goals. Research limitations/implications The research provided theoretical insights into the effects related to mandatory sustainability reporting, which represents an emerging field in accounting research. Practical implications The analysis revealed the </w:t>
      </w:r>
    </w:p>
    <w:p>
      <w:pPr>
        <w:pStyle w:val="Heading2"/>
      </w:pPr>
      <w:r>
        <w:t>861.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2023:</w:t>
      </w:r>
      <w:r>
        <w:t xml:space="preserve"> Differences in spore size and atmospheric survival shape stark contrasts in the dispersal dynamics of two closely related fungal pathogens — https://doi.org/10.1101/2023.02.08.527725</w:t>
      </w:r>
    </w:p>
    <w:p>
      <w:pPr/>
      <w:r>
        <w:rPr>
          <w:b/>
        </w:rPr>
        <w:t>Shared claim-specific concepts:</w:t>
      </w:r>
      <w:r>
        <w:t xml:space="preserve"> stark, contrast, compared, distances, greater; EU scope not established. This is a provisional connection, not an outcome finding.</w:t>
      </w:r>
    </w:p>
    <w:p>
      <w:pPr>
        <w:pStyle w:val="SourceNote"/>
      </w:pPr>
      <w:r>
        <w:rPr>
          <w:b/>
        </w:rPr>
        <w:t>Available abstract (not full text):</w:t>
      </w:r>
      <w:r>
        <w:t xml:space="preserve"> Abstract A frequently ignored but critical aspect of microbial dispersal is survival in the atmosphere. We exposed spores of two closely related, morphologically dissimilar, and economically important fungal pathogens to typical atmospheric environments and modeled their movement in the troposphere. We first measured the mortality of Alternaria solani and A. alternata conidia exposed to ranges of solar radiation, relative humidity, and temperature. We then measured survival in an advantageous environment over 12 days. A. solani conidia are nearly 10 times larger than A. alternata conidia and most die after 24 hours. By contrast, over half of A. alternata conidia remained viable at 12 days. The greater viability of the smaller spores is counterintuitive as larger spores are assumed to be more durable. To elucidate the consequences of survival rates for dispersal, we deployed models of atmospheric spore movement across North American. We predict 99% of the larger A. solani conidia settle within 24 hours, with a maximum dispersal distance of 100 km. By contrast, most A. alternata conidia remain airborne for more than 12 days and long-distance dispersal is possible, e.g., from Wisconsin to the Atlantic Ocean. We observe that the larger conidia of A. solani survive poorly but also land sooner and move over shorter distances as compared to the smaller conidia of A. alternata . Our da</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compared;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r>
        <w:rPr>
          <w:b/>
        </w:rPr>
        <w:t>POSSIBLE 2018:</w:t>
      </w:r>
      <w:r>
        <w:t xml:space="preserve"> Future agricultural phosphorus demand according to the shared socioeconomic pathways — https://doi.org/10.1016/j.gloenvcha.2018.03.007</w:t>
      </w:r>
    </w:p>
    <w:p>
      <w:pPr/>
      <w:r>
        <w:rPr>
          <w:b/>
        </w:rPr>
        <w:t>Shared claim-specific concepts:</w:t>
      </w:r>
      <w:r>
        <w:t xml:space="preserve"> stark, contrast; EU scope not established. This is a provisional connection, not an outcome finding.</w:t>
      </w:r>
    </w:p>
    <w:p>
      <w:pPr>
        <w:pStyle w:val="SourceNote"/>
      </w:pPr>
      <w:r>
        <w:rPr>
          <w:b/>
        </w:rPr>
        <w:t>Available abstract (not full text):</w:t>
      </w:r>
      <w:r>
        <w:t xml:space="preserve"> A spatially explicit, two-pool soil phosphorus (P) model was used to analyze cropland P dynamics and fertilizer demand based on future crop production as projected in the shared socioeconomic pathways (SSPs). The model was initialized with historical data on P inputs and uptake, which governed the soil P accumulation up to present day. In contrast to existing scenario studies, the model accounts for both soil characteristics relevant to P retention and changing land use. At the global scale, crop uptake and the fraction of the applied P fertilizer that is directly taken up by plant roots govern the P quantities present in the soil. Despite the differences in the storylines among the SSPs, the quantitative implementation results in estimates for crop production and P inputs that are quite similar, which contrasts with the stark divergence in terms of population and incomes. In addition to global fertilizer P inputs in croplands increasing from 14.5 Tg P yr−1 in 2005 to 22–27 Tg P yr−1 in 2050, this study also estimates that 4–12 Tg P yr−1 would be needed in 2050 in global intensively managed grasslands to maintain fertility. Our new model approach can pinpoint the contribution of area expansion and crop yield improvement toward the total production, whereby the latter is shown to contribute 100% to 69%, depending on the scenario.</w:t>
      </w:r>
    </w:p>
    <w:p>
      <w:pPr/>
      <w:r>
        <w:rPr>
          <w:b/>
        </w:rPr>
        <w:t>POSSIBLE 2018:</w:t>
      </w:r>
      <w:r>
        <w:t xml:space="preserve"> Mar de plástico: Masculinity, Whiteness, and Eastern European Migrants in Spanish Prime Time Television — https://doi.org/10.5070/t482041118</w:t>
      </w:r>
    </w:p>
    <w:p>
      <w:pPr/>
      <w:r>
        <w:rPr>
          <w:b/>
        </w:rPr>
        <w:t>Shared claim-specific concepts:</w:t>
      </w:r>
      <w:r>
        <w:t xml:space="preserve"> contrast, white, show; EU scope visible. This is a provisional connection, not an outcome finding.</w:t>
      </w:r>
    </w:p>
    <w:p>
      <w:pPr>
        <w:pStyle w:val="SourceNote"/>
      </w:pPr>
      <w:r>
        <w:rPr>
          <w:b/>
        </w:rPr>
        <w:t>Available abstract (not full text):</w:t>
      </w:r>
      <w:r>
        <w:t xml:space="preserve"> The following essay analyzes representations of whiteness and its imbrication with both masculinity and the construction of Eastern European migrants in the Spanish TV drama Mar de plástico (2015). The violent, white masculinity of the protagonist, Héctor Aguirre, frames him as a protector of the weak and victimized, and the type of man needed to resolve the many problems plaguing Spanish society. By contrast, the whiteness of Eastern European migrants is portrayed as insidious and threatening to the safety and social structure of the community. Both of these engagements with whiteness stem from feelings of uncertainty and anger in broader Spanish society with entrenched economic and class hierarchies, as well a reaction to changing demographics and new influxes of immigrants. The innovative aspects of the show: a desire to create a well-produced, cinematic experience as well as engage with socially-relevant topics, unfortunately are only skin deep, because the narrative falls back on stereotyped portrayals of immigrants and a white, warrior-hero masculinity.</w:t>
      </w:r>
    </w:p>
    <w:p>
      <w:pPr/>
      <w:r>
        <w:rPr>
          <w:b/>
        </w:rPr>
        <w:t>POSSIBLE 2018:</w:t>
      </w:r>
      <w:r>
        <w:t xml:space="preserve"> Molecular Epidemiology and Evolution of European Bat Lyssavirus 2 — https://doi.org/10.3390/ijms19010156</w:t>
      </w:r>
    </w:p>
    <w:p>
      <w:pPr/>
      <w:r>
        <w:rPr>
          <w:b/>
        </w:rPr>
        <w:t>Shared claim-specific concepts:</w:t>
      </w:r>
      <w:r>
        <w:t xml:space="preserve"> contrast, high, reference; EU scope visible. This is a provisional connection, not an outcome finding.</w:t>
      </w:r>
    </w:p>
    <w:p>
      <w:pPr>
        <w:pStyle w:val="SourceNote"/>
      </w:pPr>
      <w:r>
        <w:rPr>
          <w:b/>
        </w:rPr>
        <w:t>Available abstract (not full text):</w:t>
      </w:r>
      <w:r>
        <w:t xml:space="preserve">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r>
        <w:rPr>
          <w:b/>
        </w:rPr>
        <w:t>POSSIBLE 2018:</w:t>
      </w:r>
      <w:r>
        <w:t xml:space="preserve"> The White Cliff-Edge of Dover — https://openalex.org/W3213111109</w:t>
      </w:r>
    </w:p>
    <w:p>
      <w:pPr/>
      <w:r>
        <w:rPr>
          <w:b/>
        </w:rPr>
        <w:t>Shared claim-specific concepts:</w:t>
      </w:r>
      <w:r>
        <w:t xml:space="preserve"> stark, contrast, white; EU scope visible. This is a provisional connection, not an outcome finding.</w:t>
      </w:r>
    </w:p>
    <w:p>
      <w:pPr>
        <w:pStyle w:val="SourceNote"/>
      </w:pPr>
      <w:r>
        <w:rPr>
          <w:b/>
        </w:rPr>
        <w:t>Available abstract (not full text):</w:t>
      </w:r>
      <w:r>
        <w:t xml:space="preserve"> Media reports suggest that Michel Barnier has confidentially informed MEPs that Brexit talks are now “frozen”[1] and preparations on the continent for a no-deal Brexit are being accelerated. This is in stark contrast to official UK government documentation, which claims that “A scenario in which the UK leaves the EU without agreement (a ‘no deal’ scenario) remains unlikely given the mutual interests of the UK and the EU in securing a negotiated outcome”[2].</w:t>
      </w:r>
    </w:p>
    <w:p>
      <w:pPr/>
      <w:r>
        <w:rPr>
          <w:b/>
        </w:rPr>
        <w:t>POSSIBLE 2016:</w:t>
      </w:r>
      <w:r>
        <w:t xml:space="preserve"> Right-Wing Extremism and Terrorism in Europe: Current Developments and Issues for the Future — https://openalex.org/W2994049625</w:t>
      </w:r>
    </w:p>
    <w:p>
      <w:pPr/>
      <w:r>
        <w:rPr>
          <w:b/>
        </w:rPr>
        <w:t>Shared claim-specific concepts:</w:t>
      </w:r>
      <w:r>
        <w:t xml:space="preserve"> stark, contrast, white, show, almost, compared; EU scope visible. This is a provisional connection, not an outcome finding.</w:t>
      </w:r>
    </w:p>
    <w:p>
      <w:pPr>
        <w:pStyle w:val="SourceNote"/>
      </w:pPr>
      <w:r>
        <w:rPr>
          <w:b/>
        </w:rPr>
        <w:t>Available abstract (not full text):</w:t>
      </w:r>
      <w:r>
        <w:t xml:space="preserve"> Europe has experienced a revival of groups, networks, and incidents in recent years, with a surge of anti-immigration and Islamophobic violence, as well as anti-government attacks and assaults on political opponents, ethnic minorities, and homosexuals. Although not as significant as in Europe, the United States has also seen an upsurge in political violence considered to be right-wing extremist in nature (for example, supremacist, neo-Nazi, racist, or anti-government sovereign citizen). For the international audience, only a few of these incidents gained broad media attention; attacks are seen mostly as isolated events when compared with other attacks, such as those by Islamist terrorists. In Germany, a terrorist group calling itself the National Socialist Underground was discovered in 2011. Despite having assassinated at least 10 people and committed 2 bombings over the course of almost 14 years, it had gone undetected. That same year, Anders Behring Breivik killed 77 people in a bomb attack in Oslo and a mass shooting in Ut0ya, Norway. In the United States, supremacist Michael Page shot and killed six people and wounded four others in an attack against a Wisconsin Sikh temple in August 2012. Only one day after Charles Kurzman had argued in the New York Times that terrorism might be the most severe security threat in the United States, Dylann Roof killed nine people in his sho</w:t>
      </w:r>
    </w:p>
    <w:p>
      <w:pPr>
        <w:pStyle w:val="Heading2"/>
      </w:pPr>
      <w:r>
        <w:t>862.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2024:</w:t>
      </w:r>
      <w:r>
        <w:t xml:space="preserve"> Characteristics and trends of marine heatwaves in the northwest European Shelf and the impacts on density stratification — https://doi.org/10.5194/sp-4-osr8-7-2024</w:t>
      </w:r>
    </w:p>
    <w:p>
      <w:pPr/>
      <w:r>
        <w:rPr>
          <w:b/>
        </w:rPr>
        <w:t>Shared claim-specific concepts:</w:t>
      </w:r>
      <w:r>
        <w:t xml:space="preserve"> marine, energy, significant, role; EU scope visible. This is a provisional connection, not an outcome finding.</w:t>
      </w:r>
    </w:p>
    <w:p>
      <w:pPr>
        <w:pStyle w:val="SourceNote"/>
      </w:pPr>
      <w:r>
        <w:rPr>
          <w:b/>
        </w:rPr>
        <w:t>Available abstract (not full text):</w:t>
      </w:r>
      <w:r>
        <w:t xml:space="preserve"> Abstract. Marine heatwaves (MHWs) are characterized by anomalous and prolonged increases in sea surface temperatures, driven by atmospheric and oceanic factors. The intensification of MHWs is an evident consequence of ongoing global climate change. The question of whether the North West European Shelf (NWES) is experiencing increased stratification in recent decades is of significant interest in understanding the impacts of these extreme events. In this study, we leverage ocean physics reanalysis data obtained from Copernicus Marine covering the temporal span from 1993 to 2023 to conduct a rigorous examination of the NWES domain. The focus centers on the assessment of potential energy anomaly (PEA) and its role in shaping stratification dynamics. Our findings reveal an increase in both the frequency and duration of MHWs in the NWES area, especially in coastal areas where the duration of MHWs is increasing the fastest, generally by more than 2 days per year over the study period. However, despite the intensified MHWs, thermal stratification in the NWES is weakening, particularly in the middle and northern North Sea. This suggests that the warming effect due to MHWs is insufficient to counteract the overall decline in thermal stratification caused by global warming. Additionally, our study highlights the significance of seawater salinity in driving the trend of density stratifica</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r>
        <w:rPr>
          <w:b/>
        </w:rPr>
        <w:t>POSSIBLE 2023:</w:t>
      </w:r>
      <w:r>
        <w:t xml:space="preserve"> Planning the Installation of Marine Renewable Energies in Portugal - a tool for decision making — https://doi.org/10.1088/1742-6596/2626/1/012074</w:t>
      </w:r>
    </w:p>
    <w:p>
      <w:pPr/>
      <w:r>
        <w:rPr>
          <w:b/>
        </w:rPr>
        <w:t>Shared claim-specific concepts:</w:t>
      </w:r>
      <w:r>
        <w:t xml:space="preserve"> marine, energy, play, role, system; EU scope visible. This is a provisional connection, not an outcome finding.</w:t>
      </w:r>
    </w:p>
    <w:p>
      <w:pPr>
        <w:pStyle w:val="SourceNote"/>
      </w:pPr>
      <w:r>
        <w:rPr>
          <w:b/>
        </w:rPr>
        <w:t>Available abstract (not full text):</w:t>
      </w:r>
      <w:r>
        <w:t xml:space="preserve">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pPr/>
      <w:r>
        <w:rPr>
          <w:b/>
        </w:rPr>
        <w:t>POSSIBLE 2023:</w:t>
      </w:r>
      <w:r>
        <w:t xml:space="preserve"> The role of the marine research infrastructures in the European marine observation landscape: present and future perspectives — https://doi.org/10.3389/fmars.2023.1047251</w:t>
      </w:r>
    </w:p>
    <w:p>
      <w:pPr/>
      <w:r>
        <w:rPr>
          <w:b/>
        </w:rPr>
        <w:t>Shared claim-specific concepts:</w:t>
      </w:r>
      <w:r>
        <w:t xml:space="preserve"> marine, play, significant, role, long-term, system; EU scope visible. This is a provisional connection, not an outcome finding.</w:t>
      </w:r>
    </w:p>
    <w:p>
      <w:pPr>
        <w:pStyle w:val="SourceNote"/>
      </w:pPr>
      <w:r>
        <w:rPr>
          <w:b/>
        </w:rPr>
        <w:t>Available abstract (not full text):</w:t>
      </w:r>
      <w:r>
        <w:t xml:space="preserve"> The ocean regulates the exchange, storage of carbon dioxide, plays a key role in global control of Earth climate and life, absorbs most of the heat excess from greenhouse gas emissions and provides a remarkable number of resources for the human being. Most of the geo-hazards occur in oceanic areas. Thus, high-quality systematic observations are necessary tools for improving our understanding, and subsequent assimilation to provide early warning systems. A holistic scientific approach for the understanding of the ocean’s interrelated processes requires coordinated and complementary monitoring and observation programmes. Research Infrastructures (RIs) are large-scale facilities that provide resources and services for the scientific communities to conduct high-level research and foster innovation. RIs benefit from strong governance and multi-annual funding from their member states with operational life spans in decades. RIs promote knowledge, outreach and education to public, private, and policy stakeholders, and they play a key role in enabling and developing research in all scientific domains and currently represent a growing share of coordinated investment in research, and also in providing essential observations to operational services such as Copernicus. They are strategically important for Europe to lead a global movement towards a data-driven, interconnected, open digital t</w:t>
      </w:r>
    </w:p>
    <w:p>
      <w:pPr/>
      <w:r>
        <w:rPr>
          <w:b/>
        </w:rPr>
        <w:t>POSSIBLE 2022:</w:t>
      </w:r>
      <w:r>
        <w:t xml:space="preserve"> Economic feasibility of marine renewable energy: Review — https://doi.org/10.3389/fmars.2022.988513</w:t>
      </w:r>
    </w:p>
    <w:p>
      <w:pPr/>
      <w:r>
        <w:rPr>
          <w:b/>
        </w:rPr>
        <w:t>Shared claim-specific concepts:</w:t>
      </w:r>
      <w:r>
        <w:t xml:space="preserve"> marine, energy, technology, different; EU scope visible. This is a provisional connection, not an outcome finding.</w:t>
      </w:r>
    </w:p>
    <w:p>
      <w:pPr>
        <w:pStyle w:val="SourceNote"/>
      </w:pPr>
      <w:r>
        <w:rPr>
          <w:b/>
        </w:rPr>
        <w:t>Available abstract (not full text):</w:t>
      </w:r>
      <w:r>
        <w:t xml:space="preserve"> This paper aims to comprehensively review the economic feasibility of Marine Renewable Energy. Five major continents are at different development stages of implementing MREs commercialization; Europe is in the most advanced, while Africa is at the initial stage. The Levelized Cost of Energy is usually used to make decisions and measure the plant’s economic feasibility. Literature suggests that MRE technology is still costly, and many emerging countries are sensitive to the income and use of MRE. Among various types of MREs, wind energy is the most feasible for many countries. Offshore wave energy is still at the pre-commercialization stage for many developing countries. Tidal energy plants can be economically viable depending on a reduction in investment cost and high capacity factors. Most of the world’s tidal flows have too low a speed to operate a turbine of commercial size for ocean thermal energy. In conclusion, the factors hindering MRE development are pointed out, and future challenges are discussed.</w:t>
      </w:r>
    </w:p>
    <w:p>
      <w:pPr/>
      <w:r>
        <w:rPr>
          <w:b/>
        </w:rPr>
        <w:t>POSSIBLE 2022:</w:t>
      </w:r>
      <w:r>
        <w:t xml:space="preserve"> State of Play in Marine Soundscape Assessments — https://doi.org/10.3389/fmars.2022.919418</w:t>
      </w:r>
    </w:p>
    <w:p>
      <w:pPr/>
      <w:r>
        <w:rPr>
          <w:b/>
        </w:rPr>
        <w:t>Shared claim-specific concepts:</w:t>
      </w:r>
      <w:r>
        <w:t xml:space="preserve"> marine, play, technology; EU scope not established. This is a provisional connection, not an outcome finding.</w:t>
      </w:r>
    </w:p>
    <w:p>
      <w:pPr>
        <w:pStyle w:val="SourceNote"/>
      </w:pPr>
      <w:r>
        <w:rPr>
          <w:b/>
        </w:rPr>
        <w:t>Available abstract (not full text):</w:t>
      </w:r>
      <w:r>
        <w:t xml:space="preserve"> A soundscape is the recording of all sounds present in an area, creating a holistic view of the acoustic profile in an ecosystem. Studying acoustic parameters of marine soundscapes as a whole has been shown to give an indication of the health status of the location, as well as correlate to which species may be present and using the area. With the rapid innovation of technology, especially data storage and declining cost of equipment, marine soundscape research is fast increasing, and these previous limitations have been switched for computing capacity for data analysis. Here, we perform a systematic assessment of literature of marine soundscape studies, from 1978, when the first soundscape study was reported, until 2021. We identified 200 primary research studies that recorded soundscapes and captured their geographical location, depth, habitat, duration of the study, and number of sites in each study. Using this data, we summarize the state of play in marine soundscapes studies, and identify knowledge gaps in the spatial coverage, depth profiles, habitat representation and study duration. Spatially, studies are biased towards the northern hemisphere. They are also more prevalent in more easily accessible ecosystems, in order from most to least studied, in coastal (38%), pelagic (20%), tropical coral reef (17%), rocky reef (7%), polar (5.5%), seagrass meadows, oyster reef and k</w:t>
      </w:r>
    </w:p>
    <w:p>
      <w:pPr/>
      <w:r>
        <w:rPr>
          <w:b/>
        </w:rPr>
        <w:t>POSSIBLE 2022:</w:t>
      </w:r>
      <w:r>
        <w:t xml:space="preserve"> Marine Integrated Energy Microgrids — https://doi.org/10.1109/rest54687.2022.10022621</w:t>
      </w:r>
    </w:p>
    <w:p>
      <w:pPr/>
      <w:r>
        <w:rPr>
          <w:b/>
        </w:rPr>
        <w:t>Shared claim-specific concepts:</w:t>
      </w:r>
      <w:r>
        <w:t xml:space="preserve"> marine, energy, role, system, efficiency; EU scope not established. This is a provisional connection, not an outcome finding.</w:t>
      </w:r>
    </w:p>
    <w:p>
      <w:pPr>
        <w:pStyle w:val="SourceNote"/>
      </w:pPr>
      <w:r>
        <w:rPr>
          <w:b/>
        </w:rPr>
        <w:t>Available abstract (not full text):</w:t>
      </w:r>
      <w:r>
        <w:t xml:space="preserve"> Marine sector decarbonization is another important battlefield for meeting the goal of climate action and ensuring the fulfillment of ambitions for a zero-emission society. Driven immediately by the policy incentives such as Energy Efficiency Design Index (EEDI) from International Maritime Organization(IMO), carbon taxation and labeling, a series of innovations centered around marine transportation are emerging from both industry and academia. As an efficient energy system form, the microgrid is playing an increasingly important role as the system constitution form for various marine energy systems. With specific concern about multi-energy integrations, the conventional definition of the microgrid needs also to be extended for an integrated energy system. In this paper, we will first introduce the extended concept of the microgrid as an integrated energy system and its applications in the marine sector, and then present the state of the art for the control, operation, and system integration for it and its clusters. The challenges and opportunities for marine integrated energy microgrids will also be discussed to shed light on future research.</w:t>
      </w:r>
    </w:p>
    <w:p>
      <w:pPr/>
      <w:r>
        <w:rPr>
          <w:b/>
        </w:rPr>
        <w:t>POSSIBLE 2022:</w:t>
      </w:r>
      <w:r>
        <w:t xml:space="preserve"> Social and Ecological Impacts of Marine Energy Development in Malaysia — https://doi.org/10.26666/rmp.jesr.2022.5.4</w:t>
      </w:r>
    </w:p>
    <w:p>
      <w:pPr/>
      <w:r>
        <w:rPr>
          <w:b/>
        </w:rPr>
        <w:t>Shared claim-specific concepts:</w:t>
      </w:r>
      <w:r>
        <w:t xml:space="preserve"> marine, energy; EU scope not established. This is a provisional connection, not an outcome finding.</w:t>
      </w:r>
    </w:p>
    <w:p>
      <w:pPr>
        <w:pStyle w:val="SourceNote"/>
      </w:pPr>
      <w:r>
        <w:rPr>
          <w:b/>
        </w:rPr>
        <w:t>Available abstract (not full text):</w:t>
      </w:r>
      <w:r>
        <w:t xml:space="preserve"> The excessive usage of fossil fuels in Malaysia is increasing yearly to meet the increasing domestic demands. However, this will impact the environment as fossil fuels will emit hazardous gases into the atmosphere. The development of marine energy in Malaysia is still in early periods compared with China, the U.K, and America. Notably, the impact of marine energy extraction on shallow water regions is not yet fully understood, such as the changes in the topography, the effect on marine life, and the cost of development and maintenance for tidal stream energy. This paper is focused on the social and ecological impact of potential marine energy development in Malaysia. Significantly, this study relies on published data to analyse and identify potential sites for harnessing tidal stream energy. Numerical calculation shows that the coastal region receives higher available energy compared to the deep sea. Three sites are found to be the best location for tidal energy exploration in Malaysia, namely Pangkor Island, Port Klang, and the Malacca coastline. From these three sites, the available energy per year for Pangkor Island is 193.668 MWh, while for Port Klang and Malacca coastline are at 241.66 MWh, and 433 MWh respectively. Apart from the economical aspect, the social aspect of tidal energy exploration is also examined. The purpose of the Renewable Energy Act 2011 and Electricity </w:t>
      </w:r>
    </w:p>
    <w:p>
      <w:pPr/>
      <w:r>
        <w:rPr>
          <w:b/>
        </w:rPr>
        <w:t>POSSIBLE 2022:</w:t>
      </w:r>
      <w:r>
        <w:t xml:space="preserve"> A Review of AC and DC Collection Grids for Offshore Renewable Energy with a Qualitative Evaluation for Marine Energy Resources — https://doi.org/10.3390/en15165816</w:t>
      </w:r>
    </w:p>
    <w:p>
      <w:pPr/>
      <w:r>
        <w:rPr>
          <w:b/>
        </w:rPr>
        <w:t>Shared claim-specific concepts:</w:t>
      </w:r>
      <w:r>
        <w:t xml:space="preserve"> marine, energy, system, resources, different; EU scope not established. This is a provisional connection, not an outcome finding.</w:t>
      </w:r>
    </w:p>
    <w:p>
      <w:pPr>
        <w:pStyle w:val="SourceNote"/>
      </w:pPr>
      <w:r>
        <w:rPr>
          <w:b/>
        </w:rPr>
        <w:t>Available abstract (not full text):</w:t>
      </w:r>
      <w:r>
        <w:t xml:space="preserve"> Marine energy resources could be crucial in meeting the increased demand for clean electricity. To enable the use of marine energy resources, developing efficient and durable offshore electrical systems is vital. Currently, there are no large-scale commercial projects with marine energy resources, and the question of how to design such electrical systems is still not settled. A natural starting point in investigating this is to draw on experiences and research from offshore wind power. This article reviews different collection grid topologies and key components for AC and DC grid structures. The review covers aspects such as the type of components, operation and estimated costs of commercially available components. A DC collection grid can be especially suitable for offshore marine energy resources, since the transmission losses are expected to be lower, and the electrical components could possibly be made smaller. Therefore, five DC collection grid topologies are proposed and qualitatively evaluated for marine energy resources using submerged and non-submerged marine energy converters. The properties, advantages and disadvantages of the proposed topologies are discussed, and it is concluded that a suitable electrical system for a marine energy farm will most surely be based on a site-specific techno-economic analysis.</w:t>
      </w:r>
    </w:p>
    <w:p>
      <w:pPr>
        <w:pStyle w:val="Heading2"/>
      </w:pPr>
      <w:r>
        <w:t>863.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2024:</w:t>
      </w:r>
      <w:r>
        <w:t xml:space="preserve"> Evaluating a research methodology workshop among postgraduate students using Kirkpatrick’s model — https://doi.org/10.4103/jehp.jehp_1026_23</w:t>
      </w:r>
    </w:p>
    <w:p>
      <w:pPr/>
      <w:r>
        <w:rPr>
          <w:b/>
        </w:rPr>
        <w:t>Shared claim-specific concepts:</w:t>
      </w:r>
      <w:r>
        <w:t xml:space="preserve"> workshop, methodology, used; EU scope not established. This is a provisional connection, not an outcome finding.</w:t>
      </w:r>
    </w:p>
    <w:p>
      <w:pPr>
        <w:pStyle w:val="SourceNote"/>
      </w:pPr>
      <w:r>
        <w:rPr>
          <w:b/>
        </w:rPr>
        <w:t>Available abstract (not full text):</w:t>
      </w:r>
      <w:r>
        <w:t xml:space="preserve"> BACKGROUND: In this era of evidence-based medicine, only systematic research can help in providing judicious and precise healthcare to individual patients based on updated knowledge and skills. However, many medical professionals do not feel competent and confident enough to conduct research. One of the reasons could be the lack of a research-based curriculum in undergraduate courses. The National Medical Council has also stressed the need for formal training in research methodology for healthcare professionals. The research methodology workshops help to familiarize the participants with basic, clinical, and translational research required to impart optimum patient care. The objective of our study was to evaluate a research methodology workshop conducted for postgraduate students by assessing the participant’s knowledge, feedback, and expected impact using Kirkpatrick’s evaluation model. MATERIALS AND METHODS: A quasi-experimental, single-group study was conducted among 132 first-year postgraduate students. The four levels of Kirkpatrick’s model were applied for evaluation. Feedback forms, scores of the pretest and posttest, quality of the research proposal drafted by the postgraduates for their thesis, and finally successful submission of the research proposal were the components used to evaluate the four levels of outcome of Kirkpatrick’s model. STATISTICAL ANALYSIS: Data col</w:t>
      </w:r>
    </w:p>
    <w:p>
      <w:pPr/>
      <w:r>
        <w:rPr>
          <w:b/>
        </w:rPr>
        <w:t>POSSIBLE 2023:</w:t>
      </w:r>
      <w:r>
        <w:t xml:space="preserve"> Chemistry Workshop in Brazilian High School using the Three Pedagogical Moments Methodology — https://doi.org/10.14571/brajets.v16.n1.59-70</w:t>
      </w:r>
    </w:p>
    <w:p>
      <w:pPr/>
      <w:r>
        <w:rPr>
          <w:b/>
        </w:rPr>
        <w:t>Shared claim-specific concepts:</w:t>
      </w:r>
      <w:r>
        <w:t xml:space="preserve"> workshop, methodology, showed; EU scope not established. This is a provisional connection, not an outcome finding.</w:t>
      </w:r>
    </w:p>
    <w:p>
      <w:pPr>
        <w:pStyle w:val="SourceNote"/>
      </w:pPr>
      <w:r>
        <w:rPr>
          <w:b/>
        </w:rPr>
        <w:t>Available abstract (not full text):</w:t>
      </w:r>
      <w:r>
        <w:t xml:space="preserve"> This paper deals with the importance of educational methodologies which enable linear and propaedeutic education to be eliminated, while problematization and dialogicity are stimulated. It describes a study that focuses on the evaluation of Three Pedagogical Moments (3 PMs) with planned and implemented activities in the workshop "Coarse salt bath and the study of solutions", which was carried out with high school students in chemistry classes. Workshops are developed and carried out as the result of a partnership between a university and a high school in Pelotas, a city located in southern Brazil. The production of the empirical material was based on students’ responses to a questionnaire and notes in a field diary performed by the team. Results of the content analysis showed the learning potential offered by the thematic workshop related with daily lives and chemistry teaching to students and it was observed as differentiated and alternative methodology from traditional classroom classes. Due to obtained results in the activities developed at thematic chemistry workshop organized and based in the 3 PMs, the Project have continued with the elaboration and development of other workshops that are available on the project website.</w:t>
      </w:r>
    </w:p>
    <w:p>
      <w:pPr/>
      <w:r>
        <w:rPr>
          <w:b/>
        </w:rPr>
        <w:t>POSSIBLE 2022:</w:t>
      </w:r>
      <w:r>
        <w:t xml:space="preserve"> Use of New Approach Methodologies (NAMs) in regulatory decisions for chemical safety: Report from an EPAA Deep Dive Workshop — https://doi.org/10.1016/j.yrtph.2022.105261</w:t>
      </w:r>
    </w:p>
    <w:p>
      <w:pPr/>
      <w:r>
        <w:rPr>
          <w:b/>
        </w:rPr>
        <w:t>Shared claim-specific concepts:</w:t>
      </w:r>
      <w:r>
        <w:t xml:space="preserve"> workshop, used, method; EU scope visible. This is a provisional connection, not an outcome finding.</w:t>
      </w:r>
    </w:p>
    <w:p>
      <w:pPr>
        <w:pStyle w:val="SourceNote"/>
      </w:pPr>
      <w:r>
        <w:rPr>
          <w:b/>
        </w:rPr>
        <w:t>Available abstract (not full text):</w:t>
      </w:r>
      <w:r>
        <w:t xml:space="preserve"> New Approach Methodologies (NAMs) are considered to include any in vitro, in silico or chemistry-based method, as well as the strategies to implement them, that may provide information that could inform chemical safety assessment. Current chemical legislation in the European Union is limited in its acceptance of the widespread use of NAMs. The European Partnership for Alternative Approaches to Animal Testing (EPAA) therefore convened a 'Deep Dive Workshop' to explore the use of NAMs in chemical safety assessment, the aim of which was to support regulatory decisions, whilst intending to protect human health. The workshop recognised that NAMs are currently used in many industrial sectors, with some considered as fit for regulatory purpose. Moreover, the workshop identified key discussion points that can be addressed to increase the use and regulatory acceptance of NAMs. These are based on the changes needed in frameworks for regulatory requirements and the essential needs in education, training and greater stakeholder engagement as well the gaps in the scientific basis of NAMs.</w:t>
      </w:r>
    </w:p>
    <w:p>
      <w:pPr/>
      <w:r>
        <w:rPr>
          <w:b/>
        </w:rPr>
        <w:t>POSSIBLE 2021:</w:t>
      </w:r>
      <w:r>
        <w:t xml:space="preserve"> A 2021 Online Workshop for the Review of Two Modules on Methodology for Using English as a Medium of Instruction in Rwanda: Opportunities and Challenges — https://doi.org/10.33422/ejte.v3i4.554</w:t>
      </w:r>
    </w:p>
    <w:p>
      <w:pPr/>
      <w:r>
        <w:rPr>
          <w:b/>
        </w:rPr>
        <w:t>Shared claim-specific concepts:</w:t>
      </w:r>
      <w:r>
        <w:t xml:space="preserve"> workshop, methodology, used, showed; EU scope not established. This is a provisional connection, not an outcome finding.</w:t>
      </w:r>
    </w:p>
    <w:p>
      <w:pPr>
        <w:pStyle w:val="SourceNote"/>
      </w:pPr>
      <w:r>
        <w:rPr>
          <w:b/>
        </w:rPr>
        <w:t>Available abstract (not full text):</w:t>
      </w:r>
      <w:r>
        <w:t xml:space="preserve"> Since the outbreak of the COVID-19 pandemic in Wuhan in China and its rapid spread around the globe, people’s life and work styles have changed. Governments have installed and implemented lockdowns, social distancing, and stay home preventive measures that have forced most people to work from their homes. Research units and higher learning institutions were not spared as well. International conferences that were to take place in 2020 were turned into virtual presentations and until recently nothing has changed. To handle the crisis, the University of Rwanda also thought of transforming its work ethos. In this regard a two-phase online workshop was held in January and February 2021 to review two modules produced during a face-to face workshop in October 2021. These were modules on methodologies to help pre-primary, primary and lower secondary school teachers to effectively deliver their subject content through English, the medium of instruction, and promote learners’ proficiency in this language. As this online review was the first virtual workshop experience of the kind for most participants, the researchers decided to investigate the opportunities it offered them and the challenges faced. Theories on online work and of quantitative and qualitative research paradigms were used. The research tools were a questionnaire and observations. Graphs were utilised and emerging themes gr</w:t>
      </w:r>
    </w:p>
    <w:p>
      <w:pPr/>
      <w:r>
        <w:rPr>
          <w:b/>
        </w:rPr>
        <w:t>POSSIBLE 2021:</w:t>
      </w:r>
      <w:r>
        <w:t xml:space="preserve"> Workshop methodology design: Innovation-oriented participatory processes for sustainability — https://doi.org/10.1016/j.annals.2021.103251</w:t>
      </w:r>
    </w:p>
    <w:p>
      <w:pPr/>
      <w:r>
        <w:rPr>
          <w:b/>
        </w:rPr>
        <w:t>Shared claim-specific concepts:</w:t>
      </w:r>
      <w:r>
        <w:t xml:space="preserve"> workshop, methodology, used, structures; EU scope not established. This is a provisional connection, not an outcome finding.</w:t>
      </w:r>
    </w:p>
    <w:p>
      <w:pPr>
        <w:pStyle w:val="SourceNote"/>
      </w:pPr>
      <w:r>
        <w:rPr>
          <w:b/>
        </w:rPr>
        <w:t>Available abstract (not full text):</w:t>
      </w:r>
      <w:r>
        <w:t xml:space="preserve"> Workshop methodologies based on overarching knowledge structures are necessary for a shift of the tourism sector towards sustainability. We adopted a participatory action research approach and designed a workshop methodology based on the main tenets and tools of the theory of change, design thinking, and sustainable business models. We tested this methodology within a project initiated by a destination management organisation to promote innovation during the covid-19 crisis and used the results to identify improvements and recommendations for future applications. Although further tests are needed, the study proved that the developed methodology has great potential for promoting the systemic change, creativity, collaboration, empathy, and empowerment that are necessary for a sustainability shift.</w:t>
      </w:r>
    </w:p>
    <w:p>
      <w:pPr/>
      <w:r>
        <w:rPr>
          <w:b/>
        </w:rPr>
        <w:t>POSSIBLE 2020:</w:t>
      </w:r>
      <w:r>
        <w:t xml:space="preserve"> Reflection of Using Buddhist Cognitive Process Activities in the Workshop of Research Methodology Course — https://openalex.org/W3093503066</w:t>
      </w:r>
    </w:p>
    <w:p>
      <w:pPr/>
      <w:r>
        <w:rPr>
          <w:b/>
        </w:rPr>
        <w:t>Shared claim-specific concepts:</w:t>
      </w:r>
      <w:r>
        <w:t xml:space="preserve"> workshop, methodology, used, showed, cognitive; EU scope not established. This is a provisional connection, not an outcome finding.</w:t>
      </w:r>
    </w:p>
    <w:p>
      <w:pPr>
        <w:pStyle w:val="SourceNote"/>
      </w:pPr>
      <w:r>
        <w:rPr>
          <w:b/>
        </w:rPr>
        <w:t>Available abstract (not full text):</w:t>
      </w:r>
      <w:r>
        <w:t xml:space="preserve"> The purpose of this research was to study reflection of using Buddhist cognitive process activities in the workshop of research methodology course. Classroom action research and qualitative research were used. The target group was graduate students in psychology of life and death program, Faculty of Humanities, Mahachulalongkornrajavidyalaya University. Research tools were observation form and questionnaires. Qualitative data from 18 key informants was analyzed by using content analysis and analytic induction. Results indicated that reflection of using Buddhist cognitive process activities in the workshop of research methodology course showed in 4 aspects consisted of; 1) Knowledge, students were knowledge about content of subject, 2) Learning Process, students have shown their interested in learning process and be happy with class activities, 3) Attitude, students have changed and showed positive attitudes on research methodology. They have shown inspiration to create their theses, 4) Skills and Experience, students practiced their skills on data collection, data analysis, and data presentation for research. They also reflected that Buddhist cognitive process activities in the workshop of research methodology can improve students in learning happily, inspirited and practiced skills of research. Therefore, these activities within the workshop were appropriate for applying furth</w:t>
      </w:r>
    </w:p>
    <w:p>
      <w:pPr>
        <w:pStyle w:val="Heading2"/>
      </w:pPr>
      <w:r>
        <w:t>864.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foresight, system, expert, strategic, perspective;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2025:</w:t>
      </w:r>
      <w:r>
        <w:t xml:space="preserve"> AI in Strategic Foresight — https://doi.org/10.1787/aa573076-en</w:t>
      </w:r>
    </w:p>
    <w:p>
      <w:pPr/>
      <w:r>
        <w:rPr>
          <w:b/>
        </w:rPr>
        <w:t>Shared claim-specific concepts:</w:t>
      </w:r>
      <w:r>
        <w:t xml:space="preserve"> foresight, strategic, society; EU scope not established. This is a provisional connection, not an outcome finding.</w:t>
      </w:r>
    </w:p>
    <w:p>
      <w:pPr>
        <w:pStyle w:val="SourceNote"/>
      </w:pPr>
      <w:r>
        <w:rPr>
          <w:b/>
        </w:rPr>
        <w:t>Available abstract (not full text):</w:t>
      </w:r>
      <w:r>
        <w:t xml:space="preserve"> AI in Strategic Foresight: Reshaping Anticipatory Governance examines how artificial intelligence is moving from experimentation to practical application in the field of strategic foresight. Developed jointly by the OECD and the World Economic Forum, the publication draws on a global survey of 167 practitioners across government, business, academia and civil society to capture a field in rapid transition.The findings show that most foresight professionals are already using AI to scan for signals of change, analyse large datasets and support scenario development, with many reporting significant time savings and expanded analytical capacity. A smaller but growing group is also experimenting with AI as a creative or analytical partner in systems mapping and scenario design.Yet the report also underscores persistent challenges: concerns about reliability, transparency and bias; gaps in technical skills; and uneven access to tools, particularly in the public sector where data security constraints and unclear guidelines can limit adoption. These issues raise important questions about how to ensure AI strengthens rather than distorts foresight practice.</w:t>
      </w:r>
    </w:p>
    <w:p>
      <w:pPr/>
      <w:r>
        <w:rPr>
          <w:b/>
        </w:rPr>
        <w:t>POSSIBLE 2025:</w:t>
      </w:r>
      <w:r>
        <w:t xml:space="preserve"> SOCIO-ECONOMIC PREREQUISITES FOR DECENTRALIZATION OF STRATEGIC MANAGEMENT IN THE RESTAURANT BUSINESS: THE ROLE OF PERSONAL BRAND AND FORESIGHT — https://doi.org/10.32782/business-navigator.83-54</w:t>
      </w:r>
    </w:p>
    <w:p>
      <w:pPr/>
      <w:r>
        <w:rPr>
          <w:b/>
        </w:rPr>
        <w:t>Shared claim-specific concepts:</w:t>
      </w:r>
      <w:r>
        <w:t xml:space="preserve"> foresight, system, strategic, directions; EU scope not established. This is a provisional connection, not an outcome finding.</w:t>
      </w:r>
    </w:p>
    <w:p>
      <w:pPr>
        <w:pStyle w:val="SourceNote"/>
      </w:pPr>
      <w:r>
        <w:rPr>
          <w:b/>
        </w:rPr>
        <w:t>Available abstract (not full text):</w:t>
      </w:r>
      <w:r>
        <w:t xml:space="preserve"> The article touches upon the issue the socio-economic prerequisites for the decentralization of strategic management in the restaurant business in the context of modern economic transformation and increasing instability of the external environment. It is determined that the decentralization of management is a key factor in increasing the adaptability, innovation and social responsibility of HoReCa enterprises. Special attention is paid to determining the role of the restaurant brand as a communicative and strategic tool that reflects the values of the organization, forms consumer trust and transmits social meanings, turning the brand into an element of cultural capital. It is proven that branding in a decentralized management system goes beyond the marketing function and becomes an integrating factor in building a sustainable development strategy. The methodological basis of the study is the foresight approach, which allows you to predict possible scenarios for the development of the restaurant business and adapt management decisions to rapid environmental changes. Within the framework of the foresight analysis, the main decentralized management practices (holacracy, turquoise organization, agile, lean management) were identified, the analysis of the “gray rhinos” of the restaurant industry – foreseeable, but often ignored risks, as well as an extended analysis of the external </w:t>
      </w:r>
    </w:p>
    <w:p>
      <w:pPr/>
      <w:r>
        <w:rPr>
          <w:b/>
        </w:rPr>
        <w:t>POSSIBLE 2025:</w:t>
      </w:r>
      <w:r>
        <w:t xml:space="preserve"> Expert Foresight on AI-Driven Disinformation — https://doi.org/10.22151/politikon.61.con8</w:t>
      </w:r>
    </w:p>
    <w:p>
      <w:pPr/>
      <w:r>
        <w:rPr>
          <w:b/>
        </w:rPr>
        <w:t>Shared claim-specific concepts:</w:t>
      </w:r>
      <w:r>
        <w:t xml:space="preserve"> foresight, expert, innovative; EU scope not established. This is a provisional connection, not an outcome finding.</w:t>
      </w:r>
    </w:p>
    <w:p>
      <w:pPr>
        <w:pStyle w:val="SourceNote"/>
      </w:pPr>
      <w:r>
        <w:rPr>
          <w:b/>
        </w:rPr>
        <w:t>Available abstract (not full text):</w:t>
      </w:r>
      <w:r>
        <w:t xml:space="preserve"> The 2024 “super election year” demonstrated both the promise and risks of artificial intelligence (AI) in democratic processes. Innovative uses, such as AI-powered fact-checking and voter engagement tools, contrasted with harmful applications including deepfakes. Although the overall impact of deepfakes and other AI-generated disinformation was lower than anticipated, experts predict a substantial rise in AI-powered disinformation in the short term, particularly through synthetic media and foreign influence operations. Evidence of AI-enabled manipulation highlights the need for effective regulation and strengthened oversight to safeguard information integrity in a rapidly changing information ecosystem.</w:t>
      </w:r>
    </w:p>
    <w:p>
      <w:pPr/>
      <w:r>
        <w:rPr>
          <w:b/>
        </w:rPr>
        <w:t>POSSIBLE 2024:</w:t>
      </w:r>
      <w:r>
        <w:t xml:space="preserve"> Innovations and inspirations of EU strategic foresight methods — https://doi.org/10.3724/j.issn.1671-4342.20240107</w:t>
      </w:r>
    </w:p>
    <w:p>
      <w:pPr/>
      <w:r>
        <w:rPr>
          <w:b/>
        </w:rPr>
        <w:t>Shared claim-specific concepts:</w:t>
      </w:r>
      <w:r>
        <w:t xml:space="preserve"> foresight, system, strategic, directions, innovative, technological; EU scope visible. This is a provisional connection, not an outcome finding.</w:t>
      </w:r>
    </w:p>
    <w:p>
      <w:pPr>
        <w:pStyle w:val="SourceNote"/>
      </w:pPr>
      <w:r>
        <w:rPr>
          <w:b/>
        </w:rPr>
        <w:t>Available abstract (not full text):</w:t>
      </w:r>
      <w:r>
        <w:t xml:space="preserve"> In the face of complex and diversified future scenarios, strategic foresight has become a powerful tool to support decision-making. Through in-depth study of EU strategic foresight research results, this paper summarizes the EU's innovative practices in strategic foresight, and elaborates in detail on the strategic foresight methodology system of the EU, with horizon scan, megatrends hub, and scenario exploration system as its backbone tools, as well as its optimization design in specific methods and processes. Combined with the future-oriented development trend of strategic research methodology and the EU's innovative practice in strategic foresight methodology, furthermore, it provides a summary of the development characteristics and advantages of the EU's strategic foresight research methodology trends and directions, with a goal of providing inspiration for China's scientific and technological strategic research, policy research tools and methodological.</w:t>
      </w:r>
    </w:p>
    <w:p>
      <w:pPr/>
      <w:r>
        <w:rPr>
          <w:b/>
        </w:rPr>
        <w:t>POSSIBLE 2024:</w:t>
      </w:r>
      <w:r>
        <w:t xml:space="preserve"> Technology Foresight for Better Healthcare — https://doi.org/10.1201/9781032632223-2</w:t>
      </w:r>
    </w:p>
    <w:p>
      <w:pPr/>
      <w:r>
        <w:rPr>
          <w:b/>
        </w:rPr>
        <w:t>Shared claim-specific concepts:</w:t>
      </w:r>
      <w:r>
        <w:t xml:space="preserve"> foresight, expert, evaluation, strategic, technological; EU scope not established. This is a provisional connection, not an outcome finding.</w:t>
      </w:r>
    </w:p>
    <w:p>
      <w:pPr>
        <w:pStyle w:val="SourceNote"/>
      </w:pPr>
      <w:r>
        <w:rPr>
          <w:b/>
        </w:rPr>
        <w:t>Available abstract (not full text):</w:t>
      </w:r>
      <w:r>
        <w:t xml:space="preserve"> Technology foresight is a systematic approach to anticipate and explore future technological developments, their potential impacts, and how they can drive progress and innovation in fields like healthcare. Its goal is to identify emerging trends, predict their trajectory, and inform strategic decision-making for better preparation to leverage advancements. In healthcare, foresight plays a critical role in shaping medical practices, patient care, and healthcare systems. Foresight techniques were examined, and a roadmap was developed for researchers and managers interested in the subject. The first section provides general information about technology foresight and explains key methods, by comparing them. Collaborative efforts among stakeholders are essential for successful foresight. The second section highlights the relationship between healthcare and foresight, summarizing previous studies. The third section explains the stages of the Delphi method, a structured way to gather expert opinions. A sample Delphi application related to healthcare will be included. The model developed in this section will serve as a roadmap for the practitioner. In the appendix of this section, sample Delphi statements related to healthcare technologies will be given. In Section 2.5 , expert evaluation (panel) and focus group work methods will be examined. In this section, the development process of</w:t>
      </w:r>
    </w:p>
    <w:p>
      <w:pPr/>
      <w:r>
        <w:rPr>
          <w:b/>
        </w:rPr>
        <w:t>POSSIBLE 2024:</w:t>
      </w:r>
      <w:r>
        <w:t xml:space="preserve"> FORESIGHT AS AN INNOVATIVE TOOL FOR PLANNING AND IMPLEMENTING SCIENTIFIC TECHNOLOGIES IN THE DEFENCE INDUSTRY — https://doi.org/10.46972/2076-1546.2024.26.08</w:t>
      </w:r>
    </w:p>
    <w:p>
      <w:pPr/>
      <w:r>
        <w:rPr>
          <w:b/>
        </w:rPr>
        <w:t>Shared claim-specific concepts:</w:t>
      </w:r>
      <w:r>
        <w:t xml:space="preserve"> foresight, system, directions, innovative, economy, long-term; EU scope not established. This is a provisional connection, not an outcome finding.</w:t>
      </w:r>
    </w:p>
    <w:p>
      <w:pPr>
        <w:pStyle w:val="SourceNote"/>
      </w:pPr>
      <w:r>
        <w:rPr>
          <w:b/>
        </w:rPr>
        <w:t>Available abstract (not full text):</w:t>
      </w:r>
      <w:r>
        <w:t xml:space="preserve"> Various methods and approaches are used for innovative development of enterprises, among which Foresight has proven to be more effective. It is a method of long-term forecasting, a way of building a balanced, coherent and responsible image of the future, a tool for predicting phenomena of a social, technical and mental nature. Foresight is a process of selecting new directions, which establishes links between elements by combining different opinions of the national innovation system actors. Foresight is used to develop long-term strategies for the development of the economy, science, and technology aimed at increasing competitiveness and maximizing the effect of the defense industry. The foresight differs from well-known planning tools in that its purpose is not only to prepare an analytical forecast of the most problematic areas of development of enterprises of the defense-industrial complex, but also to seek to unite the efforts of participants engaged in the process of change, to create conditions for them to anticipate events. Foresight is based on the technology of the work of a large number of experts who directly convey their views, knowledge and assumptions. Experts can be scientific communities, scientific and scientific-pedagogical employees of educational institutions, representatives of authorities and public organizations, large enterprises, communal institutions, </w:t>
      </w:r>
    </w:p>
    <w:p>
      <w:pPr/>
      <w:r>
        <w:rPr>
          <w:b/>
        </w:rPr>
        <w:t>POSSIBLE 2023:</w:t>
      </w:r>
      <w:r>
        <w:t xml:space="preserve"> Foresight (prevision) of development of the tourist system in Ukraine — https://doi.org/10.21511/ppm.21(4).2023.52</w:t>
      </w:r>
    </w:p>
    <w:p>
      <w:pPr/>
      <w:r>
        <w:rPr>
          <w:b/>
        </w:rPr>
        <w:t>Shared claim-specific concepts:</w:t>
      </w:r>
      <w:r>
        <w:t xml:space="preserve"> foresight, system, strategic, directions, economy; EU scope not established. This is a provisional connection, not an outcome finding.</w:t>
      </w:r>
    </w:p>
    <w:p>
      <w:pPr>
        <w:pStyle w:val="SourceNote"/>
      </w:pPr>
      <w:r>
        <w:rPr>
          <w:b/>
        </w:rPr>
        <w:t>Available abstract (not full text):</w:t>
      </w:r>
      <w:r>
        <w:t xml:space="preserve"> Considering the war in Ukraine, it will be necessary to restore the tourism system. The use of foresight as a means of predicting the future will ensure the formation of conditions for its development. The study aims to assess the functioning of the tourism system in Ukraine under martial law and to develop foresight scenarios for its development. The analysis of the main economic indicators of tourism and hotel entities during the war period indicates potential opportunities (a stable or growing trend). The volume of tax revenues to the state budget in 2023 increased by 15.6%. 2023 hotels’ KPIs (RevPAR, ADR, Occupancy) for the main destinations compared to the same period in 2022 increased by 206.0%, 66.0%, and 44.0%, respectively. The study scans the horizon within which the factors affecting the development of the tourism system are determined and assesses the levels of their potential impact and probability of occurrence. The BANI method is used to identify possible α- and β-scenarios of development, and the matrix method is used to interpret the strategic development directions. Industry factors are combined into four groups: development trends, the state of the market, technologies, innovations, and professional competence of staff. Thus, α- (optimistic) and β- (pessimistic) development scenarios future states in the tourism development. A prognostic vision of the future </w:t>
      </w:r>
    </w:p>
    <w:p>
      <w:pPr/>
      <w:r>
        <w:rPr>
          <w:b/>
        </w:rPr>
        <w:t>POSSIBLE 2023:</w:t>
      </w:r>
      <w:r>
        <w:t xml:space="preserve"> Foresight as a tool for implementing the directions of new industrialization — https://doi.org/10.26425/1816-4277-2023-2-48-56</w:t>
      </w:r>
    </w:p>
    <w:p>
      <w:pPr/>
      <w:r>
        <w:rPr>
          <w:b/>
        </w:rPr>
        <w:t>Shared claim-specific concepts:</w:t>
      </w:r>
      <w:r>
        <w:t xml:space="preserve"> foresight, directions, innovative; EU scope not established. This is a provisional connection, not an outcome finding.</w:t>
      </w:r>
    </w:p>
    <w:p>
      <w:pPr>
        <w:pStyle w:val="SourceNote"/>
      </w:pPr>
      <w:r>
        <w:rPr>
          <w:b/>
        </w:rPr>
        <w:t>Available abstract (not full text):</w:t>
      </w:r>
      <w:r>
        <w:t xml:space="preserve"> The subjectof the study is the process of reindustrialization in the old industrial region, where the main development resources are preserved, but the activity level of innovative processes is insufficient. The purposeof the study is the possibility of applying foresight methods in the implementation of neoindustrialization projects in the region. The methodologyincludes a monographic study of the industrialization processes dynamics, a comparative analysis of procedures for changing the structure of industrial production, and a foresight conducting methodology. The main resultof the study is the substantiation of the choice of the most effective method of applying foresight, as well as the construction of a reindustrialization roadmap on the example of the Voronezh region. The application of these results is possible in other territorial entities (region, municipal unit) involved in the implementation of foresight projects for the development of industry. Prospects:research development - creation of a model methodology for the use of foresights in the implementation of large-scale complex projects at the regional level. Conclusions:the use of foresight in determining the prospects for the revival of the high-tech industry will help to increase the efficiency of decisions to attract resources to the development of priority benchmark, industrial production.</w:t>
      </w:r>
    </w:p>
    <w:p>
      <w:pPr/>
      <w:r>
        <w:rPr>
          <w:b/>
        </w:rPr>
        <w:t>POSSIBLE 2022:</w:t>
      </w:r>
      <w:r>
        <w:t xml:space="preserve"> Education as a System: The Content of the Foresight Methodology — https://doi.org/10.25205/2541-7517-2022-20-2-68-78</w:t>
      </w:r>
    </w:p>
    <w:p>
      <w:pPr/>
      <w:r>
        <w:rPr>
          <w:b/>
        </w:rPr>
        <w:t>Shared claim-specific concepts:</w:t>
      </w:r>
      <w:r>
        <w:t xml:space="preserve"> foresight, system, society; EU scope not established. This is a provisional connection, not an outcome finding.</w:t>
      </w:r>
    </w:p>
    <w:p>
      <w:pPr>
        <w:pStyle w:val="SourceNote"/>
      </w:pPr>
      <w:r>
        <w:rPr>
          <w:b/>
        </w:rPr>
        <w:t>Available abstract (not full text):</w:t>
      </w:r>
      <w:r>
        <w:t xml:space="preserve"> The article reveals the substantive aspects of the Foresight methodology of social forecasting of the devel­opment of the education system as a complex, dynamic, open system from the point of view of a systematic approach. It is assumed that the education system is a central social institution, which, being associated with the transmission of knowledge, has to, in order to form a holistic personality of human beings, also support its own systemic complexity, as well as correspond to the complexity of the entire structure of society. The paper emphasizes some substantive difficulties in the work of experts in the framework of Foresight studies, as well as the need to take into account the value aspect when predicting the education of the future.</w:t>
      </w:r>
    </w:p>
    <w:p>
      <w:pPr>
        <w:pStyle w:val="Heading2"/>
      </w:pPr>
      <w:r>
        <w:t>865.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2023:</w:t>
      </w:r>
      <w:r>
        <w:t xml:space="preserve"> Popular Radicalism and the Unemployed in Chicago during the Great Depression — https://doi.org/10.31219/osf.io/bj25h</w:t>
      </w:r>
    </w:p>
    <w:p>
      <w:pPr/>
      <w:r>
        <w:rPr>
          <w:b/>
        </w:rPr>
        <w:t>Shared claim-specific concepts:</w:t>
      </w:r>
      <w:r>
        <w:t xml:space="preserve"> unemployed, millions, people; EU scope not established. This is a provisional connection, not an outcome finding.</w:t>
      </w:r>
    </w:p>
    <w:p>
      <w:pPr>
        <w:pStyle w:val="SourceNote"/>
      </w:pPr>
      <w:r>
        <w:rPr>
          <w:b/>
        </w:rPr>
        <w:t>Available abstract (not full text):</w:t>
      </w:r>
      <w:r>
        <w:t xml:space="preserve"> In a time when mass joblessness and precarious employment have become issues of national concern, it is useful to reconsider the experiences of the unemployed in an earlier period of economic hardship, the Great Depression. How did they survive, and how did they fight against inhumane government policies? Americans are often thought to be a very conservative and individualistic people, but the collective struggles of the supposedly "meek" and "atomized" unemployed in the 1930s belie that stereotype. Focusing on the bellwether city of Chicago, this book reevaluates those struggles, revealing the kernel of political radicalism and class resistance in practices that are usually thought of as apolitical and un-ideological. From communal sharing to "eviction riots," from Unemployed Councils to the nationwide movement behind the remarkable Workers’ Unemployment Insurance Bill, millions of people fought to end the reign of capitalist values and usher in a new, more socialistic society. While they failed in their maximal goal of abolishing economic insecurity and the disproportionate power of the rich, they did wrest an incipient welfare state from the ruling class. Today, their legacy is their resilience, their resourcefulness, and their proof that the unemployed can organize themselves to renew the struggle for a more just world.</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2021:</w:t>
      </w:r>
      <w:r>
        <w:t xml:space="preserve"> Initial Upper Palaeolithic humans in Europe had recent Neanderthal ancestry — https://doi.org/10.1038/s41586-021-03335-3</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Abstract Modern humans appeared in Europe by at least 45,000 years ago1–5, but the extent of their interactions with Neanderthals, who disappeared by about 40,000 years ago6, and their relationship to the broader expansion of modern humans outside Africa are poorly understood. Here we present genome-wide data from three individuals dated to between 45,930 and 42,580 years ago from Bacho Kiro Cave, Bulgaria1,2. They are the earliest Late Pleistocene modern humans known to have been recovered in Europe so far, and were found in association with an Initial Upper Palaeolithic artefact assemblage. Unlike two previously studied individuals of similar ages from Romania7 and Siberia8 who did not contribute detectably to later populations, these individuals are more closely related to present-day and ancient populations in East Asia and the Americas than to later west Eurasian populations. This indicates that they belonged to a modern human migration into Europe that was not previously known from the genetic record, and provides evidence that there was at least some continuity between the earliest modern humans in Europe and later people in Eurasia. Moreover, we find that all three individuals had Neanderthal ancestors a few generations back in their family history, confirming that the first European modern humans mixed with Neanderthals and suggesting that such mixing could have been c</w:t>
      </w:r>
    </w:p>
    <w:p>
      <w:pPr/>
      <w:r>
        <w:rPr>
          <w:b/>
        </w:rPr>
        <w:t>POSSIBLE 2021:</w:t>
      </w:r>
      <w:r>
        <w:t xml:space="preserve"> Vocational training for unemployed youth in Latvia — https://doi.org/10.1007/s00148-021-00877-8</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We analyze the effectiveness of a vocational training (VT) programme targeting unemployed youth in Latvia, contributing to the scant literature on active labour market policies in transition countries. The programme we analyse is part of the Youth Guarantee scheme (2014-2020), the largest action launched by the European Union to combat youth unemployment after the 2008 financial crisis. Although the programme was targeted to youths aged between 15 and 29, priority was given to those younger than 25 years of age. We exploit this eligibility rule in a fuzzy regression discontinuity design framework to estimate the impact of VT participation on the probability of being employed and gross monthly labour income at given dates after the training. Using rich administrative data, we find that the age priority rule increased programme participation for the youngest group by about 10 percentage points. However, participation in the programme did not lead to statistically significant positive effects in labour market outcomes. We argue that this result could be due to some specific characteristics of the programme, namely the voucher system (potentially inducing lock-in effects) and the type of training (classroom instead of on-the-job training). Moreover, the programme was targeted at ex-ante low-employable individuals (e.g. without vocational qualifications), a fact that is confirmed by</w:t>
      </w:r>
    </w:p>
    <w:p>
      <w:pPr/>
      <w:r>
        <w:rPr>
          <w:b/>
        </w:rPr>
        <w:t>POSSIBLE 2021:</w:t>
      </w:r>
      <w:r>
        <w:t xml:space="preserve"> The inclusion of transversal competences in the training programs for unemployed of Bahía De Cádiz — https://doi.org/10.53596/jta.v26i1.344</w:t>
      </w:r>
    </w:p>
    <w:p>
      <w:pPr/>
      <w:r>
        <w:rPr>
          <w:b/>
        </w:rPr>
        <w:t>Shared claim-specific concepts:</w:t>
      </w:r>
      <w:r>
        <w:t xml:space="preserve"> number, unemployed, spain, decrease, people; EU scope visible. This is a provisional connection, not an outcome finding.</w:t>
      </w:r>
    </w:p>
    <w:p>
      <w:pPr>
        <w:pStyle w:val="SourceNote"/>
      </w:pPr>
      <w:r>
        <w:rPr>
          <w:b/>
        </w:rPr>
        <w:t>Available abstract (not full text):</w:t>
      </w:r>
      <w:r>
        <w:t xml:space="preserve"> Purpose The economic crisis of 2008 has caused a significant increase in the number of unemployed in Spain and a decrease in investments in active training policies. In this context, it is even more necessary to demand improvements in the degree of efficiency of the training programs aimed at unemployed people. Design/methodology/approach This paper presents the opinions of a group of experts in labor intermediation on the need to include transversal competences in the training contents of employment courses aimed at the tourism sector to improve the degree of employment of the unemployed. Findings All the experts consulted have indicated the need to enrich the subjects of the training courses by incorporating workshops that favor the implementation of certain transversal competences such as team work, management in stress situations, problem-solving, willingness to learn, self-initiative, verbal communication and mastery of social networks. Research limitations/implications The main limitations are given by the small number of experts in the field. However, their long career and participation in employment programs make their opinions valuable. Practical implications The main practical implication is in the fact that the proposed suggestions about modifications in the contents of the training courses for employment in the tourism sector are perfectly applicable, and according </w:t>
      </w:r>
    </w:p>
    <w:p>
      <w:pPr/>
      <w:r>
        <w:rPr>
          <w:b/>
        </w:rPr>
        <w:t>POSSIBLE 2020:</w:t>
      </w:r>
      <w:r>
        <w:t xml:space="preserve"> Bitten or struck by dog: A rising number of fatalities in Europe, 1995–2016 — https://doi.org/10.1016/j.forsciint.2020.110592</w:t>
      </w:r>
    </w:p>
    <w:p>
      <w:pPr/>
      <w:r>
        <w:rPr>
          <w:b/>
        </w:rPr>
        <w:t>Shared claim-specific concepts:</w:t>
      </w:r>
      <w:r>
        <w:t xml:space="preserve"> number, people, between; EU scope visible. This is a provisional connection, not an outcome finding.</w:t>
      </w:r>
    </w:p>
    <w:p>
      <w:pPr>
        <w:pStyle w:val="SourceNote"/>
      </w:pPr>
      <w:r>
        <w:rPr>
          <w:b/>
        </w:rPr>
        <w:t>Available abstract (not full text):</w:t>
      </w:r>
      <w:r>
        <w:t xml:space="preserve"> We analyzed fatal dog attacks in Europe 1995-2016 using official death cause data from Eurostat. The data comprised the number of fatalities assigned The International Statistical Classification of Diseases and Related Health Problems, Tenth Revision (ICD-10) code W54 "bitten or struck by dog", which includes deaths due to direct attacks but which excludes many complications following dog bites, such as rabies. In 2016, dogs killed 45 Europeans, which translates to an incidence of 0.009 per 100,000 inhabitants. This is comparable to estimates from the USA (0.011), and Canada (0.007), but higher than Australia (0.004). The number of European fatalities due to dog attacks increased significantly at a rate of several percent per year. This increase could not be explained by increases in the human or the dog populations. By taking all fatalities reported 1995-2016 into account, we investigated the effects of age, gender and geography. First, children, including infants, were common victims, but also middle-aged and the elderly, while people between ages 10 and 39 were rarely killed by dogs. Second, boys and men were overrepresented, but only in certain age groups and in certain parts of Europe. Third, there were large national and regional differences, both in the effects of gender and in incidences, which ranged from 0 to 0.045 per 100,000 inhabitants. This study of dog-related fa</w:t>
      </w:r>
    </w:p>
    <w:p>
      <w:pPr/>
      <w:r>
        <w:rPr>
          <w:b/>
        </w:rPr>
        <w:t>POSSIBLE 2019:</w:t>
      </w:r>
      <w:r>
        <w:t xml:space="preserve"> EVALUATION OF EUROPEAN SOCIAL FUND SUPPORT FOR THE EDUCATION OF THE UNEMPLOYED IN LATVIA — https://doi.org/10.17770/iss2018.4255</w:t>
      </w:r>
    </w:p>
    <w:p>
      <w:pPr/>
      <w:r>
        <w:rPr>
          <w:b/>
        </w:rPr>
        <w:t>Shared claim-specific concepts:</w:t>
      </w:r>
      <w:r>
        <w:t xml:space="preserve"> recent, number, unemployed, people; EU scope visible. This is a provisional connection, not an outcome finding.</w:t>
      </w:r>
    </w:p>
    <w:p>
      <w:pPr>
        <w:pStyle w:val="SourceNote"/>
      </w:pPr>
      <w:r>
        <w:rPr>
          <w:b/>
        </w:rPr>
        <w:t>Available abstract (not full text):</w:t>
      </w:r>
      <w:r>
        <w:t xml:space="preserve"> The unemployment rate in Latvia was continuing to decline in recent years, but it is still high, especially in the regions. In order to improve the existing skills and to master new skills of the unemployed, the European Social Fund's investments are used. The author of the paper is studying the support provided by the European Social Fund to the unemployed for raising their qualifications, which could help them to return to the labour market. The research aim is to investigate the active employment opportunities for unemployed people to take part and how it affects the return of the unemployed to the labour market. The result of the research study shows that the number of training programmes is large and varied. However, it has been concluded that improvements are needed in the implementation of the European Social Fund's co-funding in order to reduce the risk of its misuse.</w:t>
      </w:r>
    </w:p>
    <w:p>
      <w:pPr/>
      <w:r>
        <w:rPr>
          <w:b/>
        </w:rPr>
        <w:t>POSSIBLE 2019:</w:t>
      </w:r>
      <w:r>
        <w:t xml:space="preserve"> Inclusion of Unemployed People at Social Risk and Private Training Markets in Ireland, Portugal, and Spain — https://doi.org/10.1007/978-3-319-94532-3_108</w:t>
      </w:r>
    </w:p>
    <w:p>
      <w:pPr/>
      <w:r>
        <w:rPr>
          <w:b/>
        </w:rPr>
        <w:t>Shared claim-specific concepts:</w:t>
      </w:r>
      <w:r>
        <w:t xml:space="preserve"> unemployed, spain, people; EU scope visible. This is a provisional connection, not an outcome finding.</w:t>
      </w:r>
    </w:p>
    <w:p>
      <w:pPr>
        <w:pStyle w:val="SourceNote"/>
      </w:pPr>
      <w:r>
        <w:rPr>
          <w:b/>
        </w:rPr>
        <w:t>Available abstract (not full text):</w:t>
      </w:r>
      <w:r>
        <w:t xml:space="preserve"> Unavailable</w:t>
      </w:r>
    </w:p>
    <w:p>
      <w:pPr/>
      <w:r>
        <w:rPr>
          <w:b/>
        </w:rPr>
        <w:t>POSSIBLE 2019:</w:t>
      </w:r>
      <w:r>
        <w:t xml:space="preserve"> Vocational interventions for the unemployed — https://openalex.org/W3005403362</w:t>
      </w:r>
    </w:p>
    <w:p>
      <w:pPr/>
      <w:r>
        <w:rPr>
          <w:b/>
        </w:rPr>
        <w:t>Shared claim-specific concepts:</w:t>
      </w:r>
      <w:r>
        <w:t xml:space="preserve"> unemployed, four, people; EU scope not established. This is a provisional connection, not an outcome finding.</w:t>
      </w:r>
    </w:p>
    <w:p>
      <w:pPr>
        <w:pStyle w:val="SourceNote"/>
      </w:pPr>
      <w:r>
        <w:rPr>
          <w:b/>
        </w:rPr>
        <w:t>Available abstract (not full text):</w:t>
      </w:r>
      <w:r>
        <w:t xml:space="preserve"> The project will consist of four articles. The objective of the first article is to give an overview of interventions that are currently implemented to assist unemployed people in Orange Farm and the Emfuleni district (South Africa). Relevant documents will be collected and analysed to explore interventions that are aimed at alleviating unemployment, the effectiveness thereof, as well as possible gaps and opportunities for developing new interventions. The second article will consist of a systematic literature review of international and local best practices, challenges and possible gaps when developing, implementing and evaluating interventions from a psychological perspective. The aim will be to determine what intervention design will be most appropriate within the unemployment context. Findings will form the basis for the fourth article. The purpose of the third article is to determine whether interventions currently implemented by an existing initiative (Harambee Youth Employment Accelerator programme, an unemployment initiative located in Johannesburg) are effective. The effectiveness of this programme will be determined by evaluating the impact of the implemented interventions on participants' experience of unemployment (longitudinal design). Finally, the main objective of the fourth article is to develop an intervention, based on previous findings on intervention develop</w:t>
      </w:r>
    </w:p>
    <w:p>
      <w:pPr/>
      <w:r>
        <w:rPr>
          <w:b/>
        </w:rPr>
        <w:t>POSSIBLE 2019:</w:t>
      </w:r>
      <w:r>
        <w:t xml:space="preserve"> The inclusion of transversal competences in the training programs for unemployed of Bahía De Cádiz — https://doi.org/10.1108/jta-04-2018-0013</w:t>
      </w:r>
    </w:p>
    <w:p>
      <w:pPr/>
      <w:r>
        <w:rPr>
          <w:b/>
        </w:rPr>
        <w:t>Shared claim-specific concepts:</w:t>
      </w:r>
      <w:r>
        <w:t xml:space="preserve"> number, unemployed, spain, decrease, people; EU scope visible. This is a provisional connection, not an outcome finding.</w:t>
      </w:r>
    </w:p>
    <w:p>
      <w:pPr>
        <w:pStyle w:val="SourceNote"/>
      </w:pPr>
      <w:r>
        <w:rPr>
          <w:b/>
        </w:rPr>
        <w:t>Available abstract (not full text):</w:t>
      </w:r>
      <w:r>
        <w:t xml:space="preserve"> Purpose The economic crisis of 2008 has caused a significant increase in the number of unemployed in Spain and a decrease in investments in active training policies. In this context, it is even more necessary to demand improvements in the degree of efficiency of the training programs aimed at unemployed people. Design/methodology/approach This paper presents the opinions of a group of experts in labor intermediation on the need to include transversal competences in the training contents of employment courses aimed at the tourism sector to improve the degree of employment of the unemployed. Findings All the experts consulted have indicated the need to enrich the subjects of the training courses by incorporating workshops that favor the implementation of certain transversal competences such as team work, management in stress situations, problem-solving, willingness to learn, self-initiative, verbal communication and mastery of social networks. Research limitations/implications The main limitations are given by the small number of experts in the field. However, their long career and participation in employment programs make their opinions valuable. Practical implications The main practical implication is in the fact that the proposed suggestions about modifications in the contents of the training courses for employment in the tourism sector are perfectly applicable, and according </w:t>
      </w:r>
    </w:p>
    <w:p>
      <w:pPr>
        <w:pStyle w:val="Heading2"/>
      </w:pPr>
      <w:r>
        <w:t>866.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Comorbid physical health burden of serious mental health disorders in 32 European countries — https://doi.org/10.1136/bmjment-2024-301021</w:t>
      </w:r>
    </w:p>
    <w:p>
      <w:pPr/>
      <w:r>
        <w:rPr>
          <w:b/>
        </w:rPr>
        <w:t>Shared claim-specific concepts:</w:t>
      </w:r>
      <w:r>
        <w:t xml:space="preserve"> integrated, health, population, fractions; EU scope visible. This is a provisional connection, not an outcome finding.</w:t>
      </w:r>
    </w:p>
    <w:p>
      <w:pPr>
        <w:pStyle w:val="SourceNote"/>
      </w:pPr>
      <w:r>
        <w:rPr>
          <w:b/>
        </w:rPr>
        <w:t>Available abstract (not full text):</w:t>
      </w:r>
      <w:r>
        <w:t xml:space="preserve"> BACKGROUND: Mental health disorders (MHDs) are associated with physical health disparities, but underlying excess risk and health burden have not yet been comprehensively assessed. OBJECTIVE: To assess the burden of comorbid physical health conditions (PHCs) across serious MHDs in Europe. METHODS: We estimated the relative prevalence risk of PHCs associated with alcohol use disorders (AUD), bipolar disorder (BD), depressive disorders (DD) and schizophrenia (SZ) across working-age populations of 32 European countries in 2019 based on a targeted literature review. Excess physical health burden was modelled using population-attributable fractions and country-level prevalence data. FINDINGS: We screened 10 960 studies, of which 41 were deemed eligible, with a total sample size of over 18 million persons. Relative prevalence of PHCs was reported in 54%, 20%, 15%, 5% and 7% of studies, respectively, for SZ, DD, BD, AUD or mixed. Significant relative risk estimates ranged from 1.44 to 3.66 for BD, from 1.43 to 2.21 for DD, from 0.81 to 1.97 for SZ and 3.31 for AUD. Excess physical health burden ranged between 27% and 67% of the total, corresponding to 84 million (AUD), 67 million (BD), 66 million (DD) and 5 million (SZ) PHC diagnoses in Europe. A 1% reduction in excess risk assuming causal inference could result in two million fewer PHCs across investigated MHDs. CONCLUSIONS: This is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integrated, health, population, attributable, fractions, mortality;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health, assessment, mortality, due, heat, cold;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r>
        <w:rPr>
          <w:b/>
        </w:rPr>
        <w:t>POSSIBLE 2023:</w:t>
      </w:r>
      <w:r>
        <w:t xml:space="preserve"> Integrated assessment modelling of degrowth scenarios for Australia — https://doi.org/10.1080/09535314.2023.2245544</w:t>
      </w:r>
    </w:p>
    <w:p>
      <w:pPr/>
      <w:r>
        <w:rPr>
          <w:b/>
        </w:rPr>
        <w:t>Shared claim-specific concepts:</w:t>
      </w:r>
      <w:r>
        <w:t xml:space="preserve"> integrated, assessment, climate; EU scope not established. This is a provisional connection, not an outcome finding.</w:t>
      </w:r>
    </w:p>
    <w:p>
      <w:pPr>
        <w:pStyle w:val="SourceNote"/>
      </w:pPr>
      <w:r>
        <w:rPr>
          <w:b/>
        </w:rPr>
        <w:t>Available abstract (not full text):</w:t>
      </w:r>
      <w:r>
        <w:t xml:space="preserve"> Empirical evidence increasingly indicates that to achieve sufficiently rapid decarbonisation, high-income economies may need to adopt degrowth policies, scaling down less-necessary forms of production and demand, in addition to rapid deployment of renewables. Calls have been made for degrowth climate mitigation scenarios. However, so far these have not been modelled within the established Integrated Assessment Models (IAMs) for future scenario analysis of the energy-economy-emission nexus, partly because the architecture of these IAMs has growth ‘baked in’. In this work, we modify one of the common IAMs – MESSAGEix – to make it compatible with degrowth scenarios. We simulate scenarios featuring low and negative growth in a high-income economy (Australia). We achieve this by detaching MESSAGEix from its monotonically growing utility function, and by formulating an alternative utility function based on non-monotonic preferences. The outcomes from such modified scenarios reflect some characteristics of degrowth futures, including reduced aggregate production and declining energy and emissions. However, further work is needed to explore other key degrowth features such as sectoral differentiation, redistribution, and provisioning system transformation.</w:t>
      </w:r>
    </w:p>
    <w:p>
      <w:pPr/>
      <w:r>
        <w:rPr>
          <w:b/>
        </w:rPr>
        <w:t>POSSIBLE 2023:</w:t>
      </w:r>
      <w:r>
        <w:t xml:space="preserve"> Access and reimbursement pathways for digital health solutions and in vitro diagnostic devices: Current scenario and challenges — https://doi.org/10.3389/fmedt.2023.1101476</w:t>
      </w:r>
    </w:p>
    <w:p>
      <w:pPr/>
      <w:r>
        <w:rPr>
          <w:b/>
        </w:rPr>
        <w:t>Shared claim-specific concepts:</w:t>
      </w:r>
      <w:r>
        <w:t xml:space="preserve"> integrated, health, due, observed; EU scope visible. This is a provisional connection, not an outcome finding.</w:t>
      </w:r>
    </w:p>
    <w:p>
      <w:pPr>
        <w:pStyle w:val="SourceNote"/>
      </w:pPr>
      <w:r>
        <w:rPr>
          <w:b/>
        </w:rPr>
        <w:t>Available abstract (not full text):</w:t>
      </w:r>
      <w:r>
        <w:t xml:space="preserve"> Objectives Digital therapeutics (DTx) are innovative solutions that use meaningful data to provide evidence-based decisions for the prevention, treatment, and management of diseases. Particular attention is paid to software-based in vitro diagnostics (IVDs). With this point of view, a strong connection between DTx and IVDs is observed. Methods We investigated the current regulatory scenarios and reimbursement approaches adopted for DTx and IVDs. The initial assumption was that countries apply different regulations for the access to the market and adopt different reimbursement systems for both DTx and IVDs. The analysis was limited to the US, European countries (Germany, France, and UK), and Australia due to maturity in digital health product adoption and regulatory processes, and recent regulations related to IVDs. The final aim was to provide a general comparative overview and identify those aspects that should be better addressed to support the adoption and commercialization of DTx and IVDs. Results Many countries regulate DTx as medical devices or software integrated with a medical device, and some have a more specific pathway than others. Australia has more specific regulations classifying software used in IVD. Some EU countries are adopting similar processes to the Digital Health Applications (DiGA) under Germany's Digitale-Versorgung Gesetz (DVG) law, which deems DTx elig</w:t>
      </w:r>
    </w:p>
    <w:p>
      <w:pPr/>
      <w:r>
        <w:rPr>
          <w:b/>
        </w:rPr>
        <w:t>POSSIBLE 2022:</w:t>
      </w:r>
      <w:r>
        <w:t xml:space="preserve"> The health potential of urban water: Future scenarios on local risks and opportunities — https://doi.org/10.1016/j.cities.2022.103639</w:t>
      </w:r>
    </w:p>
    <w:p>
      <w:pPr/>
      <w:r>
        <w:rPr>
          <w:b/>
        </w:rPr>
        <w:t>Shared claim-specific concepts:</w:t>
      </w:r>
      <w:r>
        <w:t xml:space="preserve"> integrated, health, impacts, explores, population, climate; EU scope visible. This is a provisional connection, not an outcome finding.</w:t>
      </w:r>
    </w:p>
    <w:p>
      <w:pPr>
        <w:pStyle w:val="SourceNote"/>
      </w:pPr>
      <w:r>
        <w:rPr>
          <w:b/>
        </w:rPr>
        <w:t>Available abstract (not full text):</w:t>
      </w:r>
      <w:r>
        <w:t xml:space="preserve"> Although cities can be characterised as sources of economic, environmental and social challenges, they can also be part of the solution for healthy and sustainable societies. While most cities are situated close to water, whether inland waterways, lakes, or the sea, these blue spaces are not integrated into urban planning to their full potential and their public health impacts are not always recognised by planning authorities. Furthermore, cities face future challenges regarding climate change, socio-economic developments like tourism, urbanization, and rising social inequalities. The development of healthy blue spaces can support cities in their pursuit of ways to confront these challenges. Interdisciplinary and transdisciplinary analyses of the local impacts of these trends and promising interventions have been scarce to date. This study explores the use of such methodology by presenting experiences related to five European cities: Amsterdam, Barcelona, Plymouth, Tallinn and Thessaloniki, using an interactive and participative approach with local experts and stakeholders. Future scenarios have been developed based on the question: How can blue spaces contribute to a healthier city population, given the long term trends? The results highlight the importance of addressing the local context when seeking sustainable solutions for cities. The future scenarios deliver information t</w:t>
      </w:r>
    </w:p>
    <w:p>
      <w:pPr/>
      <w:r>
        <w:rPr>
          <w:b/>
        </w:rPr>
        <w:t>POSSIBLE 2022:</w:t>
      </w:r>
      <w:r>
        <w:t xml:space="preserve"> The 2022 Europe report of the Lancet Countdown on health and climate change: towards a climate resilient future — https://doi.org/10.1016/s2468-2667(22)00197-9</w:t>
      </w:r>
    </w:p>
    <w:p>
      <w:pPr/>
      <w:r>
        <w:rPr>
          <w:b/>
        </w:rPr>
        <w:t>Shared claim-specific concepts:</w:t>
      </w:r>
      <w:r>
        <w:t xml:space="preserve"> health, population, mortality, climate; EU scope visible. This is a provisional connection, not an outcome finding.</w:t>
      </w:r>
    </w:p>
    <w:p>
      <w:pPr>
        <w:pStyle w:val="SourceNote"/>
      </w:pPr>
      <w:r>
        <w:rPr>
          <w:b/>
        </w:rPr>
        <w:t>Available abstract (not full text):</w:t>
      </w:r>
      <w:r>
        <w:t xml:space="preserve"> In the past few decades, major public health advances have happened in Europe, with drastic decreases in premature mortality and a life expectancy increase of almost 9 years since 1980. European countries have some of the best health-care systems in the world. However, Europe is challenged with unprecedented and overlapping crises that are detrimental to human health and livelihoods and threaten adaptive capacity, including the COVID-19 pandemic, the Russian invasion of Ukraine, the fastest-growing migrant crisis since World War 2, population displacement, environmental degradation, and deepening inequalities.</w:t>
      </w:r>
    </w:p>
    <w:p>
      <w:pPr>
        <w:pStyle w:val="Heading2"/>
      </w:pPr>
      <w:r>
        <w:t>867.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2023:</w:t>
      </w:r>
      <w:r>
        <w:t xml:space="preserve"> The impact of extensive agricultural water drainage on the hydrology of the Kleine Nete watershed, Belgium — https://doi.org/10.1016/j.scitotenv.2023.163903</w:t>
      </w:r>
    </w:p>
    <w:p>
      <w:pPr/>
      <w:r>
        <w:rPr>
          <w:b/>
        </w:rPr>
        <w:t>Shared claim-specific concepts:</w:t>
      </w:r>
      <w:r>
        <w:t xml:space="preserve"> catchment, hydrology, soil, water, integrated, drainage; EU scope visible. This is a provisional connection, not an outcome finding.</w:t>
      </w:r>
    </w:p>
    <w:p>
      <w:pPr>
        <w:pStyle w:val="SourceNote"/>
      </w:pPr>
      <w:r>
        <w:rPr>
          <w:b/>
        </w:rPr>
        <w:t>Available abstract (not full text):</w:t>
      </w:r>
      <w:r>
        <w:t xml:space="preserve"> Agricultural water drainage can significantly lower groundwater levels and affect catchment hydrology. Therefore, building models with and without these features can indicate an adverse impact on the geohydrological process. Therefore, the standalone Soil Water Assessment Tool (SWAT+) model was initially developed to simulate streamflow at the Kleine Nete catchment outlet. Next, a physically based and spatially distributed groundwater module (gwflow) was integrated into the SWAT+ model and calibrated for stream discharge at the catchment outlet. Finally, the same model was calibrated for both streamflow and groundwater heads. These final model parameters are used to investigate the basin-wide hydrologic fluxes with and without including agricultural drainage systems in the model scheme. The result suggested that the standalone SWAT+ model poorly represented the stream discharge and attained low NSE values of 0.18 and 0.37 during the calibration and validation periods, respectively. Integrating the gwflow module to SWAT+ improved the model representation of stream discharge (NSE = 0.91 and 0.65 for calibration and validation periods, respectively) and groundwater heads. However, calibrating the model for only streamflow resulted in a high root mean square error (above 1 m) for groundwater head, and the seasonality is not captured. On the other hand, calibrating the coupled model</w:t>
      </w:r>
    </w:p>
    <w:p>
      <w:pPr/>
      <w:r>
        <w:rPr>
          <w:b/>
        </w:rPr>
        <w:t>POSSIBLE 2023:</w:t>
      </w:r>
      <w:r>
        <w:t xml:space="preserve"> A simple stacked ensemble machine learning model to predict naturalized catchment hydrology and allocation status — https://doi.org/10.48550/arxiv.2312.01649</w:t>
      </w:r>
    </w:p>
    <w:p>
      <w:pPr/>
      <w:r>
        <w:rPr>
          <w:b/>
        </w:rPr>
        <w:t>Shared claim-specific concepts:</w:t>
      </w:r>
      <w:r>
        <w:t xml:space="preserve"> probable, catchment, hydrology, water; EU scope not established. This is a provisional connection, not an outcome finding.</w:t>
      </w:r>
    </w:p>
    <w:p>
      <w:pPr>
        <w:pStyle w:val="SourceNote"/>
      </w:pPr>
      <w:r>
        <w:rPr>
          <w:b/>
        </w:rPr>
        <w:t>Available abstract (not full text):</w:t>
      </w:r>
      <w:r>
        <w:t xml:space="preserve"> New Zealand legislation requires that Regional Councils set limits for water resource usage to manage the effects of abstractions in over-allocated catchments. We propose a simple stacked ensemble machine learning model to predict the probable naturalized hydrology and allocation status across 317 anthropogenically stressed gauged catchments and across 18,612 ungauged river reaches in Otago. The training and testing of ensemble machine learning models provides unbiased results characterized as very good (R2 &gt; 0.8) to extremely good (R2 &gt; 0.9) when predicting naturalized mean annual low flow and Mean flow. Statistical 5-fold stacking identifies varying levels of risk for managing water-resource sustainability in over-allocated catchments; for example, at the respective 5th, 25th, 50th, 75th, and 95th percentiles the number of overallocated catchments are 73, 57, 44, 23, and 22. The proposed model can be applied to inform sustainable stream management in other regional catchments across New Zealand and worldwide.</w:t>
      </w:r>
    </w:p>
    <w:p>
      <w:pPr/>
      <w:r>
        <w:rPr>
          <w:b/>
        </w:rPr>
        <w:t>POSSIBLE 2023:</w:t>
      </w:r>
      <w:r>
        <w:t xml:space="preserve"> Recent advancements of landslide hydrology — https://doi.org/10.1002/wat2.1675</w:t>
      </w:r>
    </w:p>
    <w:p>
      <w:pPr/>
      <w:r>
        <w:rPr>
          <w:b/>
        </w:rPr>
        <w:t>Shared claim-specific concepts:</w:t>
      </w:r>
      <w:r>
        <w:t xml:space="preserve"> climate, hydrology, soil, water, drainage; EU scope not established. This is a provisional connection, not an outcome finding.</w:t>
      </w:r>
    </w:p>
    <w:p>
      <w:pPr>
        <w:pStyle w:val="SourceNote"/>
      </w:pPr>
      <w:r>
        <w:rPr>
          <w:b/>
        </w:rPr>
        <w:t>Available abstract (not full text):</w:t>
      </w:r>
      <w:r>
        <w:t xml:space="preserve"> Abstract Occurrence of rainfall‐induced landslides is increasing worldwide, owing to land use and climate changes. Although the connection between hydrology and rainfall‐induced landslides might seem obvious, hydrological processes have been only marginally considered in landslide research for decades. In 2016, an advanced review paper published in WIREs Water [Bogaard and Greco (2016), WIREs Water, 3(3), 439–459] pointed out several challenging issues for landslide hydrology research: considering large‐scale hydrological processes in the assessment of slope water balance; including antecedent hydrological information in landslide hazard assessment; understanding and quantifying the feedbacks between deformation and infiltration/drainage processes; overcoming the conceptual mismatch of soil mechanics models and hydrological models. While little progress has been made on the latter two issues, a variety of studies have been published, focusing on the role of hydrological processes in landslide initiation and prediction. The importance of the identification of the origin of water to understand the processes leading to landslide activation is largely acknowledged. Techniques and methodologies for the definition of landslide catchments and for the assessment of landslide water balance are progressing fast, often considering the hydraulic effect of vegetation. The use of hydrologica</w:t>
      </w:r>
    </w:p>
    <w:p>
      <w:pPr/>
      <w:r>
        <w:rPr>
          <w:b/>
        </w:rPr>
        <w:t>POSSIBLE 2022:</w:t>
      </w:r>
      <w:r>
        <w:t xml:space="preserve"> Mid-Holocene European climate revisited: New high-resolution regional climate model simulations using pollen-based land-cover — https://doi.org/10.1016/j.quascirev.2022.107431</w:t>
      </w:r>
    </w:p>
    <w:p>
      <w:pPr/>
      <w:r>
        <w:rPr>
          <w:b/>
        </w:rPr>
        <w:t>Shared claim-specific concepts:</w:t>
      </w:r>
      <w:r>
        <w:t xml:space="preserve"> probable, climate; EU scope visible. This is a provisional connection, not an outcome finding.</w:t>
      </w:r>
    </w:p>
    <w:p>
      <w:pPr>
        <w:pStyle w:val="SourceNote"/>
      </w:pPr>
      <w:r>
        <w:rPr>
          <w:b/>
        </w:rPr>
        <w:t>Available abstract (not full text):</w:t>
      </w:r>
      <w:r>
        <w:t xml:space="preserve"> Land-cover changes have a clear impact on local climates via biophysical effects. European land cover has been affected by human activities for at least 6000 years, but possibly longer. It is thus highly probable that humans altered climate before the industrial revolution (AD1750–1850). In this study, climate and vegetation 6000 years (6 ka) ago is investigated using one global climate model, two regional climate models, one dynamical vegetation model, pollen-based reconstruction of past vegetation cover using a model of the pollen-vegetation relationship and a statistical model for spatial interpolation of the reconstructed land cover. This approach enables us to study 6 ka climate with potential natural and reconstructed land cover, and to determine how differences in land cover impact upon simulated climate. The use of two regional climate models enables us to discuss the robustness of the results. This is the first experiment with two regional climate models of simulated palaeo-climate based on regional climate models. Different estimates of 6 ka vegetation are constructed: simulated potential vegetation and reconstructed vegetation. Potential vegetation is the natural climate-induced vegetation as simulated by a dynamical vegetation model driven by climate conditions from a climate model. Bayesian spatial model interpolated point estimates of pollen-based plant abundances</w:t>
      </w:r>
    </w:p>
    <w:p>
      <w:pPr/>
      <w:r>
        <w:rPr>
          <w:b/>
        </w:rPr>
        <w:t>POSSIBLE 2022:</w:t>
      </w:r>
      <w:r>
        <w:t xml:space="preserve"> A probabilistic climate change assessment for Europe — https://doi.org/10.1002/joc.7604</w:t>
      </w:r>
    </w:p>
    <w:p>
      <w:pPr/>
      <w:r>
        <w:rPr>
          <w:b/>
        </w:rPr>
        <w:t>Shared claim-specific concepts:</w:t>
      </w:r>
      <w:r>
        <w:t xml:space="preserve"> impacts, climate, four;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2022:</w:t>
      </w:r>
      <w:r>
        <w:t xml:space="preserve"> Impact of climate change on catchment nutrient dynamics: insights from around the world — https://doi.org/10.1139/er-2021-0109</w:t>
      </w:r>
    </w:p>
    <w:p>
      <w:pPr/>
      <w:r>
        <w:rPr>
          <w:b/>
        </w:rPr>
        <w:t>Shared claim-specific concepts:</w:t>
      </w:r>
      <w:r>
        <w:t xml:space="preserve"> impacts, climate, catchment, hydrology, water, areas; EU scope not established. This is a provisional connection, not an outcome finding.</w:t>
      </w:r>
    </w:p>
    <w:p>
      <w:pPr>
        <w:pStyle w:val="SourceNote"/>
      </w:pPr>
      <w:r>
        <w:rPr>
          <w:b/>
        </w:rPr>
        <w:t>Available abstract (not full text):</w:t>
      </w:r>
      <w:r>
        <w:t xml:space="preserve"> This study is a meta-analysis of global articles on hydrological nutrient dynamics to determine trends and consensus on: (1) the effects of climate change-induced hydrological and temperature drivers on nutrient dynamics and how these effects vary along the catchment continuum from land to river to lake; (2) the convergence of climate change impacts with other anthropogenic pressures (agriculture, urbanization) in nutrient dynamics; and (3) regional variability in the effects of climate change on nutrient dynamics and water-quality impairment across different climate zones. An innovative web crawler tool was employed to help critically synthesize the information in the literature. The literature suggests that climate change will impact nutrient dynamics around the globe and exacerbate contemporary water-quality challenges. Nutrient leaching and overland flow transport are projected to increase globally, promoted by extreme precipitation. Seasonal variations in streamflow are expected to emulate changing precipitation patterns, but the specific local impacts of climate change on hydrology and nutrient dynamics will vary both seasonally and regionally. Plant activity may reduce some of this load in nonagricultural soils if the expected increase in plant uptake of nutrients prompted by increased temperatures can compensate for greater nitrogen (N) and phosphorus (P) mineralization</w:t>
      </w:r>
    </w:p>
    <w:p>
      <w:pPr/>
      <w:r>
        <w:rPr>
          <w:b/>
        </w:rPr>
        <w:t>POSSIBLE 2022:</w:t>
      </w:r>
      <w:r>
        <w:t xml:space="preserve"> Impact of climate change on the degradation of rendered façades: Expectations for a dry and hot summer temperate climate — https://doi.org/10.1088/1755-1315/1101/2/022008</w:t>
      </w:r>
    </w:p>
    <w:p>
      <w:pPr/>
      <w:r>
        <w:rPr>
          <w:b/>
        </w:rPr>
        <w:t>Shared claim-specific concepts:</w:t>
      </w:r>
      <w:r>
        <w:t xml:space="preserve"> probable, climate, portugal; EU scope visible. This is a provisional connection, not an outcome finding.</w:t>
      </w:r>
    </w:p>
    <w:p>
      <w:pPr>
        <w:pStyle w:val="SourceNote"/>
      </w:pPr>
      <w:r>
        <w:rPr>
          <w:b/>
        </w:rPr>
        <w:t>Available abstract (not full text):</w:t>
      </w:r>
      <w:r>
        <w:t xml:space="preserve"> Abstract Climate change is accelerating and can seriously affect the built environment, if not properly acknowledged in the design and maintenance stages. Despite the globally expected warming, climate changes will differ depending on region and climate type. What implications will temperature, precipitation and wind changes have on the degradation of the building envelope, in Southern Europe? How will the performance of façade claddings be affected by the end of the century? The purpose of this research is to determine the expected impact of climate change on the degradation of rendered façades, in a dry and hot summer temperate climate. This study is based on the complex relationship between climate parameters projections for Portugal and the known effects of environmental agents on the degradation of renderings. Projections indicate the increase of mean temperature and heat waves, reduction of precipitation and wet days, intensification of rainfall in shorter periods and decrease of wind speed in most of the country. Notwithstanding the projections’ inherent uncertainty, more cracking and fewer stains are expected. Due to the cracking increase, more loss of adhesion is probable. Further research is necessary to assess the risks of intense rainfall events to rendered façades, considering the also projected precipitation decrease.</w:t>
      </w:r>
    </w:p>
    <w:p>
      <w:pPr/>
      <w:r>
        <w:rPr>
          <w:b/>
        </w:rPr>
        <w:t>POSSIBLE 2022:</w:t>
      </w:r>
      <w:r>
        <w:t xml:space="preserve"> Climate Extremes are Becoming More Frequent, Co-occurring, and Persistent in Europe — https://doi.org/10.1007/s44177-022-00022-4</w:t>
      </w:r>
    </w:p>
    <w:p>
      <w:pPr/>
      <w:r>
        <w:rPr>
          <w:b/>
        </w:rPr>
        <w:t>Shared claim-specific concepts:</w:t>
      </w:r>
      <w:r>
        <w:t xml:space="preserve"> climate, four; EU scope visible. This is a provisional connection, not an outcome finding.</w:t>
      </w:r>
    </w:p>
    <w:p>
      <w:pPr>
        <w:pStyle w:val="SourceNote"/>
      </w:pPr>
      <w:r>
        <w:rPr>
          <w:b/>
        </w:rPr>
        <w:t>Available abstract (not full text):</w:t>
      </w:r>
      <w:r>
        <w:t xml:space="preserve"> Abstract With global warming, many climate extremes are becoming more frequent, often co-occurring, or repeatedly occurring in consecutive years. However, only limited studies have investigated these changes of climate extremes together. We study these changes in Europe for the last seven decades (1950–2019) based on 39 climate indices to identify climate extreme hotspots and coldspots. These indices belong to the four climate index groups: cold, heat, drought, and precipitation. Compared to the first half of the study period (1950–1984), most of our study locations faced heat extremes that are more frequent and occurring in consecutive years in the second half (1985–2019). However, the number of cold extremes has decreased in most locations. Simultaneously, some locations, mainly the Mediterranean region, faced an increase in droughts while others, e.g., parts of Eastern Europe and Northern Europe, experienced more intense precipitation. Two or more of these cold, heat, drought, and precipitation extremes have also co-occurred in a few locations of our study area in the same year. Our study highlights that climate extremes are becoming more frequent, co-occurrent, and persistent in Europe. These changes in climate extremes are associated with climate change. Therefore, we could infer that climate change mitigation is crucial for limiting these extremes.</w:t>
      </w:r>
    </w:p>
    <w:p>
      <w:pPr/>
      <w:r>
        <w:rPr>
          <w:b/>
        </w:rPr>
        <w:t>POSSIBLE 2022:</w:t>
      </w:r>
      <w:r>
        <w:t xml:space="preserve"> Climate Change Impact on Peruvian Biomes — https://doi.org/10.3390/f13020238</w:t>
      </w:r>
    </w:p>
    <w:p>
      <w:pPr/>
      <w:r>
        <w:rPr>
          <w:b/>
        </w:rPr>
        <w:t>Shared claim-specific concepts:</w:t>
      </w:r>
      <w:r>
        <w:t xml:space="preserve"> probable, climate; EU scope not established. This is a provisional connection, not an outcome finding.</w:t>
      </w:r>
    </w:p>
    <w:p>
      <w:pPr>
        <w:pStyle w:val="SourceNote"/>
      </w:pPr>
      <w:r>
        <w:rPr>
          <w:b/>
        </w:rPr>
        <w:t>Available abstract (not full text):</w:t>
      </w:r>
      <w:r>
        <w:t xml:space="preserve"> The biodiversity present in Peru will be affected by climatic and anthropogenic changes; therefore, understanding these changes will help generate biodiversity conservation policies. This study analyzes the potential distributions of biomes (B) in Peru under the effects of climate change. The evaluation was carried out using the random forest (RF) method, six bioclimatic variables, and digital topography for the classification of current B in Peru. Subsequently, the calibrated RF model was assimilated to three downscaled regional climate models to project future B distributions for the 2035–2065 horizon. We evaluated possible changes in extension and elevation as well as most susceptible B. Our projections show that future scenarios agreed that 82% of current B coverage will remain stable. Approximately 6% of the study area will change its current conditions to conditions of higher humidity; 4.5% will maintain a stable physiognomy, but with an increase in humidity; and finally, 6% will experience a decrease in humidity but maintain its appearance. Additionally, glaciers and swamps are indicated as the most vulnerable B, with probable losses greater than 50% of their current area. These results demonstrate the need to generate public policies for the adaptation and mitigation of climate effects on B at a national scale.</w:t>
      </w:r>
    </w:p>
    <w:p>
      <w:pPr>
        <w:pStyle w:val="Heading2"/>
      </w:pPr>
      <w:r>
        <w:t>868.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2026:</w:t>
      </w:r>
      <w:r>
        <w:t xml:space="preserve"> European snow cover in the EURO-CORDEX regional climate model ensemble: model evaluation — https://doi.org/10.1007/s00382-026-08343-5</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The EURO-CORDEX initiative provides a comprehensive set of regional climate simulations for the present and future European climate. We assess how well snow cover, a crucial component of the climate system, is represented in this model ensemble. We consider output from 11 regional climate models (RCMs) at 12 km resolution, driven by ERA-Interim and 10 different general circulation models, and compare it with model- and remote-sensing-based reference data sets for the periods 1990–2008 and 1985–2008, respectively. Elevation-resolved evaluations for four mountainous regions indicate that for mean winter snow water equivalent (SWE), the reanalysis-driven RCM ensemble mean agrees well with reference data. However, model spread becomes substantial (ca. ± 50%) at the highest elevations of the regions. For the number of snow-covered days (SCD), the agreement of individual models with reference data is generally better. With GCM-forcing, simulated mean winter SWE and SCD biases are typically larger in all regions except for Scandinavia. Part of this bias can likely be attributed to an overestimation of winter precipitation in the RCM runs. The analysis also reveals that some models indicate perennial snow accumulation at much lower elevations than suggested by proxy data. This bias is likely related to inaccuracies in atmospheric forcing (aforementioned precipitation biases) a</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Urban-rural climate representation in convection-permitting regional climate model simulation in Europe — https://doi.org/10.5194/egusphere-egu25-16910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The representation of complex urban environments and their climates highlights a key advancement in present-day regional climate modeling. City climates differ from their surrounding regional climates in various ways, e.g., through increased temperatures and reduced evapotranspiration. The development of convection-permitting regional climate model (CPRCM) simulations allow us to resolve urban areas and their climatic phenomena, such as the urban heat island effect, in contrast to their rural surroundings more precisely. However, with increasing resolution, the complex terrain and characteristics of cities must be adequately represented.The EU Horizon project Impetus4Change (https://impetus4change.eu) aims to improve the quality, accessibility and usability of near-term climate information and services at local to regional scales. The project utilises dynamically downscaled regional climate models (RCMs) to produce very high-resolution (3 km) simulations for urban areas across Europe. To achieve this, we integrate the Town Energy Balance model (TEB; Masson, 2000), a single-layer urban canopy model, into the RCM REMO to simulate urban climates and urban-rural interactions under transient climate change conditions.Compared to a previously bulk urban form in REMO, TEB introduces distinctive urban features, such as an urban canyon with roofs, walls and roads. This allows for a more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regional, climate, period;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regional, climate, used, temperature;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2023:</w:t>
      </w:r>
      <w:r>
        <w:t xml:space="preserve"> Short-term temperature variability in regional climate models in Europe — https://doi.org/10.5194/egusphere-egu23-9447</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While long-term changes in mean values and extremes of temperature have been analysed from all possible points of view, changes in temperature variability have received far less attention. Trends in variability are, however, important, among others because their interaction with trends in mean values determines the degree with which extremes would change. For a reliable estimation of future changes of variability, it is therefore crucial that climate models simulate its characteristics correctly. This contribution presents the analysis of 4 short-term (i.e. intra-seasonal) variability measures of daily mean temperature in outputs of regional climate models driven by a reanalysis. The utilized measures of variability are standard deviation, the range between the 90th and 10th quantile, one-day lagged temporal autocorrelation, and mean absolute value of day-to-day change. The ability of twelve regional climate models from Euro-CORDEX initiative driven by the ERA Interim reanalysis to simulate the temperature variability characteristics was examined over Europe for all climatological seasons in the period from 1989 to 2008. The temperature variability in the RCMs was validated against the driving ERA Interim reanalysis and station data from the ECA&amp;D.</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regional, climate, used, investigate, period;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Biasadjusted Regional Climate Model Data for Europe - Temperature — https://doi.org/10.5281/zenodo.7541816</w:t>
      </w:r>
    </w:p>
    <w:p>
      <w:pPr/>
      <w:r>
        <w:rPr>
          <w:b/>
        </w:rPr>
        <w:t>Shared claim-specific concepts:</w:t>
      </w:r>
      <w:r>
        <w:t xml:space="preserve"> regional, climate, used, temperature; EU scope visible. This is a provisional connection, not an outcome finding.</w:t>
      </w:r>
    </w:p>
    <w:p>
      <w:pPr>
        <w:pStyle w:val="SourceNote"/>
      </w:pPr>
      <w:r>
        <w:rPr>
          <w:b/>
        </w:rPr>
        <w:t>Available abstract (not full text):</w:t>
      </w:r>
      <w:r>
        <w:t xml:space="preserve"> This repository contains the bias-adjusted temperature data used in the production of numbers and figures contained in our research article entitled "Climate-based identification of suitable cropping areas for giant reed and reed canary grass on marginal land in central and southern Europe under climate change". Ferdini S., von Cossel M., Wulfmeyer V., Warrach-Sagi K. (2023) Climate-based identification of suitable cropping areas for giant reed and reed canary grass on marginal land in central and southern Europe under climate change. Global Change Biology - Bioenergy.</w:t>
      </w:r>
    </w:p>
    <w:p>
      <w:pPr/>
      <w:r>
        <w:rPr>
          <w:b/>
        </w:rPr>
        <w:t>POSSIBLE 2023:</w:t>
      </w:r>
      <w:r>
        <w:t xml:space="preserve"> Biasadjusted Regional Climate Model Data for Europe - Precipitation — https://doi.org/10.5281/zenodo.7564886</w:t>
      </w:r>
    </w:p>
    <w:p>
      <w:pPr/>
      <w:r>
        <w:rPr>
          <w:b/>
        </w:rPr>
        <w:t>Shared claim-specific concepts:</w:t>
      </w:r>
      <w:r>
        <w:t xml:space="preserve"> regional, climate, used; EU scope visible. This is a provisional connection, not an outcome finding.</w:t>
      </w:r>
    </w:p>
    <w:p>
      <w:pPr>
        <w:pStyle w:val="SourceNote"/>
      </w:pPr>
      <w:r>
        <w:rPr>
          <w:b/>
        </w:rPr>
        <w:t>Available abstract (not full text):</w:t>
      </w:r>
      <w:r>
        <w:t xml:space="preserve"> This repository contains the bias-adjusted precipitation data used in the production of numbers and figures contained in our research article entitled "Climate-based identification of suitable cropping areas for giant reed and reed canary grass on marginal land in central and southern Europe under climate change". Ferdini S., von Cossel M., Wulfmeyer V., Warrach-Sagi K. (2023) Climate-based identification of suitable cropping areas for giant reed and reed canary grass on marginal land in central and southern Europe under climate change. Global Change Biology - Bioenergy.</w:t>
      </w:r>
    </w:p>
    <w:p>
      <w:pPr/>
      <w:r>
        <w:rPr>
          <w:b/>
        </w:rPr>
        <w:t>POSSIBLE 2023:</w:t>
      </w:r>
      <w:r>
        <w:t xml:space="preserve"> Comprehensive dataset assessing extreme winds over Europe in Regional Climate Models — https://doi.org/10.5194/egusphere-egu23-11670</w:t>
      </w:r>
    </w:p>
    <w:p>
      <w:pPr/>
      <w:r>
        <w:rPr>
          <w:b/>
        </w:rPr>
        <w:t>Shared claim-specific concepts:</w:t>
      </w:r>
      <w:r>
        <w:t xml:space="preserve"> regional, climate, used, period; EU scope visible. This is a provisional connection, not an outcome finding.</w:t>
      </w:r>
    </w:p>
    <w:p>
      <w:pPr>
        <w:pStyle w:val="SourceNote"/>
      </w:pPr>
      <w:r>
        <w:rPr>
          <w:b/>
        </w:rPr>
        <w:t>Available abstract (not full text):</w:t>
      </w:r>
      <w:r>
        <w:t xml:space="preserve"> Extreme events cause vast amounts of damage across Europe every year, with heavy rainfall events often causing the greatest loss of life and extreme wind events often causing the greatest financial losses. The accurate projection of the changes in extreme winds will continues to be invaluable for many industries, including insurance, construction, energy, and afforestation. Adaptation planning requires the estimation of how the magnitude and frequency of extreme events, including extreme winds, will vary in the future.Extreme winds were examined in a selection of 15 Euro-CORDEX simulations. The peaks-over-threshold approach was used identify the extreme events based on the fitted Generalized Pareto Distributions (GPD), and maps of 30-year return winds for all locations over Europe were derived. Future changes in the frequency of extreme winds were assessed for Northern, Central, and Sothern Europe for three future periods, being the near, mid, and end of this century. The results show that the frequency of extreme wind events will increase from one period to the next over the 21st century in all three regions of Europe.Recently, a new dataset has been created by extending the analysis to 52 of the Euro-CORDEX simulations, each a unique combination of global and regional model, using both the peaks-over-threshold and annual maxima methods. Since these simulations include multipl</w:t>
      </w:r>
    </w:p>
    <w:p>
      <w:pPr>
        <w:pStyle w:val="Heading2"/>
      </w:pPr>
      <w:r>
        <w:t>869.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2026:</w:t>
      </w:r>
      <w:r>
        <w:t xml:space="preserve"> Books: The Golden Rule: Lessons in Living from a Doctor of Ageing — https://doi.org/10.3399/bjgp26x746265</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Pollock Lucy, 2025. The Golden Rule: Lessons in Living from a Doctor of Ageing. PB: Penguin, 978-1405953245. 352. 10.99. ![Graphic][1] A 90-year-old woman presents with resistant hypertension, already suffering the side effects and interactions of her long list of prescribed medications. Another, following a fall while in residential care, presents with immobility, cardiovascular disease, severe heart failure, cognitive decline, and osteoarthritis. The acute medical admissions are overwhelmed by patients presenting with the dual problem of complexity and advanced age. Do we treat the patient or the condition? How do we decide what is right for the individual patient? Twenty per cent of global health care is of no benefit to the patient, with this figure rising as we age.1 The evidence base for this heterogenous group is non-existent, since the gold standard randomised controlled trial is unlikely to have included people with the interplay of such a plethora of problems. Familiar? Where do we go for guidance? I suggest we turn to the practical wisdom and experience, common sense, and deep understanding of the patient’s perspective that Lucy Pollock so skilfully explores in her latest book. ‘Plan A stay young forever, and Plan B read this book’ is boldly stated on the back cover. Given Plan A is a no go, implement Plan B, as this book comprehensively covers the need to think syst</w:t>
      </w:r>
    </w:p>
    <w:p>
      <w:pPr/>
      <w:r>
        <w:rPr>
          <w:b/>
        </w:rPr>
        <w:t>POSSIBLE 2025:</w:t>
      </w:r>
      <w:r>
        <w:t xml:space="preserve"> Democracy, Ageing, Disability — https://doi.org/10.17454/pam-2811</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In this paper, we discuss the democratic inclusion of individuals with severe cognitive disabilities and in advanced age with a severe decline of cognitive capacities. Without entering in the question whether the latter condition can be conceptually subsumed in the former, we deem that they present analogous problems from the perspectives of justice. Thus, it is helpful to discuss them together. We specifically comment on the inclusion in democratic processes of individuals that lack a high degree of cognitive capacities. The fundamental problem is present in theories of justice that require such capacities for inclusion of persons as equals in political processes. Such is the demanding deliberative democratic proposal of social contract theories, such as John Rawls’s. Worries of exclusion regard two stages of reasoning about justice. The first is the theoretical stage where decisions are made about which individuals should be included in the scope of justice. Although this stage is shaped around the hypothetical reasoning of reasonable and rational persons, there is no decisive reason to exclude individuals with severe cognitive disabilities as beneficiaries of justice. On the contrary, if commonly shared judgments require such inclusion, then this demand shapes the social contract hypothetical reasoning. There are also no decisive reasons why a deliberative democratic theory </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2023:</w:t>
      </w:r>
      <w:r>
        <w:t xml:space="preserve"> Ageing as a software design flaw — https://doi.org/10.1186/s13059-023-02888-y</w:t>
      </w:r>
    </w:p>
    <w:p>
      <w:pPr/>
      <w:r>
        <w:rPr>
          <w:b/>
        </w:rPr>
        <w:t>Shared claim-specific concepts:</w:t>
      </w:r>
      <w:r>
        <w:t xml:space="preserve"> ageing, because, age, inevitable; EU scope not established. This is a provisional connection, not an outcome finding.</w:t>
      </w:r>
    </w:p>
    <w:p>
      <w:pPr>
        <w:pStyle w:val="SourceNote"/>
      </w:pPr>
      <w:r>
        <w:rPr>
          <w:b/>
        </w:rPr>
        <w:t>Available abstract (not full text):</w:t>
      </w:r>
      <w:r>
        <w:t xml:space="preserve"> Ageing is inherent to all human beings, yet why we age remains a hotly contested topic. Most mechanistic explanations of ageing posit that ageing is caused by the accumulation of one or more forms of molecular damage. Here, I propose that we age not because of inevitable damage to the hardware but rather because of intrinsic design flaws in the software, defined as the DNA code that orchestrates how a single cell develops into an adult organism. As the developmental software runs, its sequence of events is reflected in shifting cellular epigenetic states. Overall, I suggest that to understand ageing we need to decode our software and the flow of epigenetic information throughout the life course.</w:t>
      </w:r>
    </w:p>
    <w:p>
      <w:pPr/>
      <w:r>
        <w:rPr>
          <w:b/>
        </w:rPr>
        <w:t>POSSIBLE 2023:</w:t>
      </w:r>
      <w:r>
        <w:t xml:space="preserve"> Ageing mediates the association between serum testosterone and severe abdominal aortic calcification — https://doi.org/10.21203/rs.3.rs-3788103/v1</w:t>
      </w:r>
    </w:p>
    <w:p>
      <w:pPr/>
      <w:r>
        <w:rPr>
          <w:b/>
        </w:rPr>
        <w:t>Shared claim-specific concepts:</w:t>
      </w:r>
      <w:r>
        <w:t xml:space="preserve"> ageing, severe, age; EU scope not established. This is a provisional connection, not an outcome finding.</w:t>
      </w:r>
    </w:p>
    <w:p>
      <w:pPr>
        <w:pStyle w:val="SourceNote"/>
      </w:pPr>
      <w:r>
        <w:rPr>
          <w:b/>
        </w:rPr>
        <w:t>Available abstract (not full text):</w:t>
      </w:r>
      <w:r>
        <w:t xml:space="preserve"> Abstract BackgroundAbdominal aortic calcification (AAC) is acknowledged as a significant contributor to cardiovascular morbidity and mortality. However, the association between sex steroid hormones and the AAC is not well defined. PurposeOur study aims to investigate the previously unexplored link between serum sex steroid hormone levels and severe AAC within the National Health and Nutrition Examination Survey (NHANES) cohort, potentially shedding light on innovative treatment approaches. Methods The cross-sectional study utilized data from NHANES conducted between 2013-2014. A total of 1852 participants were included in the study. The severity of AAC was determined using the AAC 24-point scale, also known as the Kauppila calcification score. The serum sex steroid hormones assessed in this study included testosterone, estradiol, and sex hormone binding globulin (SHBG). These hormones were categorized into quintiles for subsequent analysis. Weighted multiple regression analyses were employed to investigate the potential relationship between serum sex steroid hormones and the occurrence of severe AAC. Additionally, subgroup and mediation analyses were conducted to ensure the robustness and validity of the findings. ResultsFor 1852 enrolled individuals, the prevalence of severe AAC stood at 8.00%. Serum sex steroid hormones levels were stratified into quintiles. The average value</w:t>
      </w:r>
    </w:p>
    <w:p>
      <w:pPr/>
      <w:r>
        <w:rPr>
          <w:b/>
        </w:rPr>
        <w:t>POSSIBLE 2021:</w:t>
      </w:r>
      <w:r>
        <w:t xml:space="preserve"> Ageing and ocular problems — https://doi.org/10.1556/2066.2021.00042</w:t>
      </w:r>
    </w:p>
    <w:p>
      <w:pPr/>
      <w:r>
        <w:rPr>
          <w:b/>
        </w:rPr>
        <w:t>Shared claim-specific concepts:</w:t>
      </w:r>
      <w:r>
        <w:t xml:space="preserve"> ageing, problem, system; EU scope not established. This is a provisional connection, not an outcome finding.</w:t>
      </w:r>
    </w:p>
    <w:p>
      <w:pPr>
        <w:pStyle w:val="SourceNote"/>
      </w:pPr>
      <w:r>
        <w:rPr>
          <w:b/>
        </w:rPr>
        <w:t>Available abstract (not full text):</w:t>
      </w:r>
      <w:r>
        <w:t xml:space="preserve"> Abstract Ageing is a common problem in modern societies. Due to sophisticated new methods in medicine, the average life expectancy significantly increased in recent years. 70 is the new 50. The new principles of food intake and processing, more exercise, and less smoking contributed to a health benefits and a longer life span of human kind. Nevertheless, there are the special problems of ageing. Numerous dysfunctions of the body may arise affecting a broad range of organs and the musculoskeletal system. The eye can also be severely affected by ageing. Vision gained more importance recently especially during the COVID-19 pandemic. Elderly people who never used computers before, had to learn computer technology in order to communicate with their family and to accomplish their everyday tasks or pay their bills. Therefore, good near vision has become crucial for elderly people. In this review article the most common ageing problems of the eye, therapies and pathophysiology of ageing processes will be reviewed and discussed. There are physiological problems of ageing and there are ocular pathologies which can be treated efficiently in time to preserve near and far visual acuity.</w:t>
      </w:r>
    </w:p>
    <w:p>
      <w:pPr/>
      <w:r>
        <w:rPr>
          <w:b/>
        </w:rPr>
        <w:t>POSSIBLE 2021:</w:t>
      </w:r>
      <w:r>
        <w:t xml:space="preserve"> The role of the medial prefrontal cortex in cognition, ageing and dementia — https://doi.org/10.1093/braincomms/fcab125</w:t>
      </w:r>
    </w:p>
    <w:p>
      <w:pPr/>
      <w:r>
        <w:rPr>
          <w:b/>
        </w:rPr>
        <w:t>Shared claim-specific concepts:</w:t>
      </w:r>
      <w:r>
        <w:t xml:space="preserve"> ageing; EU scope not established. This is a provisional connection, not an outcome finding.</w:t>
      </w:r>
    </w:p>
    <w:p>
      <w:pPr>
        <w:pStyle w:val="SourceNote"/>
      </w:pPr>
      <w:r>
        <w:rPr>
          <w:b/>
        </w:rPr>
        <w:t>Available abstract (not full text):</w:t>
      </w:r>
      <w:r>
        <w:t xml:space="preserve"> Humans require a plethora of higher cognitive skills to perform executive functions, such as reasoning, planning, language and social interactions, which are regulated predominantly by the prefrontal cortex. The prefrontal cortex comprises the lateral, medial and orbitofrontal regions. In higher primates, the lateral prefrontal cortex is further separated into the respective dorsal and ventral subregions. However, all these regions have variably been implicated in several fronto-subcortical circuits. Dysfunction of these circuits has been highlighted in vascular and other neurocognitive disorders. Recent advances suggest the medial prefrontal cortex plays an important regulatory role in numerous cognitive functions, including attention, inhibitory control, habit formation and working, spatial or long-term memory. The medial prefrontal cortex appears highly interconnected with subcortical regions (thalamus, amygdala and hippocampus) and exerts top-down executive control over various cognitive domains and stimuli. Much of our knowledge comes from rodent models using precise lesions and electrophysiology readouts from specific medial prefrontal cortex locations. Although, anatomical disparities of the rodent medial prefrontal cortex compared to the primate homologue are apparent, current rodent models have effectively implicated the medial prefrontal cortex as a neural substrate o</w:t>
      </w:r>
    </w:p>
    <w:p>
      <w:pPr/>
      <w:r>
        <w:rPr>
          <w:b/>
        </w:rPr>
        <w:t>POSSIBLE 2020:</w:t>
      </w:r>
      <w:r>
        <w:t xml:space="preserve"> Central and Peripheral Neuromuscular Adaptations to Ageing — https://doi.org/10.3390/jcm9030741</w:t>
      </w:r>
    </w:p>
    <w:p>
      <w:pPr/>
      <w:r>
        <w:rPr>
          <w:b/>
        </w:rPr>
        <w:t>Shared claim-specific concepts:</w:t>
      </w:r>
      <w:r>
        <w:t xml:space="preserve"> ageing, severe, system; EU scope not established. This is a provisional connection, not an outcome finding.</w:t>
      </w:r>
    </w:p>
    <w:p>
      <w:pPr>
        <w:pStyle w:val="SourceNote"/>
      </w:pPr>
      <w:r>
        <w:rPr>
          <w:b/>
        </w:rPr>
        <w:t>Available abstract (not full text):</w:t>
      </w:r>
      <w:r>
        <w:t xml:space="preserve"> Ageing is accompanied by a severe muscle function decline presumably caused by structural and functional adaptations at the central and peripheral level. Although researchers have reported an extensive analysis of the alterations involving muscle intrinsic properties, only a limited number of studies have recognised the importance of the central nervous system, and its reorganisation, on neuromuscular decline. Neural changes, such as degeneration of the human cortex and function of spinal circuitry, as well as the remodelling of the neuromuscular junction and motor units, appear to play a fundamental role in muscle quality decay and culminate with considerable impairments in voluntary activation and motor performance. Modern diagnostic techniques have provided indisputable evidence of a structural and morphological rearrangement of the central nervous system during ageing. Nevertheless, there is no clear insight on how such structural reorganisation contributes to the age-related functional decline and whether it is a result of a neural malfunction or serves as a compensatory mechanism to preserve motor control and performance in the elderly population. Combining leading-edge techniques such as high-density surface electromyography (EMG) and improved diagnostic procedures such as functional magnetic resonance imaging (fMRI) or high-resolution electroencephalography (EEG) could </w:t>
      </w:r>
    </w:p>
    <w:p>
      <w:pPr/>
      <w:r>
        <w:rPr>
          <w:b/>
        </w:rPr>
        <w:t>POSSIBLE 2020:</w:t>
      </w:r>
      <w:r>
        <w:t xml:space="preserve"> Influence of NAD+ as an ageing-related immunomodulator on COVID 19 infection: A hypothesis — https://doi.org/10.1016/j.jiph.2020.06.004</w:t>
      </w:r>
    </w:p>
    <w:p>
      <w:pPr/>
      <w:r>
        <w:rPr>
          <w:b/>
        </w:rPr>
        <w:t>Shared claim-specific concepts:</w:t>
      </w:r>
      <w:r>
        <w:t xml:space="preserve"> ageing, severe, because, system; EU scope not established. This is a provisional connection, not an outcome finding.</w:t>
      </w:r>
    </w:p>
    <w:p>
      <w:pPr>
        <w:pStyle w:val="SourceNote"/>
      </w:pPr>
      <w:r>
        <w:rPr>
          <w:b/>
        </w:rPr>
        <w:t>Available abstract (not full text):</w:t>
      </w:r>
      <w:r>
        <w:t xml:space="preserve"> The aging-associated decline of biological functions represents an important contributor to the increase in morbidity and mortality of human beings. Of these biological functions deterioration; there is a significant decline in the heart function, impairments in the lungs gas exchange, and impairments in the immune function. Many alterations in the body humeral and cellular immune response were observed with ageing process: The circulating pro-inflammatory cytokines are increased, the naive lymphocytes are decreased, the numbers of the antigen-presenting cells areelevated and the overall response is impaired. In addition, ageing is associated with a progressive restriction in the telomere length. Telomeres are located at chromosomes ends and play an essential role in preserving chromosome stability. Also, telomere length is very important to the immune system, because of the high sensitivity of the immune cells to the shortening of telomeres. Telomeres shortening adversely affect the immune cells' function and developments. These adverse changes increased the susceptibility for severe infection, risk of hospitalization, and even death. Elderly COVID-19 patients are at a real risk of complications due to impaired immune function, cytokine storm and defective respiratory function. Administration of anti-ageing immunomodulation factors like Nicotinamide Adenine Dinucleotide NAD+ c</w:t>
      </w:r>
    </w:p>
    <w:p>
      <w:pPr/>
      <w:r>
        <w:rPr>
          <w:b/>
        </w:rPr>
        <w:t>POSSIBLE 2019:</w:t>
      </w:r>
      <w:r>
        <w:t xml:space="preserve"> Food Allergies and Ageing — https://doi.org/10.3390/ijms20225580</w:t>
      </w:r>
    </w:p>
    <w:p>
      <w:pPr/>
      <w:r>
        <w:rPr>
          <w:b/>
        </w:rPr>
        <w:t>Shared claim-specific concepts:</w:t>
      </w:r>
      <w:r>
        <w:t xml:space="preserve"> ageing, problem, age, system, until; EU scope not established. This is a provisional connection, not an outcome finding.</w:t>
      </w:r>
    </w:p>
    <w:p>
      <w:pPr>
        <w:pStyle w:val="SourceNote"/>
      </w:pPr>
      <w:r>
        <w:rPr>
          <w:b/>
        </w:rPr>
        <w:t>Available abstract (not full text):</w:t>
      </w:r>
      <w:r>
        <w:t xml:space="preserve"> All over the world, there is an increase in the overall survival of the population and the number of elderly people. The incidence of allergic reactions is also rising worldwide. Until recently, allergies, and in particular food allergies (FAs), was regarded as a pediatric problem, since some of them start in early childhood and may spontaneously disappear in adulthood. It is being discovered that, on the contrary, these problems are increasingly affecting even the elderly. Along with other diseases that are considered characteristics of advanced age, such as cardiovascular, dysmetabolic, autoimmune, neurodegenerative, and oncological diseases, even FAs are increasingly frequent in the elderly. An FA is a pleiomorphic and multifactorial disease, characterized by an abnormal immune response and an impaired gut barrier function. The elderly exhibit distinct FA phenotypes, and diagnosis is difficult due to frequent co-morbidities and uncertainty in the interpretation of in vitro and in vivo tests. Several factors render the elderly susceptible to FAs, including the physiological changes of aging, a decline in gut barrier function, the skewing of adaptive immunity to a Th2 response, dysregulation of innate immune cells, and age-related changes of gut microbiota. Aging is accompanied by a progressive remodeling of immune system functions, leading to an increased pro-inflammatory sta</w:t>
      </w:r>
    </w:p>
    <w:p>
      <w:pPr/>
      <w:r>
        <w:rPr>
          <w:b/>
        </w:rPr>
        <w:t>POSSIBLE 2019:</w:t>
      </w:r>
      <w:r>
        <w:t xml:space="preserve"> Microbiome: Effects of Ageing and Diet — https://doi.org/10.21775/cimb.036.033</w:t>
      </w:r>
    </w:p>
    <w:p>
      <w:pPr/>
      <w:r>
        <w:rPr>
          <w:b/>
        </w:rPr>
        <w:t>Shared claim-specific concepts:</w:t>
      </w:r>
      <w:r>
        <w:t xml:space="preserve"> ageing, age, system, place; EU scope not established. This is a provisional connection, not an outcome finding.</w:t>
      </w:r>
    </w:p>
    <w:p>
      <w:pPr>
        <w:pStyle w:val="SourceNote"/>
      </w:pPr>
      <w:r>
        <w:rPr>
          <w:b/>
        </w:rPr>
        <w:t>Available abstract (not full text):</w:t>
      </w:r>
      <w:r>
        <w:t xml:space="preserve"> The microbial community inhabiting our intestine, known as 'microbiota', and the ensemble of their genomes (microbiome) regulate important functions of the host, being essential for health maintenance. The recent development of next-generation sequencing (NGS) methods has greatly facilitated the study of the microbiota and has contributed to evidence of the strong influence exerted by age and diet. However, the precise way in which the diet and its components modify the functionality of the intestinal microbiome is far from being completely known. Changes in the intestinal microbiota occur during ageing, frequently accompanied by physiological changes of the digestive tract, modification of dietary patterns and impairment of the immune system. Establishing nutritional strategies aiming to counterbalance the specific alterations taking place in the microbiota during ageing would contribute to improved health status in the elderly. This review will analyse changes appearing in the intestinal microbiota from adulthood to old age and their association with dietary patterns and lifestyle factors.</w:t>
      </w:r>
    </w:p>
    <w:p>
      <w:pPr>
        <w:pStyle w:val="Heading2"/>
      </w:pPr>
      <w:r>
        <w:t>870.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2025:</w:t>
      </w:r>
      <w:r>
        <w:t xml:space="preserve"> Understanding Verbal Irony: A Contrastive Analysis of Personal and Informational Common Ground — https://openalex.org/W7112125026</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study investigates how representations of personal common ground (PCG; viz., close relationships vs. strangers) and informational common ground (ICG; viz., shared world knowledge) interact in shaping a reader’s comprehension of verbal irony in fictional narratives. While previous research has shown that greater familiarity among story characters enhances readers’ comprehension of ironic statements made by the characters (Gibbs, 2000; Kreuz et al., 1999; Kreuz &amp; Link, 2001; Pexman &amp; Zvaigzne, 2004), the interplay between representations of PCG and ICG remains understudied. In this study, we assumed that ICG takes precedence over PCG. Accordingly, we predicted that irony comprehension would be facilitated when ICG was high, even if PCG was low, resulting in faster RTs. Conversely, we expected comprehension to be impeded when ICG was low, even if PCG was high, leading to slower RTs. A main effect of ICG was also expected regardless of PCG, along with an interaction between ICG and PCG across rating measures that would further support irony comprehension. Counter to our predictions, results from two experiments showed that, overall, ironic stories were read faster when PCG was high and ICG was low. In contrast, ironic stories were read more slowly than literal stories when both PCG and ICG were low in experiment 1, and when both were high in experiment 2.</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r>
        <w:rPr>
          <w:b/>
        </w:rPr>
        <w:t>POSSIBLE 2023:</w:t>
      </w:r>
      <w:r>
        <w:t xml:space="preserve"> A Theoretical Discussion of How Common Understanding and Reflection Upon Need for Resources Can Prevent Risks Underlying Social Innovations — https://doi.org/10.1177/00469580231152078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pPr/>
      <w:r>
        <w:rPr>
          <w:b/>
        </w:rPr>
        <w:t>POSSIBLE 2023:</w:t>
      </w:r>
      <w:r>
        <w:t xml:space="preserve"> Approach to Reference Models for Building Performance Simulation: Establishing Common Understanding — https://doi.org/10.1007/s42979-023-01696-2</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In the fields of business process modeling, logistics, and information model development, Reference Models (RMs) have shown to enhance standardization, support the common understanding of terminology and procedures, reduce the modeling efforts and cost through the paradigm “Design by Reuse”, and enable knowledge transfer. Utilizing RMs in Building Performance Simulation (BPS) shows potential to achieve similar benefits. However, there is no universally agreed understanding of RMs. In a previous scientific publication, we provided a comprehensive overview of the diversely interpreted definitions, benefits, and attributes of RMs and related terms. Additionally, to transfer the approach of RMs to BPS, a definition for RMs applicable to BPS has been provided, and the identified RM qualities were matched with BPS’s challenges. However, a sound evaluation of the success of transferring RMs to BPS is lacking. Therefore, this scientific contribution firstly includes the analysis conducted in the previous scientific contribution constituting a common understanding about RMs and their elements for BPS. Secondly, by conducting expert interviews, the applicability and validity of the developed concept of RMs for BPS are surveyed. In total, ten experts (seven BPS experts and three RM experts) evaluated the quality of creating transparency about the understanding of RMs and the leve</w:t>
      </w:r>
    </w:p>
    <w:p>
      <w:pPr/>
      <w:r>
        <w:rPr>
          <w:b/>
        </w:rPr>
        <w:t>POSSIBLE 2023:</w:t>
      </w:r>
      <w:r>
        <w:t xml:space="preserve"> Sfumato as a Metaphor for Creating a Common Understanding in Complex Projects — https://doi.org/10.1007/978-3-031-35163-1_9</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Abstract Sfumato painting technique is proposed as an artistic metaphor for creating a shared understanding about safety and risk in complex safety-critical multi-stakeholder projects. The aim is to illuminate a mindset and suggest approaches for softening potentially detrimental effect of sharp dysfunctional boundaries between and within different project parties, which might impair quality of communication, coordination, and collaboration and impact safety.</w:t>
      </w:r>
    </w:p>
    <w:p>
      <w:pPr/>
      <w:r>
        <w:rPr>
          <w:b/>
        </w:rPr>
        <w:t>POSSIBLE 2023:</w:t>
      </w:r>
      <w:r>
        <w:t xml:space="preserve"> Cognitive and Interactive Mechanisms for Mutual Understanding in Conversation — https://doi.org/10.1093/acrefore/9780190228613.013.134</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Everyday conversation is, as the term suggests, a frequent and seemingly effortless phenomenon. However, when closely examined, it is seen that the process of achieving mutual understanding in conversation involves both complex social reasoning and finely tuned interactive mechanisms. Referential communication provides an excellent case study for what makes everyday language interactions complex: people recruit an intricate web of cognitive capacities and interactive resources in order to get their message across. In terms of cognitive capacities, reaching mutual understanding in conversation involves social reasoning in order to establish common ground and take into account one’s conversational partner when producing and interpreting utterances. Specifically, people continuously adapt to their conversational partner by keeping track of what information is or is not shared (based on the situational context, preceding discourse, and general knowledge) and adjusting their utterances and interpretations accordingly. In terms of interactive resources, mechanisms that allow us to keep a conversation on track (e.g., backchannels) and the mechanisms that allow us to recover from breakdowns in communication (i.e., repair) contribute to mutual understanding. Specifically, other-initiated repair, a conversational phenomenon that has been documented cross-linguistically and obser</w:t>
      </w:r>
    </w:p>
    <w:p>
      <w:pPr/>
      <w:r>
        <w:rPr>
          <w:b/>
        </w:rPr>
        <w:t>POSSIBLE 2022:</w:t>
      </w:r>
      <w:r>
        <w:t xml:space="preserve"> Understanding common dolphin and Australasian gannet feeding associations from nutritional and ethological perspectives — https://doi.org/10.1093/icesjms/fsac133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Prey detection and subsequent capture is considered a major hypothesis to explain feeding associations between common dolphins and Australasian gannets. However, a current lack of insight on nutritional strategies with respect to foraging behaviours of both species has until now, prevented any detailed understanding of this conspecific relationship. Here we combine stomach content analysis (SCA), nutritional composition of prey, a multidimensional nutritional niche framework (MNNF) and videography to provide a holistic dietary, nutritional, and behavioural assessment of the feeding association between dolphins and gannets in the Hauraki Gulf, New Zealand. Dolphins consumed ten prey species, including grey mullet (Mugil cephalus) as the most representative by wet mass (33.4%). Gannets preyed upon six species, with pilchards (Sardinops pilchardus) contributing most of the diet by wet mass (32.4%) to their diet. Both predators jointly preyed upon pilchard, jack mackerel (Trachurus spp.), arrow squid (genus Nototodarus), and anchovy (Engraulis australis). Accordingly, the MNNF revealed a moderate overlap in the prey composition niche (0.42) and realized nutritional niche (0.52) between dolphins and gannets. This suggests that both predators coexist in a similar nutritional space, while simultaneously reducing interspecific competition and maximizing the success of both enc</w:t>
      </w:r>
    </w:p>
    <w:p>
      <w:pPr/>
      <w:r>
        <w:rPr>
          <w:b/>
        </w:rPr>
        <w:t>POSSIBLE 2022:</w:t>
      </w:r>
      <w:r>
        <w:t xml:space="preserve"> A Reference Model for Common Understanding of Capabilities and Skills in Manufacturing — https://doi.org/10.48550/arxiv.2209.09632</w:t>
      </w:r>
    </w:p>
    <w:p>
      <w:pPr/>
      <w:r>
        <w:rPr>
          <w:b/>
        </w:rPr>
        <w:t>Shared claim-specific concepts:</w:t>
      </w:r>
      <w:r>
        <w:t xml:space="preserve"> common, understanding, industry; EU scope not established. This is a provisional connection, not an outcome finding.</w:t>
      </w:r>
    </w:p>
    <w:p>
      <w:pPr>
        <w:pStyle w:val="SourceNote"/>
      </w:pPr>
      <w:r>
        <w:rPr>
          <w:b/>
        </w:rPr>
        <w:t>Available abstract (not full text):</w:t>
      </w:r>
      <w:r>
        <w:t xml:space="preserve"> In manufacturing, many use cases of Industry 4.0 require vendor-neutral and machine-readable information models to describe, implement and execute resource functions. Such models have been researched under the terms capabilities and skills. Standardization of such models is required, but currently not available. This paper presents a reference model developed jointly by members of various organizations in a working group of the Plattform Industrie 4.0. This model covers definitions of most important aspects of capabilities and skills. It can be seen as a basis for further standardization efforts.</w:t>
      </w:r>
    </w:p>
    <w:p>
      <w:pPr>
        <w:pStyle w:val="Heading2"/>
      </w:pPr>
      <w:r>
        <w:t>871.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adaptation, but, integrated, assessment, interactions;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Translation and Cultural Adaptation to European Portuguese — https://openalex.org/W7113190515</w:t>
      </w:r>
    </w:p>
    <w:p>
      <w:pPr/>
      <w:r>
        <w:rPr>
          <w:b/>
        </w:rPr>
        <w:t>Shared claim-specific concepts:</w:t>
      </w:r>
      <w:r>
        <w:t xml:space="preserve"> adaptation, significant, assessment; EU scope visible. This is a provisional connection, not an outcome finding.</w:t>
      </w:r>
    </w:p>
    <w:p>
      <w:pPr>
        <w:pStyle w:val="SourceNote"/>
      </w:pPr>
      <w:r>
        <w:rPr>
          <w:b/>
        </w:rPr>
        <w:t>Available abstract (not full text):</w:t>
      </w:r>
      <w:r>
        <w:t xml:space="preserve"> Introduction: Visual skills have a significant impact on an infant’s development and participation. In Portugal, although the public health system is organized to support citizens with visual impairment, it lacks translated and culturally adapted assessment tools. Knowing that a comprehensive assessment is crucial for early diagnosis and that it improves an infant’s participation in daily life, the aim of the present article is to present the translation and cultural adaptation of the Participation and Activity Inventory for Children and Youth (0–2 years) into European Portuguese. Methods: To achieve the objective, methodological guidelines were followed, and six different stages were implemented, including translation, synthesis, back translation, revision by an expert committee, pretesting in a representative sample, and submission and appraisal of all written reports by developers to the author’s tool. The whole process was previously approved by an Ethics Committee. Results: A Portuguese version of the Participation and Activity Inventory for Children and Youth (0–2 years) was obtained based on the English version of PAI-CY (0–2 years) with the participation of four independent translators, five experts, and twenty parents filling out the pretest version. The results of the expert committee showed that 99.40% were in favor of the proposed translation. Additionally, the inve</w:t>
      </w:r>
    </w:p>
    <w:p>
      <w:pPr/>
      <w:r>
        <w:rPr>
          <w:b/>
        </w:rPr>
        <w:t>POSSIBLE 2024:</w:t>
      </w:r>
      <w:r>
        <w:t xml:space="preserve"> Adaptation of solar energy in the Global South: Prospects, challenges and opportunities — https://doi.org/10.1016/j.heliyon.2024.e28009</w:t>
      </w:r>
    </w:p>
    <w:p>
      <w:pPr/>
      <w:r>
        <w:rPr>
          <w:b/>
        </w:rPr>
        <w:t>Shared claim-specific concepts:</w:t>
      </w:r>
      <w:r>
        <w:t xml:space="preserve"> adaptation, significant, opportunities, highlighting; EU scope not established. This is a provisional connection, not an outcome finding.</w:t>
      </w:r>
    </w:p>
    <w:p>
      <w:pPr>
        <w:pStyle w:val="SourceNote"/>
      </w:pPr>
      <w:r>
        <w:rPr>
          <w:b/>
        </w:rPr>
        <w:t>Available abstract (not full text):</w:t>
      </w:r>
      <w:r>
        <w:t xml:space="preserve"> The Global South comprising economically disadvantaged regions of the world face various challenges such as limited access to electricity, clean water, industrialization, and food security. Solar energy, as a sustainable and abundant resource, holds great potential to address these challenges. Despite its immense potential, the Global South encounters hurdles related to technology adoption, infrastructure, and financial constraints. This review examines the history, classifications, global statistics, merits, and demerits of solar technology in the Global South. Furthermore, it delves into various applications of solar energy, including extreme environments, residential electricity generation, transportation, and industrial usage in this region. This study concludes by providing new insighths and highlighting the significant role solar energy can play in shaping the future of the Global South if challenges are adequately addressed, and opportunities are embraced.</w:t>
      </w:r>
    </w:p>
    <w:p>
      <w:pPr/>
      <w:r>
        <w:rPr>
          <w:b/>
        </w:rPr>
        <w:t>POSSIBLE 2024:</w:t>
      </w:r>
      <w:r>
        <w:t xml:space="preserve"> Sea Level Rise in Europe: Adaptation measures and decision-making principles — https://doi.org/10.5194/sp-3-slre1-6-2024</w:t>
      </w:r>
    </w:p>
    <w:p>
      <w:pPr/>
      <w:r>
        <w:rPr>
          <w:b/>
        </w:rPr>
        <w:t>Shared claim-specific concepts:</w:t>
      </w:r>
      <w:r>
        <w:t xml:space="preserve"> adaptation, options, integrated, assessment, importance;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2023:</w:t>
      </w:r>
      <w:r>
        <w:t xml:space="preserve"> Platform adaptation to regulation: The case of domestic cleaning in Europe — https://doi.org/10.1177/00221856221146833</w:t>
      </w:r>
    </w:p>
    <w:p>
      <w:pPr/>
      <w:r>
        <w:rPr>
          <w:b/>
        </w:rPr>
        <w:t>Shared claim-specific concepts:</w:t>
      </w:r>
      <w:r>
        <w:t xml:space="preserve"> adaptation, but, services; EU scope visible. This is a provisional connection, not an outcome finding.</w:t>
      </w:r>
    </w:p>
    <w:p>
      <w:pPr>
        <w:pStyle w:val="SourceNote"/>
      </w:pPr>
      <w:r>
        <w:rPr>
          <w:b/>
        </w:rPr>
        <w:t>Available abstract (not full text):</w:t>
      </w:r>
      <w:r>
        <w:t xml:space="preserve"> While online platforms were initially applauded for improving services in a range of sectors, they are currently being criticized for ignoring laws and regulations. We analyse the evolution of Helpling – the largest domestic cleaning platform company in Europe – by focusing on the ways that Helpling has adapted its platform to regulations in five national contexts (France, Germany, Ireland, the Netherlands and the United Kingdom). Using data on changing Terms and Conditions, we show that Helpling initially tried to introduce a single business model across Europe, but quickly started to adapt to national regulatory contexts. Informed by arguments on ‘varieties of capitalism’ in Europe, we base our case study on a comparison of the different national trajectories pursued by Helpling.</w:t>
      </w:r>
    </w:p>
    <w:p>
      <w:pPr/>
      <w:r>
        <w:rPr>
          <w:b/>
        </w:rPr>
        <w:t>POSSIBLE 2023:</w:t>
      </w:r>
      <w:r>
        <w:t xml:space="preserve"> A review of the global climate change impacts, adaptation strategies, and mitigation options in the socio-economic and environmental sectors — https://doi.org/10.56556/jescae.v2i3.587</w:t>
      </w:r>
    </w:p>
    <w:p>
      <w:pPr/>
      <w:r>
        <w:rPr>
          <w:b/>
        </w:rPr>
        <w:t>Shared claim-specific concepts:</w:t>
      </w:r>
      <w:r>
        <w:t xml:space="preserve"> adaptation, options, particularly, ecosystem; EU scope not established. This is a provisional connection, not an outcome finding.</w:t>
      </w:r>
    </w:p>
    <w:p>
      <w:pPr>
        <w:pStyle w:val="SourceNote"/>
      </w:pPr>
      <w:r>
        <w:rPr>
          <w:b/>
        </w:rPr>
        <w:t>Available abstract (not full text):</w:t>
      </w:r>
      <w:r>
        <w:t xml:space="preserve"> Climate change causes long-term weather changes from the tropics to the polls. It is a global threat that strains several sectors. The present study conducts a review analysis that theoretically explores how climatic variability is degrading global sector sustainability. Due to irreversible weather variations, the agricultural sector is particularly vulnerable. In turn, it is disrupting worldwide consumption patterns, especially in countries where agriculture is central to their economy and productivity. Due to shifting optimum temperature ranges, climate change is also increasing biodiversity loss through modifying ecosystem architecture. Climate change increases the risk of food, water, and vector-borne diseases. Antimicrobial resistance, which is developing due to resistant pathogenic infections, is also accelerated by climate change. Climate change also hurts the forestry sector and tourism business. This review examines global socio-economic and environmental climate change mitigation and adaptation strategies and their economic consequences. According to the findings, knotted answerability of resources and laws created in the past to generate progressive climate policy need government involvement for long-term development. Thus, addressing climate change's dire consequences demands global cooperation to maintain world survival.</w:t>
      </w:r>
    </w:p>
    <w:p>
      <w:pPr/>
      <w:r>
        <w:rPr>
          <w:b/>
        </w:rPr>
        <w:t>POSSIBLE 2022:</w:t>
      </w:r>
      <w:r>
        <w:t xml:space="preserve"> Climate services for the railway sector: A synthesis of adaptation information needs in Europe — https://doi.org/10.3389/fclim.2022.968298</w:t>
      </w:r>
    </w:p>
    <w:p>
      <w:pPr/>
      <w:r>
        <w:rPr>
          <w:b/>
        </w:rPr>
        <w:t>Shared claim-specific concepts:</w:t>
      </w:r>
      <w:r>
        <w:t xml:space="preserve"> adaptation, but, services; EU scope visible. This is a provisional connection, not an outcome finding.</w:t>
      </w:r>
    </w:p>
    <w:p>
      <w:pPr>
        <w:pStyle w:val="SourceNote"/>
      </w:pPr>
      <w:r>
        <w:rPr>
          <w:b/>
        </w:rPr>
        <w:t>Available abstract (not full text):</w:t>
      </w:r>
      <w:r>
        <w:t xml:space="preserve"> Given that climate variability and change present unprecedented challenges to the rail sector, efforts to produce relevant climate data/information for climate risk management and adaptive decision making in the rail sector are gaining traction. However, inadequate understanding of climate change impact and information needs raises several concerns for the sector. This paper addressed the question: What climate risk information services are needed to support the adaptation needs of the rail sector? Data from interviews, literature reviews, and workshops were used. The results show that changes in precipitation, temperature, sea-level rise, and thunderstorms are the top drivers of climate risk in the sector. Additionally, the need for tailor-made climate information to manage these changes is in high demand. Although insufficient, rail organizations use special protocols to manage climate risk. Understudied countries have operational and design standards formulated in metrics and codes related to specific critical weather conditions as part of their Natural Hazard Management process. However, desirable adjustments in the standards are currently based on past events rather than future climate conditions. Future climate change information is relevant for medium- to longer-term decisions, strategy, and policymaking. For operational and design standards, weather and climate informat</w:t>
      </w:r>
    </w:p>
    <w:p>
      <w:pPr/>
      <w:r>
        <w:rPr>
          <w:b/>
        </w:rPr>
        <w:t>POSSIBLE 2022:</w:t>
      </w:r>
      <w:r>
        <w:t xml:space="preserve"> Climate change adaptation options to inform planning of agriculture and food systems in The Gambia: A systematic approach for stocktaking — https://doi.org/10.3389/fsufs.2022.834867</w:t>
      </w:r>
    </w:p>
    <w:p>
      <w:pPr/>
      <w:r>
        <w:rPr>
          <w:b/>
        </w:rPr>
        <w:t>Shared claim-specific concepts:</w:t>
      </w:r>
      <w:r>
        <w:t xml:space="preserve"> adaptation, options, assessment, importance; EU scope not established. This is a provisional connection, not an outcome finding.</w:t>
      </w:r>
    </w:p>
    <w:p>
      <w:pPr>
        <w:pStyle w:val="SourceNote"/>
      </w:pPr>
      <w:r>
        <w:rPr>
          <w:b/>
        </w:rPr>
        <w:t>Available abstract (not full text):</w:t>
      </w:r>
      <w:r>
        <w:t xml:space="preserve"> Identifying and assessing adaptation options are key pre-requisite steps to adaptation prioritization and effective adaptation planning. In this paper, we presented a systematic approach for adaptation stocktaking, combining a systematic mapping and an outcome-oriented and evidence-based assessment, illustrated using the case of The Gambia. This study systematically mapped 24 adaptation options that can potentially inform adaptation planning in The Gambia agriculture and food systems and assessed how the identified options contribute to the pillars of Climate-Smart Agriculture. Because of the paucity of evidence sources from The Gambia, we collated evidence from both The Gambia and the West Africa region. We found that many of the documented options, such as climate-resilient crop varieties, crop diversification, climate information use, and weather indexed-based insurance have the potential to increase agricultural productivity and income while building resilience to climate change. While several options, such as soil and water conservation practices can positively contribute to climate change mitigation, others such as manure and inorganic fertilizers can have no or negative impacts on mitigation. Agroforestry practices and System of Rice Intensification have the potential to make a triple impact. The paucity of evidence from The Gambia and the highly contextual and different</w:t>
      </w:r>
    </w:p>
    <w:p>
      <w:pPr>
        <w:pStyle w:val="Heading2"/>
      </w:pPr>
      <w:r>
        <w:t>872.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2026:</w:t>
      </w:r>
      <w:r>
        <w:t xml:space="preserve"> DIGITAL TRANSFORMATIONS AS A DRIVER OF CHANGES IN SOCIO-ECONOMIC DEVELOPMENT: CONTRADICTORY AND ASYMMETRIC CHARACTER OF DIGITAL DEVELOPMENT AND THE DIGITAL RECONFIGURATION OF ECONOMIC SECURITY — https://doi.org/10.17721/apmv.2026.167.1.197-209</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The purpose of the article is to substantiate the theoretical interpretation of digital transformations as a contradictory and asymmetric driver of socio-economic development that penetrates all traditional dimensions of economic security and converts digital security and cybersecurity into its constitutive mechanisms, and to demonstrate that the balance between strengthening and undermining economic security is determined not by technologies as such but by the configuration of regulatory and institutional frameworks of digital security, cybersecurity, and antimonopoly policy. The article proposes a conceptual framework that interprets digital transformation not as a linear modernization process but as a permanent multi-vector restructuring that penetrates the food, energy, and financial dimensions of economic security from within, transforming them through digital tools and platforms, with the consequence that traditional dimensions of economic security cannot be analytically separated from the digital contour without losing the substance of the analysis. The thesis of the contradictory and asymmetric character of digital development is substantiated, according to which the same technological foundation simultaneously expands the space of market opportunities and produces new forms of concentration of economic power, with benefits concentrated in a narrow circle of actors and </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2025:</w:t>
      </w:r>
      <w:r>
        <w:t xml:space="preserve"> RURAL TOURISM AS A FACTOR OF SUSTAINABLE SOCIO-ECONOMIC DEVELOPMENT OF RURAL AREAS IN UKRAINE — https://doi.org/10.32782/infrastruct86-38</w:t>
      </w:r>
    </w:p>
    <w:p>
      <w:pPr/>
      <w:r>
        <w:rPr>
          <w:b/>
        </w:rPr>
        <w:t>Shared claim-specific concepts:</w:t>
      </w:r>
      <w:r>
        <w:t xml:space="preserve"> coherent, socio-economic, current; EU scope visible. This is a provisional connection, not an outcome finding.</w:t>
      </w:r>
    </w:p>
    <w:p>
      <w:pPr>
        <w:pStyle w:val="SourceNote"/>
      </w:pPr>
      <w:r>
        <w:rPr>
          <w:b/>
        </w:rPr>
        <w:t>Available abstract (not full text):</w:t>
      </w:r>
      <w:r>
        <w:t xml:space="preserve"> The relevance of the research: the article examines rural tourism as one of the key factors in the sustainable socio-economic development of rural areas in Ukraine. The subject research is the current state, challenges, and prospects for the development of rural tourism in the context of the COVID-19 pandemic, full-scale war, and decentralization processes. The purpose of the study is to analyze the potential of rural tourism as a tool for economic diversification, cultural heritage preservation, employment growth, and the revitalization of rural communities. Research methodology includes general scientific methods of analysis and synthesis, systemic and comparative approaches, as well as the generalization of findings from scientific publications and practical case studies based on domestic and international experiences in organizing rural tourism. The research includes a review of current legislation, strategic documents, and statistical data. The results of the study reveal that rural tourism in Ukraine shows a steadily growing demand among domestic tourists, although its potential is only partially realized due to several constraints. Key factors are insufficient infrastructure, lack of regulatory framework, low level of tourism services digitalization and limited marketing activity. It is shown that the combination of tourism services with local traditions, farming, cultur</w:t>
      </w:r>
    </w:p>
    <w:p>
      <w:pPr/>
      <w:r>
        <w:rPr>
          <w:b/>
        </w:rPr>
        <w:t>POSSIBLE 2024:</w:t>
      </w:r>
      <w:r>
        <w:t xml:space="preserve"> Analysing Rural Development Models Based on Intangible Assets and Socio-Economic Development — https://doi.org/10.3390/su162310613</w:t>
      </w:r>
    </w:p>
    <w:p>
      <w:pPr/>
      <w:r>
        <w:rPr>
          <w:b/>
        </w:rPr>
        <w:t>Shared claim-specific concepts:</w:t>
      </w:r>
      <w:r>
        <w:t xml:space="preserve"> socio-economic, current; EU scope not established. This is a provisional connection, not an outcome finding.</w:t>
      </w:r>
    </w:p>
    <w:p>
      <w:pPr>
        <w:pStyle w:val="SourceNote"/>
      </w:pPr>
      <w:r>
        <w:rPr>
          <w:b/>
        </w:rPr>
        <w:t>Available abstract (not full text):</w:t>
      </w:r>
      <w:r>
        <w:t xml:space="preserve"> Despite the existence of a variety of conceptual approaches to rural development, there is a lack of methods that take into account intangible assets, such as, for example, social capital, leadership, and local identity. A more effective design of the rural development strategy may be achieved by uncovering knowledge regarding the manifestation of various intangible resources. Territorial development policies, both in terms of the level of socio-economic development and the presence of intangible resources in rural areas, are investigated in this study. The main objective is to determine how intangible resources manifest in specific empirical models of development policy for rural settlements. A novel ensemble of indices and indicators of socio-economic development and the manifestation of intangible resources, calculated based on the method of analytical hierarchies and frequency analysis, are provided. These allow for a comprehensive study of the development of rural areas by clustering settlements with a similar level of development. Patterns and deficits of resources in rural settlements are analysed according to empirical models. Verification of the empirical models is carried out by assessing the level of socio-economic development and indicators of intangible resources for 12 rural settlements in the south of Russia. Therefore, several groups of factors of intangible res</w:t>
      </w:r>
    </w:p>
    <w:p>
      <w:pPr/>
      <w:r>
        <w:rPr>
          <w:b/>
        </w:rPr>
        <w:t>POSSIBLE 2024:</w:t>
      </w:r>
      <w:r>
        <w:t xml:space="preserve"> The Impact of Lithuanian Regional Policy on the Level of Socio-Economic Development of Its Regions — https://doi.org/10.15290/sup.2024.08.08</w:t>
      </w:r>
    </w:p>
    <w:p>
      <w:pPr/>
      <w:r>
        <w:rPr>
          <w:b/>
        </w:rPr>
        <w:t>Shared claim-specific concepts:</w:t>
      </w:r>
      <w:r>
        <w:t xml:space="preserve"> socio-economic, currently; EU scope visible. This is a provisional connection, not an outcome finding.</w:t>
      </w:r>
    </w:p>
    <w:p>
      <w:pPr>
        <w:pStyle w:val="SourceNote"/>
      </w:pPr>
      <w:r>
        <w:rPr>
          <w:b/>
        </w:rPr>
        <w:t>Available abstract (not full text):</w:t>
      </w:r>
      <w:r>
        <w:t xml:space="preserve"> Goal – the subject of research in this study is the regional policy of Lithuania, which aims to support the balanced socio-economic development of all regions and cities. Persistent disparities in the development of regions constitute a significant challenge for the national regional policy. The main objective of the research is to demonstrate the importance of Lithuania’s regional policy in reducing the spatial disparities in the country. Research methodology – the following research methods were used to achieve the set goal: analysis of background data, statistical analysis and comparative method. The source of information include the data from Statistics Lithuania (SL), reports of the Ministry of Finance of Lithuania and other analytical studies for the period 2012–20221. Score/results – the authors assumed that regional policy in Lithuania is not very effective in reducing regional polarisation. The results of the conducted research showed persistent interregional differentiation at the county level. The pursuit of achieving socio-economic cohesion is mainly realised through the European Union funds. The planned distribution of these funds under the 2021–2027 multiannual financial framework may result in further consolidation of uneven development at the national level. ‣‣Originality/value – the analysis carried out in the article made it possible to assess the differences </w:t>
      </w:r>
    </w:p>
    <w:p>
      <w:pPr/>
      <w:r>
        <w:rPr>
          <w:b/>
        </w:rPr>
        <w:t>POSSIBLE 2023:</w:t>
      </w:r>
      <w:r>
        <w:t xml:space="preserve"> Harnessing on the potential of migrants in the socio-economic development of the Republic of Moldova — https://doi.org/10.53486/2537-6179.9-1.01</w:t>
      </w:r>
    </w:p>
    <w:p>
      <w:pPr/>
      <w:r>
        <w:rPr>
          <w:b/>
        </w:rPr>
        <w:t>Shared claim-specific concepts:</w:t>
      </w:r>
      <w:r>
        <w:t xml:space="preserve"> socio-economic, population, current, currently; EU scope visible. This is a provisional connection, not an outcome finding.</w:t>
      </w:r>
    </w:p>
    <w:p>
      <w:pPr>
        <w:pStyle w:val="SourceNote"/>
      </w:pPr>
      <w:r>
        <w:rPr>
          <w:b/>
        </w:rPr>
        <w:t>Available abstract (not full text):</w:t>
      </w:r>
      <w:r>
        <w:t xml:space="preserve"> Migration is an important component of the development of the Republic of Moldova at the current stage. The economic and social instability that followed after obtaining political independence in 1991, the inefficiency of reforms in several socio-economic fields, the institutional uncertainty led the population to migrate, this being a strategy to adapt it to the created conjuncture situation. The increase in intensity migration was also influenced by the processes of liberalization of entry and exit procedures from the territory of the Republic of Moldova. Currently, our country represents one of the countries in the world with the largest shares of the migrant working population, as well as the share of remittances in GDP, the effects of migration being felt in all areas of social-economic life in the country. Concern for the support of migrants over time has materialized through the creation of governmental structures with the aim of monitoring and launching various strategies, programs, projects addressed to citizens outside the country's borders. Ensuring the reintegration of returned migrants, after a migratory experience of work or life abroad, is of great importance both for citizens and for the state authorities that have the duty to support emigrant citizens regardless of their options to return or settle in the adoptive country. Through this scientific approach, the </w:t>
      </w:r>
    </w:p>
    <w:p>
      <w:pPr/>
      <w:r>
        <w:rPr>
          <w:b/>
        </w:rPr>
        <w:t>POSSIBLE 2023:</w:t>
      </w:r>
      <w:r>
        <w:t xml:space="preserve"> Working in (Slow) Progress: Socio-Environmental and Economic Dynamics in the Forestry Sector and the Contribution to Sustainable Development in Europe — https://doi.org/10.3390/su151310271</w:t>
      </w:r>
    </w:p>
    <w:p>
      <w:pPr/>
      <w:r>
        <w:rPr>
          <w:b/>
        </w:rPr>
        <w:t>Shared claim-specific concepts:</w:t>
      </w:r>
      <w:r>
        <w:t xml:space="preserve"> coherent, between, climate; EU scope visible. This is a provisional connection, not an outcome finding.</w:t>
      </w:r>
    </w:p>
    <w:p>
      <w:pPr>
        <w:pStyle w:val="SourceNote"/>
      </w:pPr>
      <w:r>
        <w:rPr>
          <w:b/>
        </w:rPr>
        <w:t>Available abstract (not full text):</w:t>
      </w:r>
      <w:r>
        <w:t xml:space="preserve">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pPr/>
      <w:r>
        <w:rPr>
          <w:b/>
        </w:rPr>
        <w:t>POSSIBLE 2023:</w:t>
      </w:r>
      <w:r>
        <w:t xml:space="preserve"> The role of agriculture in shaping the prospects of socio-economic development of Uzbekistan — https://doi.org/10.48077/scihor11.2023.155</w:t>
      </w:r>
    </w:p>
    <w:p>
      <w:pPr/>
      <w:r>
        <w:rPr>
          <w:b/>
        </w:rPr>
        <w:t>Shared claim-specific concepts:</w:t>
      </w:r>
      <w:r>
        <w:t xml:space="preserve"> socio-economic, population, current; EU scope not established. This is a provisional connection, not an outcome finding.</w:t>
      </w:r>
    </w:p>
    <w:p>
      <w:pPr>
        <w:pStyle w:val="SourceNote"/>
      </w:pPr>
      <w:r>
        <w:rPr>
          <w:b/>
        </w:rPr>
        <w:t>Available abstract (not full text):</w:t>
      </w:r>
      <w:r>
        <w:t xml:space="preserve"> The role of agriculture in ensuring food security, creating jobs, and generating export earnings makes it particularly relevant to analyse the impact of this sector on the socio-economic development of the country. The research aims to analyse and assess the impact of agriculture on the socio-economic development of Uzbekistan. To achieve the goal, the indicators of the agricultural sector and socio-economic development from 2013 to 2022 were analysed. It is established that the natural resources of Uzbekistan play a crucial role in the development of agriculture. The analysis of diversified trends in agriculture emphasises the key role of this sector in the socio-economic progress of the country. Despite the variability, the growth in the share of agricultural land and rural population indicates the still high importance of agriculture. However, the decline in value added in the agricultural, forestry and fisheries sectors, as well as the low growth rate of cereal yields, reflects the current challenges in this area. Rising unemployment rates, as well as changes in exports and inflation rates, point to difficulties in the socioeconomic environment. In this light, the prospects for agricultural development as a key agent in improving the socio-economic situation are particularly important. Effective resource management, productivity improvement, job generation, product promotio</w:t>
      </w:r>
    </w:p>
    <w:p>
      <w:pPr/>
      <w:r>
        <w:rPr>
          <w:b/>
        </w:rPr>
        <w:t>POSSIBLE 2023:</w:t>
      </w:r>
      <w:r>
        <w:t xml:space="preserve"> Interrogating Challenges of Sectarianism, Terrorism and Socio-Economic Development of Nigeria. — https://openalex.org/W7216752277</w:t>
      </w:r>
    </w:p>
    <w:p>
      <w:pPr/>
      <w:r>
        <w:rPr>
          <w:b/>
        </w:rPr>
        <w:t>Shared claim-specific concepts:</w:t>
      </w:r>
      <w:r>
        <w:t xml:space="preserve"> socio-economic, population, current, rise; EU scope not established. This is a provisional connection, not an outcome finding.</w:t>
      </w:r>
    </w:p>
    <w:p>
      <w:pPr>
        <w:pStyle w:val="SourceNote"/>
      </w:pPr>
      <w:r>
        <w:rPr>
          <w:b/>
        </w:rPr>
        <w:t>Available abstract (not full text):</w:t>
      </w:r>
      <w:r>
        <w:t xml:space="preserve"> This paper examined the challenges of sectarian and terrorism crises with special focus on Boko Haram terrorism and its effects on the socio-economic development of Nigeria. Sectarianism and terrorism is a canker worm that has eaten deep into the fabrics of the Nigerian state with its negative implications on the well-being of the people. To achieve this objective, the paper adopted the descriptive design as a basis of analysis. The paper also employed the State Failure theory as a framework of analysis. The choice of this theory is in line with the inability of the Nigeria state to address the seemingly intractable sectarian and most recently, the Boko-Haram crisis which has threatened her corporate existence over the years. There exist several religions in Nigeria and many of them are exploited for political gains. Within the last couple of decades, Nigeria has witnessed astronomical rise in the number of radical Islamic sects notably among them, Maitasine, Darul Islam, and Boko Haram. These sects have resorted to the use of violence in a bid to realize their ambitions of a wider islamization of the Nigerian population. Three of the most prominent perspectives shared on the rise of these radical movements are: poor socio-economic infrastructures and poor governance, poverty and aiding of religious extremism by politicians for their selfish ambition. This study reveals that wh</w:t>
      </w:r>
    </w:p>
    <w:p>
      <w:pPr>
        <w:pStyle w:val="Heading2"/>
      </w:pPr>
      <w:r>
        <w:t>873.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pStyle w:val="Heading2"/>
      </w:pPr>
      <w:r>
        <w:t>874.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2026:</w:t>
      </w:r>
      <w:r>
        <w:t xml:space="preserve"> Modeling soil solution electrical conductivity across Europe — https://doi.org/10.1016/j.scitotenv.2026.182021</w:t>
      </w:r>
    </w:p>
    <w:p>
      <w:pPr/>
      <w:r>
        <w:rPr>
          <w:b/>
        </w:rPr>
        <w:t>Shared claim-specific concepts:</w:t>
      </w:r>
      <w:r>
        <w:t xml:space="preserve"> used, climate;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Determinants of Beef Trade Between the EU and South America and the Implications of the EU–Mercosur Agreement for the European Beef Sector — https://doi.org/10.3390/su18052172</w:t>
      </w:r>
    </w:p>
    <w:p>
      <w:pPr/>
      <w:r>
        <w:rPr>
          <w:b/>
        </w:rPr>
        <w:t>Shared claim-specific concepts:</w:t>
      </w:r>
      <w:r>
        <w:t xml:space="preserve"> used, assess, indicate, become; EU scope visible. This is a provisional connection, not an outcome finding.</w:t>
      </w:r>
    </w:p>
    <w:p>
      <w:pPr>
        <w:pStyle w:val="SourceNote"/>
      </w:pPr>
      <w:r>
        <w:rPr>
          <w:b/>
        </w:rPr>
        <w:t>Available abstract (not full text):</w:t>
      </w:r>
      <w:r>
        <w:t xml:space="preserve"> This study aimed to identify changes in beef trade between the European Union and South American countries and to assess the potential economic impact of implementing the EU–Mercosur agreement on the beef market. The research problem asked: How might trade liberalisation under the EU–Mercosur agreement affect the volume, structure, and competitiveness of the beef market between the EU and Mercosur countries? The research used data on beef production, import, export, and consumption in the European Union and South America. The detailed analysis covered the years 2010–2024. In addition, based on USDA data, a forecast of beef production in the EU and Mercosur countries up to 2030 was prepared. The analyses employed descriptive and indicator methods, Spearman’s rank correlation analysis, and the ARDL (Autoregressive Distributed Lags) model. The results indicate that beef production is increasing in the Mercosur countries and declining in the European Union. The ARDL models showed that beef trade depends on previous production and demand, and imports to the EU respond to changes in these areas with a delay. Increasing the tariff quota for beef imports from the Mercosur countries to the EU at a reduced customs rate may increase the share of this meat in the EU market. Preferential trade conditions raise concerns among EU producers, who must comply with stricter environmental standard</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2024:</w:t>
      </w:r>
      <w:r>
        <w:t xml:space="preserve"> JRC Nuclear foresight workshop on shaping the future for nuclear safety, security and safeguards: Factors, Forces and Challenges — https://doi.org/10.2760/6469488</w:t>
      </w:r>
    </w:p>
    <w:p>
      <w:pPr/>
      <w:r>
        <w:rPr>
          <w:b/>
        </w:rPr>
        <w:t>Shared claim-specific concepts:</w:t>
      </w:r>
      <w:r>
        <w:t xml:space="preserve"> system, role, initiative, long-term; EU scope visible. This is a provisional connection, not an outcome finding.</w:t>
      </w:r>
    </w:p>
    <w:p>
      <w:pPr>
        <w:pStyle w:val="SourceNote"/>
      </w:pPr>
      <w:r>
        <w:rPr>
          <w:b/>
        </w:rPr>
        <w:t>Available abstract (not full text):</w:t>
      </w:r>
      <w:r>
        <w:t xml:space="preserve"> The European Commission Joint Research Centre (JRC) provides independent, evidence-based knowledge to support EU policies. In 2023, the JRC released its revitalized Strategy 2030, reaffirming the role of its nuclear activities with a systemic approach across portfolios. The strategy envisions both medium and long-term horizons, incorporating key foresight elements.Inspired by the JRC Euratom Horizon Scanning, the European Strategy and Policy Analysis System (ESPAS), and the IAEA Drivers 2057 card deck, five JRC portfolios collaborated to enhance their synergy. They organized a foresight workshop on nuclear safety, security, and safeguards, focusing on five Drivers 2057 relevant to Europe: Safety &amp; Security, Green, Digital, Dual Use, and Fairness.The workshop, held during the JRC’s 60th anniversary of Nuclear Safety and Security activities, included keynote addresses, an introduction to Euratom foresight, and sessions on future factors, forces, and challenges. Participants discussed the JRC’s roles in navigating trends up to 2057, when Euratom will celebrate its 100th anniversary.The report details the workshop’s purpose, process, and organization as a complementary initiative to Euratom Horizon Scanning. It includes considerations and recommendations for each Euratom Driver 2057, addressing future scenarios, enablers, challenges, and potential disruptions. Participants also env</w:t>
      </w:r>
    </w:p>
    <w:p>
      <w:pPr/>
      <w:r>
        <w:rPr>
          <w:b/>
        </w:rPr>
        <w:t>POSSIBLE 2022:</w:t>
      </w:r>
      <w:r>
        <w:t xml:space="preserve"> Development of Photovoltaic Energy in EU Countries as an Alternative to Fossil Fuels — https://doi.org/10.3390/en15020662</w:t>
      </w:r>
    </w:p>
    <w:p>
      <w:pPr/>
      <w:r>
        <w:rPr>
          <w:b/>
        </w:rPr>
        <w:t>Shared claim-specific concepts:</w:t>
      </w:r>
      <w:r>
        <w:t xml:space="preserve"> energy, used, climate, long-term; EU scope visible. This is a provisional connection, not an outcome finding.</w:t>
      </w:r>
    </w:p>
    <w:p>
      <w:pPr>
        <w:pStyle w:val="SourceNote"/>
      </w:pPr>
      <w:r>
        <w:rPr>
          <w:b/>
        </w:rPr>
        <w:t>Available abstract (not full text):</w:t>
      </w:r>
      <w:r>
        <w:t xml:space="preserve"> The aim of the article is to present the development of photovoltaic energy in the EU countries as one of the alternatives to fossil fuels. The article was prepared on the basis of secondary information and statistical data on the photovoltaic energy market in EU countries, and three hypotheses were formulated: H1—There is a statistically significant correlation between a country’s long-term orientation and its use of photovoltaic energy in European Union countries; H2—There is a statistically significant correlation between GDP per capita and photovoltaic energy use in European Union countries; and H3—There is a relationship between climate and photovoltaic energy use in European Union countries. Correlation coefficients and the Guilford classification were used to analyse the data. Data analysis has shown that photovoltaic energy is the second fastest-growing energy source in the EU, after wind energy. In 2020, 134 TWh of solar energy was produced in the EU countries. Based on the analysis, it can be concluded that there is a statistically significant correlation between the production of photovoltaic energy per person and the level of GDP per capita in the EU countries (Hypothesis 2). Germany and the Netherlands produce the most solar energy. The studies did not confirm Hypothesis 3; however, it can be seen that countries such as Germany, Belgium and the Netherlands have the</w:t>
      </w:r>
    </w:p>
    <w:p>
      <w:pPr/>
      <w:r>
        <w:rPr>
          <w:b/>
        </w:rPr>
        <w:t>POSSIBLE 2021:</w:t>
      </w:r>
      <w:r>
        <w:t xml:space="preserve"> Second bottom-up model simulations : Deliverably D3.5 — https://openalex.org/W3211137343</w:t>
      </w:r>
    </w:p>
    <w:p>
      <w:pPr/>
      <w:r>
        <w:rPr>
          <w:b/>
        </w:rPr>
        <w:t>Shared claim-specific concepts:</w:t>
      </w:r>
      <w:r>
        <w:t xml:space="preserve"> bottom-up, system, role; EU scope visible. This is a provisional connection, not an outcome finding.</w:t>
      </w:r>
    </w:p>
    <w:p>
      <w:pPr>
        <w:pStyle w:val="SourceNote"/>
      </w:pPr>
      <w:r>
        <w:rPr>
          <w:b/>
        </w:rPr>
        <w:t>Available abstract (not full text):</w:t>
      </w:r>
      <w:r>
        <w:t xml:space="preserve"> Models play a crucial role in the quantification of GHG emissions. They can extrapolate and interpolate measurements spatially and temporally. Different models are designed for different purposes, from data-driven models that make the most efficient use of existing data, to process-based models which provide increased resolution of underlying driving mechanisms. VERIFY incorporates a wide variety of different model types to enable the system to respond to a far-reaching host of questions.Therefore, the aim of this WP is to simulate terrestrial carbon fluxes in both natural and anthropogenic systems. Using harmonized input data collected and reported on in D3.2, WP3 produced a variety of gridded flux and stock estimates of carbon within Europe. This particular deliverable shows carbon dioxide emissions from croplands, grasslands, and forests across the continent, using a variety of approaches. These approaches include models making extensive use of country-level statistics, those aiming for comprehensive descriptions of ecosystem processes, and statistical upscaling of site-level results to the continental scale.This deliverable provides details about the results of the second round of simulations from the bottom-up land models. Simulation methods will be improved during the course of the project, reflecting new scientific and technical understanding.</w:t>
      </w:r>
    </w:p>
    <w:p>
      <w:pPr/>
      <w:r>
        <w:rPr>
          <w:b/>
        </w:rPr>
        <w:t>POSSIBLE 2021:</w:t>
      </w:r>
      <w:r>
        <w:t xml:space="preserve"> Electric vehicle charging network in Europe: An accessibility and deployment trends analysis — https://doi.org/10.1016/j.trd.2021.102813</w:t>
      </w:r>
    </w:p>
    <w:p>
      <w:pPr/>
      <w:r>
        <w:rPr>
          <w:b/>
        </w:rPr>
        <w:t>Shared claim-specific concepts:</w:t>
      </w:r>
      <w:r>
        <w:t xml:space="preserve"> bottom-up; EU scope visible. This is a provisional connection, not an outcome finding.</w:t>
      </w:r>
    </w:p>
    <w:p>
      <w:pPr>
        <w:pStyle w:val="SourceNote"/>
      </w:pPr>
      <w:r>
        <w:rPr>
          <w:b/>
        </w:rPr>
        <w:t>Available abstract (not full text):</w:t>
      </w:r>
      <w:r>
        <w:t xml:space="preserve">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pPr/>
      <w:r>
        <w:rPr>
          <w:b/>
        </w:rPr>
        <w:t>POSSIBLE 2021:</w:t>
      </w:r>
      <w:r>
        <w:t xml:space="preserve"> Tightening EU ETS targets in line with the European Green Deal: Impacts on the decarbonization of the EU power sector — https://doi.org/10.1016/j.apenergy.2021.116914</w:t>
      </w:r>
    </w:p>
    <w:p>
      <w:pPr/>
      <w:r>
        <w:rPr>
          <w:b/>
        </w:rPr>
        <w:t>Shared claim-specific concepts:</w:t>
      </w:r>
      <w:r>
        <w:t xml:space="preserve"> system, hydrogen, climate, current; EU scope visible. This is a provisional connection, not an outcome finding.</w:t>
      </w:r>
    </w:p>
    <w:p>
      <w:pPr>
        <w:pStyle w:val="SourceNote"/>
      </w:pPr>
      <w:r>
        <w:rPr>
          <w:b/>
        </w:rPr>
        <w:t>Available abstract (not full text):</w:t>
      </w:r>
      <w:r>
        <w:t xml:space="preserve"> The EU Green Deal calls for climate neutrality by 2050 and emission reductions of 50–55% in 2030 in comparison to 1990. Achieving these reductions requires a substantial tightening of the regulations of the EU emissions trading system (EU ETS). This paper explores how the power sector would have to change in reaction to a tighter EU ETS target, and analyses the technological and economic implications. To cover the major ETS sectors, we combine a detailed power sector model with a marginal-abatement cost curve representation of industry emission abatement. We find that tightening the target would speed up the transformation by 3–17 years for different parts of the electricity system, with renewables contributing 74% of the electricity in 2030, EU-wide coal use almost completely phased-out by 2030 instead of 2045, and zero electricity generation emissions reached by 2040. Carbon prices within the EU ETS would more than triple to 129€/tCO2 in 2030, reducing cumulated power sector emissions from 2017 to 2057 by 54% compared to a scenario with the current target. This transformation would come at limited costs: total discounted power system costs would only increase by 5%. We test our findings against a number of sensitivities: an increased electricity demand, which might arise from sector coupling, increases deployment of wind and solar and prolongs gas usage. Not allowing transmis</w:t>
      </w:r>
    </w:p>
    <w:p>
      <w:pPr/>
      <w:r>
        <w:rPr>
          <w:b/>
        </w:rPr>
        <w:t>POSSIBLE 2021:</w:t>
      </w:r>
      <w:r>
        <w:t xml:space="preserve"> The open source electricity Model Base for Europe - An engagement framework for open and transparent European energy modelling — https://doi.org/10.1016/j.energy.2021.121973</w:t>
      </w:r>
    </w:p>
    <w:p>
      <w:pPr/>
      <w:r>
        <w:rPr>
          <w:b/>
        </w:rPr>
        <w:t>Shared claim-specific concepts:</w:t>
      </w:r>
      <w:r>
        <w:t xml:space="preserve"> energy, system, used; EU scope visible. This is a provisional connection, not an outcome finding.</w:t>
      </w:r>
    </w:p>
    <w:p>
      <w:pPr>
        <w:pStyle w:val="SourceNote"/>
      </w:pPr>
      <w:r>
        <w:rPr>
          <w:b/>
        </w:rPr>
        <w:t>Available abstract (not full text):</w:t>
      </w:r>
      <w:r>
        <w:t xml:space="preserve"> The transition to a low carbon energy system as laid out in the Paris Agreement and the European Green Deal presents challenges that involve society at all levels from planners to consumers. A key challenge is the communication across these levels. Tools to foster engagement and discussion between the different actors are open-source models with a low threshold for uptake. This paper presents the Open-Source electricity Model Base for Europe an electricity sector engagement model covering all member states of the EU, Norway, Switzerland and the United Kingdom. Built in OSeMOSYS and available on GitHub, the model provides a starting point into energy systems modelling and can be further developed in a collaborative manner. It enables non-experts to develop an understanding of energy systems models and energy planning. Thereby, it can serve as an engagement tool to carry the debate on the future of the European power system beyond the academy, which might contribute to finding societal consensus on how to decarbonise our energy system. The model allows dynamic power sector expansion analysis of the European power system till 2050. It can be used for scenario analysis and is expandable to other sectors to analyse the benefits of sector coupling.</w:t>
      </w:r>
    </w:p>
    <w:p>
      <w:pPr/>
      <w:r>
        <w:rPr>
          <w:b/>
        </w:rPr>
        <w:t>POSSIBLE 2021:</w:t>
      </w:r>
      <w:r>
        <w:t xml:space="preserve"> How EU policies could reduce nutrient pollution in European inland and coastal waters — https://doi.org/10.1016/j.gloenvcha.2021.102281</w:t>
      </w:r>
    </w:p>
    <w:p>
      <w:pPr/>
      <w:r>
        <w:rPr>
          <w:b/>
        </w:rPr>
        <w:t>Shared claim-specific concepts:</w:t>
      </w:r>
      <w:r>
        <w:t xml:space="preserve"> system, current; EU scope visible. This is a provisional connection, not an outcome finding.</w:t>
      </w:r>
    </w:p>
    <w:p>
      <w:pPr>
        <w:pStyle w:val="SourceNote"/>
      </w:pPr>
      <w:r>
        <w:rPr>
          <w:b/>
        </w:rPr>
        <w:t>Available abstract (not full text):</w:t>
      </w:r>
      <w:r>
        <w:t xml:space="preserve"> Intensive agriculture and densely populated areas represent major sources of nutrient pollution for European inland and coastal waters, altering the aquatic ecosystems and affecting their capacity to provide ecosystem services and support economic activities. Ambitious water policies are in place in the European Union (EU) for protecting and restoring aquatic ecosystems under the Water Framework Directive and the Marine Strategy Framework Directive. This research quantified the current pressures of point and diffuse nitrogen and phosphorus emissions to European fresh and coastal waters (2005-2012), and analysed the effects of three policy scenarios of nutrient reduction: 1) the application of measures currently planned in the Rural Development Programmes and under the Urban Waste Water Treatment Directive (UWWTD); 2) the full implementation of the UWWTD and the absence of derogations in the Nitrates Directive; 3) high reduction of nutrient, using best technologies in wastewaters treatment and optimal fertilisation in agriculture. The results of the study show that for the period 2005-2012, the nitrogen load to European seas was 3.3-4.1 TgN/y and the phosphorus load was 0.26-0.30 TgP/y. Policy measures supporting technological improvements (third scenario) could decrease the nutrient export to the seas up to 14% for nitrogen and 20% for phosphorus, improving the ecological statu</w:t>
      </w:r>
    </w:p>
    <w:p>
      <w:pPr>
        <w:pStyle w:val="Heading2"/>
      </w:pPr>
      <w:r>
        <w:t>875.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2026:</w:t>
      </w:r>
      <w:r>
        <w:t xml:space="preserve"> Smart Grids — https://openalex.org/W7204067602</w:t>
      </w:r>
    </w:p>
    <w:p>
      <w:pPr/>
      <w:r>
        <w:rPr>
          <w:b/>
        </w:rPr>
        <w:t>Shared claim-specific concepts:</w:t>
      </w:r>
      <w:r>
        <w:t xml:space="preserve"> smart, grid, energy, electricity, perspectives; EU scope not established. This is a provisional connection, not an outcome finding.</w:t>
      </w:r>
    </w:p>
    <w:p>
      <w:pPr>
        <w:pStyle w:val="SourceNote"/>
      </w:pPr>
      <w:r>
        <w:rPr>
          <w:b/>
        </w:rPr>
        <w:t>Available abstract (not full text):</w:t>
      </w:r>
      <w:r>
        <w:t xml:space="preserve"> Smart Grids – Innovations for a Sustainable Future presents a timely and comprehensive exploration of how modern power systems are evolving to meet the demands of decarbonization, digitalization, and resilience. As electricity networks transition toward high shares of renewable energy, inverter-based resources, and data-driven operation, smart grids are emerging as the backbone of a sustainable energy future. This book brings together interdisciplinary perspectives on artificial intelligence in power systems, advanced microgrid control, renewable energy integration, cyber-physical security, electricity markets, and community-oriented energy solutions. It highlights how trustworthy AI, intelligent forecasting, decentralized control, and robust policy frameworks can work together to enhance grid reliability, flexibility, and transparency. By bridging technical innovation with market design and socio-technical considerations, the volume offers a holistic view of smart grid development that goes beyond conventional engineering approaches. Designed for researchers, engineers, policymakers, and advanced students, this book provides valuable insights, conceptual frameworks, and practical perspectives to support informed decision-making and innovation across the smart grid ecosystem, making it a useful reference for those shaping the next generation of sustainable, intelligent power sy</w:t>
      </w:r>
    </w:p>
    <w:p>
      <w:pPr/>
      <w:r>
        <w:rPr>
          <w:b/>
        </w:rPr>
        <w:t>POSSIBLE 2026:</w:t>
      </w:r>
      <w:r>
        <w:t xml:space="preserve"> Towards consumer-oriented smart grids : investigating consumer perspectives on the adoption of smart technologies and services — https://openalex.org/W7222853900</w:t>
      </w:r>
    </w:p>
    <w:p>
      <w:pPr/>
      <w:r>
        <w:rPr>
          <w:b/>
        </w:rPr>
        <w:t>Shared claim-specific concepts:</w:t>
      </w:r>
      <w:r>
        <w:t xml:space="preserve"> smart, grid, increasingly, energy, first, perspectives; EU scope visible. This is a provisional connection, not an outcome finding.</w:t>
      </w:r>
    </w:p>
    <w:p>
      <w:pPr>
        <w:pStyle w:val="SourceNote"/>
      </w:pPr>
      <w:r>
        <w:rPr>
          <w:b/>
        </w:rPr>
        <w:t>Available abstract (not full text):</w:t>
      </w:r>
      <w:r>
        <w:t xml:space="preserve"> Consumers are expected to play a central role in smart grids, and therefore, it is becoming increasingly important to identify and understand factors that influence consumer engagement in them through various smart grid technologies and services. This dissertation focuses on investigating consumer opinions, awareness, and experiences of key smart grid technologies and services, as well as on analysing factors and variables that influence their adoption. By providing insights for both theory and practice, the research carried out in this dissertation aims to support the development of consumer-oriented smart grids and to inform efforts to promote the adoption of smart grid technologies and services. The research conducted in the dissertation adopts both qualitative and quantitative methods. First, consumer perspectives towards demand response are investigated using a systematic review and thematic synthesis of previous European demand response projects. Secondly, to improve the understanding of the roles of trust and technological knowledge in affecting technology adoption in the smart grid context, a cross-sectional online questionnaire survey of Finnish consumers is carried out, and the data are analysed using path analysis. Lastly, a machine learning-based social media sentiment analysis is conducted to examine how consumer opinions of various smart grid technologies and beha</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2023:</w:t>
      </w:r>
      <w:r>
        <w:t xml:space="preserve"> Smart Energy Meters for Smart Grids, an Internet of Things Perspective — https://doi.org/10.3390/en16041974</w:t>
      </w:r>
    </w:p>
    <w:p>
      <w:pPr/>
      <w:r>
        <w:rPr>
          <w:b/>
        </w:rPr>
        <w:t>Shared claim-specific concepts:</w:t>
      </w:r>
      <w:r>
        <w:t xml:space="preserve"> smart, grid, energy, electricity, meters, seen; EU scope not established. This is a provisional connection, not an outcome finding.</w:t>
      </w:r>
    </w:p>
    <w:p>
      <w:pPr>
        <w:pStyle w:val="SourceNote"/>
      </w:pPr>
      <w:r>
        <w:rPr>
          <w:b/>
        </w:rPr>
        <w:t>Available abstract (not full text):</w:t>
      </w:r>
      <w:r>
        <w:t xml:space="preserve"> Smart energy has evolved over the years to include multiple domains integrated across multiple technology themes, such as electricity, smart grid, and logistics, linked through communication technology and processed in the cloud in a holistic way to deliver on global challenges. Advances in sensing, communication, and computation technologies have been made that enable better smart system implementations. In smart energy systems, sensing technologies have spanned multiple domains with newer techniques that are more accurate, have greater dynamic ranges, and are more reliable. Similarly, communication techniques have now evolved into very high-speed, flexible, and dynamic systems. Computation techniques have seen a quantum leap with greater integration, powerful computing engines, and versatile software stacks that are easily available and modifiable. Finally, the system integration has also seen advances in the form of management, automation, and analytics paradigms. Consequently, smart energy systems have witnessed a revolutionary transformation. The complexity has correspondingly grown exponentially. With regard to smart meters, the measurement component has to scale up to meet the demands of the evolved energy eco-system by relying on the advancements offered. The internet of things (IoT) is a key technology enabler in this scenario, and the smart meter is a key component. I</w:t>
      </w:r>
    </w:p>
    <w:p>
      <w:pPr/>
      <w:r>
        <w:rPr>
          <w:b/>
        </w:rPr>
        <w:t>POSSIBLE 2023:</w:t>
      </w:r>
      <w:r>
        <w:t xml:space="preserve"> From Smart Grids to Super Smart Grids: A Roadmap for Strategic Demand Management for Next Generation SAARC and European Power Infrastructure — https://doi.org/10.1109/access.2023.3241686</w:t>
      </w:r>
    </w:p>
    <w:p>
      <w:pPr/>
      <w:r>
        <w:rPr>
          <w:b/>
        </w:rPr>
        <w:t>Shared claim-specific concepts:</w:t>
      </w:r>
      <w:r>
        <w:t xml:space="preserve"> smart, energy, electricity, step, multiple; EU scope visible. This is a provisional connection, not an outcome finding.</w:t>
      </w:r>
    </w:p>
    <w:p>
      <w:pPr>
        <w:pStyle w:val="SourceNote"/>
      </w:pPr>
      <w:r>
        <w:rPr>
          <w:b/>
        </w:rPr>
        <w:t>Available abstract (not full text):</w:t>
      </w:r>
      <w:r>
        <w:t xml:space="preserve"> Due to an increasing of demands of electricity in a world on regular basis, different continents will initiate a step towards transforming their smart grids infrastructure into super smart grids (SSGs), in which various countries in a continent will take a step towards an interconnection of their power system networks with one another to manage their futuristic demands conditions. The concept of SSGs system is predicated due to extensive use of modern technology, digital communication, machine learning and modern information techniques for the present power generating system to be more accurate and feature on balancing demand and supply. The SSGs uses renewable energy resources to support power system of multiple countries by reducing the greenhouse gases emissions. The main purpose of transforming smart grids into SSGs is to balance the demands and supply between multiple countries, if each country is not able to manage their own demands profiles. The environmental conditions, lack of energy management, intermittent nature of renewable energy resources and line losses are the major hurdles to provide regular supply. This research work focused about the hurdles in the form of technical challenges that will be arises in case of developing a futuristic SSGs for European and SAARC continents, and thus provide a valuable solution for it along with discussion about the future resear</w:t>
      </w:r>
    </w:p>
    <w:p>
      <w:pPr/>
      <w:r>
        <w:rPr>
          <w:b/>
        </w:rPr>
        <w:t>POSSIBLE 2023:</w:t>
      </w:r>
      <w:r>
        <w:t xml:space="preserve"> Smart grids: levers towards reducing disparities between cities or targets on the European energy innovation map? — https://openalex.org/W7113512371</w:t>
      </w:r>
    </w:p>
    <w:p>
      <w:pPr/>
      <w:r>
        <w:rPr>
          <w:b/>
        </w:rPr>
        <w:t>Shared claim-specific concepts:</w:t>
      </w:r>
      <w:r>
        <w:t xml:space="preserve"> smart, grid, energy, policies, science; EU scope visible. This is a provisional connection, not an outcome finding.</w:t>
      </w:r>
    </w:p>
    <w:p>
      <w:pPr>
        <w:pStyle w:val="SourceNote"/>
      </w:pPr>
      <w:r>
        <w:rPr>
          <w:b/>
        </w:rPr>
        <w:t>Available abstract (not full text):</w:t>
      </w:r>
      <w:r>
        <w:t xml:space="preserve"> The energy market liberalization in Europe strives to be more than an aggregation of functional energy national systems, but a smart and unified approach to a market subjected to various disparities amongst states. Given that states are characterized by distinctive levels of investments in the innovation sector, as well as the technological one, a swift and harmonized market liberalization seems to be more a desiderate, rather than an actual objective. The objective of this research is to deliberate and analyse to which extend a smart grid, in its whole mechanics, may reduce the number of disparities between European cities. Moreover, the research will try to depict a smart approach towards implementing successful models of smart grids on markets not yet matured. In this paper I will refine and further deliberate concepts that I have advanced during my Doctoral research in the field of energy market liberalization, but now on a more evolved and in-detail approach; trying to answer to questions such as: is the actual liberalized energy market capable to successfully sustain a smart grid/ smart network approach? And if yes, are the smart consumers enabled to use the advantages, such as smart metering, to full potential? The main result of this research will be to create a matrix, based on comparative research and case study approach, of existing capabilities on the Romanian energ</w:t>
      </w:r>
    </w:p>
    <w:p>
      <w:pPr/>
      <w:r>
        <w:rPr>
          <w:b/>
        </w:rPr>
        <w:t>POSSIBLE 2023:</w:t>
      </w:r>
      <w:r>
        <w:t xml:space="preserve"> Smart grid technologies and application in the sustainable energy transition: a review — https://doi.org/10.1080/14786451.2023.2222298</w:t>
      </w:r>
    </w:p>
    <w:p>
      <w:pPr/>
      <w:r>
        <w:rPr>
          <w:b/>
        </w:rPr>
        <w:t>Shared claim-specific concepts:</w:t>
      </w:r>
      <w:r>
        <w:t xml:space="preserve"> smart, grid, energy, electricity, facilitate; EU scope not established. This is a provisional connection, not an outcome finding.</w:t>
      </w:r>
    </w:p>
    <w:p>
      <w:pPr>
        <w:pStyle w:val="SourceNote"/>
      </w:pPr>
      <w:r>
        <w:rPr>
          <w:b/>
        </w:rPr>
        <w:t>Available abstract (not full text):</w:t>
      </w:r>
      <w:r>
        <w:t xml:space="preserve"> The smart grid is a product of the advances in computer and communication technology and power electronics that creates a more resilient, reliable and one that supports a two-way flow of electricity and information.The smart grid enables more uptake of the variable renewables like wind, solar and variable loads like the plug-in cars and improves the efficiency of power systems and facilitate several products and services supported by the grid like automatic healing and rerouting of power in case of a fault and demand side management.The deployment and use of smart grids will enhance the realization of shared goals of grid stakeholders, promote energy security, enable economic growth, and help in the mitigation of climate change.</w:t>
      </w:r>
    </w:p>
    <w:p>
      <w:pPr/>
      <w:r>
        <w:rPr>
          <w:b/>
        </w:rPr>
        <w:t>POSSIBLE 2023:</w:t>
      </w:r>
      <w:r>
        <w:t xml:space="preserve"> A State-of-the-Art Review of Smart Energy Systems and Their Management in a Smart Grid Environment — https://doi.org/10.3390/en16010472</w:t>
      </w:r>
    </w:p>
    <w:p>
      <w:pPr/>
      <w:r>
        <w:rPr>
          <w:b/>
        </w:rPr>
        <w:t>Shared claim-specific concepts:</w:t>
      </w:r>
      <w:r>
        <w:t xml:space="preserve"> smart, grid, energy, electricity, increased; EU scope not established. This is a provisional connection, not an outcome finding.</w:t>
      </w:r>
    </w:p>
    <w:p>
      <w:pPr>
        <w:pStyle w:val="SourceNote"/>
      </w:pPr>
      <w:r>
        <w:rPr>
          <w:b/>
        </w:rPr>
        <w:t>Available abstract (not full text):</w:t>
      </w:r>
      <w:r>
        <w:t xml:space="preserve"> A smart grid (SG), considered as a future electricity grid, utilizes bidirectional electricity and information flow to establish automated and widely distributed power generation. The SG provides a delivery network that has distributed energy sources, real-time asset monitoring, increased power quality, increased stability and reliability, and two-way information sharing. Furthermore, SG provides many advantages, such as demand response, distribution automation, optimized use of electricity, economical energy, real-time grid status monitoring, voltage regulation or VAR control, and electricity storage. In this survey, we explore the literature on smart Grid enabling technologies until 2022. We dig out four major systems: (1) the smart grid’s prominent features and challenges; (2) the smart grid standard system and legislations; (3) smart grid energy subsystem; and (4) the smart grid management system and protection system for new researchers for their future projects. The research challenges and future recommendations are also presented in the conclusion section to explore the new paradigm.</w:t>
      </w:r>
    </w:p>
    <w:p>
      <w:pPr/>
      <w:r>
        <w:rPr>
          <w:b/>
        </w:rPr>
        <w:t>POSSIBLE 2022:</w:t>
      </w:r>
      <w:r>
        <w:t xml:space="preserve"> Mobility in the Smart Grid: Roaming Protocols for EV Charging — https://doi.org/10.1109/tsg.2022.3202608</w:t>
      </w:r>
    </w:p>
    <w:p>
      <w:pPr/>
      <w:r>
        <w:rPr>
          <w:b/>
        </w:rPr>
        <w:t>Shared claim-specific concepts:</w:t>
      </w:r>
      <w:r>
        <w:t xml:space="preserve"> smart, grid, increasingly, openness; EU scope visible. This is a provisional connection, not an outcome finding.</w:t>
      </w:r>
    </w:p>
    <w:p>
      <w:pPr>
        <w:pStyle w:val="SourceNote"/>
      </w:pPr>
      <w:r>
        <w:rPr>
          <w:b/>
        </w:rPr>
        <w:t>Available abstract (not full text):</w:t>
      </w:r>
      <w:r>
        <w:t xml:space="preserve"> While most smart grids approaches assume that the user consumes services in a fixed location, the case of charging Battery Electric Vehicles (BEVs) adds an interesting mobility dimension. Drivers increasingly need to rely on public charging facilities, and given local grid conditions, such facilities often cannot offer their services without smart charging and tight integration in the smart grid. In analogy with mobile telecommunications, stakeholders in the field of EV charging have developed EV roaming protocols to allow for a mobility dimension, and, for some, add smart grid integration. However, this development is still in its early phase, and in Europe, there are at least four different, mutually incompatible protocols in use. In this paper, we investigate the history of these protocols, their characteristics – especially in relation to the smart grid – and investigate their openness and neutrality. We then explore scenarios for future development towards a single standard, also taking the regulatory dimension into consideration. We end with a reflection on the development of standards for the smart grid.</w:t>
      </w:r>
    </w:p>
    <w:p>
      <w:pPr/>
      <w:r>
        <w:rPr>
          <w:b/>
        </w:rPr>
        <w:t>POSSIBLE 2022:</w:t>
      </w:r>
      <w:r>
        <w:t xml:space="preserve"> Quantum computing for smart grid applications — https://doi.org/10.1049/gtd2.12602</w:t>
      </w:r>
    </w:p>
    <w:p>
      <w:pPr/>
      <w:r>
        <w:rPr>
          <w:b/>
        </w:rPr>
        <w:t>Shared claim-specific concepts:</w:t>
      </w:r>
      <w:r>
        <w:t xml:space="preserve"> smart, grid, energy, promising; EU scope not established. This is a provisional connection, not an outcome finding.</w:t>
      </w:r>
    </w:p>
    <w:p>
      <w:pPr>
        <w:pStyle w:val="SourceNote"/>
      </w:pPr>
      <w:r>
        <w:rPr>
          <w:b/>
        </w:rPr>
        <w:t>Available abstract (not full text):</w:t>
      </w:r>
      <w:r>
        <w:t xml:space="preserve"> Abstract Computational complexities in modern power systems are reportedly increasing daily, and it is anticipated that traditional computers might be inadequate to provide the computation prerequisite in future complex power grids. In that given context, quantum computing (QC) can be considered a next‐generation alternative solution to deal with upcoming computational challenges in smart grids. The QC is a relatively new yet promising technology that leverages the unique phenomena of quantum mechanics in processing information and computations. This emerging paradigm shows a significant potential to overcome the barrier of computational limitations with better and faster solutions in optimization, simulations, and machine learning problems. In recent years, substantial progress in developing advanced quantum hardware, software, and algorithms have made QC more feasible to apply in various research areas, including smart grids. It is evident that considerable research has already been carried out, and such efforts are remarkably continuing. As QC is a highly evolving field of study, a brief review of the existing literature will be vital to realize the state‐of‐art on QC for smart grid applications. Therefore, this article summarizes the research outcomes of the most recent papers, highlights their suggestions for utilizing QC techniques for various smart grid applications, and</w:t>
      </w:r>
    </w:p>
    <w:p>
      <w:pPr/>
      <w:r>
        <w:rPr>
          <w:b/>
        </w:rPr>
        <w:t>POSSIBLE 2022:</w:t>
      </w:r>
      <w:r>
        <w:t xml:space="preserve"> Review of Smart Grid and Nascent Energy Policies: Pakistan as a Case Study — https://doi.org/10.3390/en15197044</w:t>
      </w:r>
    </w:p>
    <w:p>
      <w:pPr/>
      <w:r>
        <w:rPr>
          <w:b/>
        </w:rPr>
        <w:t>Shared claim-specific concepts:</w:t>
      </w:r>
      <w:r>
        <w:t xml:space="preserve"> smart, grid, energy, policies, electricity; EU scope not established. This is a provisional connection, not an outcome finding.</w:t>
      </w:r>
    </w:p>
    <w:p>
      <w:pPr>
        <w:pStyle w:val="SourceNote"/>
      </w:pPr>
      <w:r>
        <w:rPr>
          <w:b/>
        </w:rPr>
        <w:t>Available abstract (not full text):</w:t>
      </w:r>
      <w:r>
        <w:t xml:space="preserve"> Smart grid plays a vital role in energy management systems. It helps to mitigate the demand side management of electricity by managing the microgrid. In the modern era, the concept of hybrid microgrids emerged which helps the smart grid management of electricity. Additionally, the Internet of Things (IoT) technology is used to integrate the hybrid microgrid. Thus, various policies and topologies are employed to perform the task meticulously. Pakistan being an energy deficient country has recently introduced some new policies such as Energy Wheeling Policy (EWP), Energy Import Policy (EIP), and Net Metering/Distributed Generation Policy (NMP) to manage the electricity demand effectively. In addition, the Energy Efficiency and Conservation Act (EECA) has also been introduced. In this paper, we present the overview and impact of these policies in the context of the local energy market and modern information and communication mechanisms proposed for smart grids. These new policies primarily focus on energy demand–supply for various types of consumers such as the demand for bulk energy for industrial ventures and the distributed production by consumers. The EWP deals with obtaining power from remote areas within the country to ease the energy situation in populated load centers and the EIP highlights energy import guidelines from foreign countries. The NMP deals with the integration</w:t>
      </w:r>
    </w:p>
    <w:p>
      <w:pPr/>
      <w:r>
        <w:rPr>
          <w:b/>
        </w:rPr>
        <w:t>POSSIBLE 2022:</w:t>
      </w:r>
      <w:r>
        <w:t xml:space="preserve"> A review of behind-the-meter energy storage systems in smart grids — https://doi.org/10.1016/j.rser.2022.112573</w:t>
      </w:r>
    </w:p>
    <w:p>
      <w:pPr/>
      <w:r>
        <w:rPr>
          <w:b/>
        </w:rPr>
        <w:t>Shared claim-specific concepts:</w:t>
      </w:r>
      <w:r>
        <w:t xml:space="preserve"> smart, energy, policies, perspectives; EU scope not established. This is a provisional connection, not an outcome finding.</w:t>
      </w:r>
    </w:p>
    <w:p>
      <w:pPr>
        <w:pStyle w:val="SourceNote"/>
      </w:pPr>
      <w:r>
        <w:rPr>
          <w:b/>
        </w:rPr>
        <w:t>Available abstract (not full text):</w:t>
      </w:r>
      <w:r>
        <w:t xml:space="preserve"> The electric power industry is experiencing a paradigm shift towards a carbon-free smart system boosted by rising energy demand, depreciation of long-lived physical assets, as well as global environmental challenges. Recent advances in information and communications technology, as well as the widespread integration of renewable energy resources to the power distribution system, have introduced new opportunities and challenges for system operators and end-users alike. Energy storage systems (ESSs) can help make the most of the opportunities and mitigate the potential challenges. Hence, the installed capacity of ESSs is rapidly increasing, both in front-of-the-meter and behind-the-meter (BTM), accelerated by recent deep reductions in ESS costs. This work is focused on BTM ESSs installed in end-users ' premises and associated technologies, different billing and pricing policies, as well as their potential capabilities from both the system operators' and end-users’ perspectives. Furthermore, a brief but comprehensive overview of optimization solutions for BTM energy management problems and a quick summary of some BTM case studies are provided. Finally, challenges in the realization of BTM systems in today's power system are explored, and potential research areas and progressive solutions for future studies are identified.</w:t>
      </w:r>
    </w:p>
    <w:p>
      <w:pPr>
        <w:pStyle w:val="Heading2"/>
      </w:pPr>
      <w:r>
        <w:t>876.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2026:</w:t>
      </w:r>
      <w:r>
        <w:t xml:space="preserve"> European Wild Bees: moving from assessment to conservation planning — https://doi.org/10.2779/5662020kh-01-25-230</w:t>
      </w:r>
    </w:p>
    <w:p>
      <w:pPr/>
      <w:r>
        <w:rPr>
          <w:b/>
        </w:rPr>
        <w:t>Shared claim-specific concepts:</w:t>
      </w:r>
      <w:r>
        <w:t xml:space="preserve"> planning, following, mission, group;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r>
        <w:rPr>
          <w:b/>
        </w:rPr>
        <w:t>POSSIBLE 2021:</w:t>
      </w:r>
      <w:r>
        <w:t xml:space="preserve"> European recommendations on the proper indication and use of peripheral venous access devices (the ERPIUP consensus): A WoCoVA project — https://doi.org/10.1177/11297298211023274</w:t>
      </w:r>
    </w:p>
    <w:p>
      <w:pPr/>
      <w:r>
        <w:rPr>
          <w:b/>
        </w:rPr>
        <w:t>Shared claim-specific concepts:</w:t>
      </w:r>
      <w:r>
        <w:t xml:space="preserve"> purpose, discuss, developed, following; EU scope visible. This is a provisional connection, not an outcome finding.</w:t>
      </w:r>
    </w:p>
    <w:p>
      <w:pPr>
        <w:pStyle w:val="SourceNote"/>
      </w:pPr>
      <w:r>
        <w:rPr>
          <w:b/>
        </w:rPr>
        <w:t>Available abstract (not full text):</w:t>
      </w:r>
      <w:r>
        <w:t xml:space="preserve"> Since several innovations have recently changed the criteria of choice and management of peripheral venous access (new devices, new techniques of insertion, new recommendations for maintenance), the WoCoVA Foundation (WoCoVA = World Conference on Vascular Access) has developed an international Consensus with the following objectives: to propose a clear and useful classification of the currently available peripheral venous access devices; to clarify the proper indication of central versus peripheral venous access; discuss the indications of the different peripheral venous access devices (short peripheral cannulas vs long peripheral cannulas vs midline catheters); to define the proper techniques of insertion and maintenance that should be recommended today. To achieve these purposes, WoCoVA have decided to adopt a European point of view, considering some relevant differences of terminology between North America and Europe in this area of venous access and the need for a common basis of understanding among the experts recruited for this project. The ERPIUP Consensus (ERPIUP = European Recommendations for Proper Indication and Use of Peripheral venous access) was designed to offer systematic recommendations for clinical practice, covering every aspect of management of peripheral venous access devices in the adult patient: indication, insertion, maintenance, prevention and treatment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following;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2019:</w:t>
      </w:r>
      <w:r>
        <w:t xml:space="preserve"> Autonomous Road Vehicles: Challenges for Urban Planning in European Cities — https://doi.org/10.3390/urbansci3020061</w:t>
      </w:r>
    </w:p>
    <w:p>
      <w:pPr/>
      <w:r>
        <w:rPr>
          <w:b/>
        </w:rPr>
        <w:t>Shared claim-specific concepts:</w:t>
      </w:r>
      <w:r>
        <w:t xml:space="preserve"> planning, used, design; EU scope visible. This is a provisional connection, not an outcome finding.</w:t>
      </w:r>
    </w:p>
    <w:p>
      <w:pPr>
        <w:pStyle w:val="SourceNote"/>
      </w:pPr>
      <w:r>
        <w:rPr>
          <w:b/>
        </w:rPr>
        <w:t>Available abstract (not full text):</w:t>
      </w:r>
      <w:r>
        <w:t xml:space="preserve"> Autonomous vehicles will significantly affect mobility conditions in the future. The changes in mobility conditions are expected to have an impact on urban development and, more specifically, on location choices, land use organisation and infrastructure design. Nowadays, there is not enough data for a real-life assessment of this impact. Experts estimate that autonomous vehicles will be available for uptake in the next decade. Therefore, urban planners should consider the possible impacts from autonomous vehicles on cities and the future challenges for urban planning. In this context, the present paper focuses on the challenges from the implementation of autonomous road vehicles for passenger transport in European cities. The analysis is based on a systematic review of research and policy. The main outcome of the analysis is a set of challenges for urban planning regarding the features of urban development, the local and European policy priorities, the current lack of data for planning and the potential for autonomous vehicles to be used by planners as data sources. The paper concludes that tackling these challenges is essential for the full exploitation of the autonomous vehicles’ potential to promote sustainable urban development.</w:t>
      </w:r>
    </w:p>
    <w:p>
      <w:pPr/>
      <w:r>
        <w:rPr>
          <w:b/>
        </w:rPr>
        <w:t>POSSIBLE 2019:</w:t>
      </w:r>
      <w:r>
        <w:t xml:space="preserve"> Planning for the North-European Waterfront Cities — https://doi.org/10.1088/1757-899x/603/5/052047</w:t>
      </w:r>
    </w:p>
    <w:p>
      <w:pPr/>
      <w:r>
        <w:rPr>
          <w:b/>
        </w:rPr>
        <w:t>Shared claim-specific concepts:</w:t>
      </w:r>
      <w:r>
        <w:t xml:space="preserve"> planning, used, tourism, design, group; EU scope visible. This is a provisional connection, not an outcome finding.</w:t>
      </w:r>
    </w:p>
    <w:p>
      <w:pPr>
        <w:pStyle w:val="SourceNote"/>
      </w:pPr>
      <w:r>
        <w:rPr>
          <w:b/>
        </w:rPr>
        <w:t>Available abstract (not full text):</w:t>
      </w:r>
      <w:r>
        <w:t xml:space="preserve"> Abstract Redevelopment of urban waterfronts is one of the leading themes in contemporary planning practice. This issue is a subject of interest to many scholars and practitioners, associated with development of waterfront cities. In literature on this topic one can find a lot of information regarding leading examples of this process, discussion of issues and problems associated with this phenomenon as well as analysis of the results achieved. In addition, many specialists in this field managed to develop a sort of “guide of good practice” for cities and planners interested in undertaking an effort associated with reshaping the waterfront site. But one can easily spot that most of the cases discussed are based in climate zones allowing extensive public use of the waterfront sites for the most part of the year. Therefore, the phenomenon of waterfront redevelopment is frequently associated with extensive development of large scale urban structures, in the climate realities allowing extensive public usage of these. On the basis of the “success stories” of many cities undertaking the waterfront urban redevelopment process also municipalities located in “less privileged” from the climate point of view areas as well as small-and medium-sized cities tend to rethink their water related urban structures. This relates both to cities located in the hot and cold climate zones – which to lar</w:t>
      </w:r>
    </w:p>
    <w:p>
      <w:pPr/>
      <w:r>
        <w:rPr>
          <w:b/>
        </w:rPr>
        <w:t>POSSIBLE 2018:</w:t>
      </w:r>
      <w:r>
        <w:t xml:space="preserve"> Prevalence and incidence of myalgic encephalomyelitis/chronic fatigue syndrome in Europe—the Euro-epiME study from the European network EUROMENE: a protocol for a systematic review — https://doi.org/10.1136/bmjopen-2017-020817</w:t>
      </w:r>
    </w:p>
    <w:p>
      <w:pPr/>
      <w:r>
        <w:rPr>
          <w:b/>
        </w:rPr>
        <w:t>Shared claim-specific concepts:</w:t>
      </w:r>
      <w:r>
        <w:t xml:space="preserve"> discuss, sections, methodological, applied; EU scope visible. This is a provisional connection, not an outcome finding.</w:t>
      </w:r>
    </w:p>
    <w:p>
      <w:pPr>
        <w:pStyle w:val="SourceNote"/>
      </w:pPr>
      <w:r>
        <w:rPr>
          <w:b/>
        </w:rPr>
        <w:t>Available abstract (not full text):</w:t>
      </w:r>
      <w:r>
        <w:t xml:space="preserve"> INTRODUCTION: Myalgic encephalomyelitis/chronic fatigue syndrome (ME/CFS) is a chronic disease involving central nervous system and immune system disorders, as well as cardiovascular abnormalities. ME/CFS is characterised by severe chronic fatigue lasting for at least 6 months, including clinical symptoms such as tender cervical or axillary lymph nodes, muscle pain, joint pain without swelling or redness, post-exertional malaise for more than 24 hours and unrefreshing sleep. Studies on the epidemiology of ME/CFS in Europe only include single countries and, therefore, the prevalence and incidence of ME/CFS in Europe (as a whole) is unknown. One of the purposes of the European Network on ME/CFS (EUROMENE; European Union-funded COST Action; Reference number: 15111) is to address this gap in knowledge. We will systematically review the literature reporting figures from European countries to provide a robust summary and identify new challenges. METHODS AND ANALYSIS: We will systematically search the literature databases Scopus, PubMed and Web of Science for studies published in the last 10 years (ie, after 2007). No language restriction will be applied. Two independent reviewers will search, screen and select studies as well as extract data about their main characteristics and evaluate their methodological and reporting quality. When disagreements emerge, the reviewers will discuss </w:t>
      </w:r>
    </w:p>
    <w:p>
      <w:pPr/>
      <w:r>
        <w:rPr>
          <w:b/>
        </w:rPr>
        <w:t>POSSIBLE 2018:</w:t>
      </w:r>
      <w:r>
        <w:t xml:space="preserve"> Innovating in less developed regions: What drives patenting in the lagging regions of Europe and North America — https://doi.org/10.1111/grow.12280</w:t>
      </w:r>
    </w:p>
    <w:p>
      <w:pPr/>
      <w:r>
        <w:rPr>
          <w:b/>
        </w:rPr>
        <w:t>Shared claim-specific concepts:</w:t>
      </w:r>
      <w:r>
        <w:t xml:space="preserve"> approach, developed, design; EU scope visible. This is a provisional connection, not an outcome finding.</w:t>
      </w:r>
    </w:p>
    <w:p>
      <w:pPr>
        <w:pStyle w:val="SourceNote"/>
      </w:pPr>
      <w:r>
        <w:rPr>
          <w:b/>
        </w:rPr>
        <w:t>Available abstract (not full text):</w:t>
      </w:r>
      <w:r>
        <w:t xml:space="preserve"> Abstract Not all economically disadvantaged—“less developed” or “lagging”—regions are the same. They are, however, often bundled together for the purposes of innovation policy design and implementation. This paper attempts to determine whether such bundling is warranted by conducting a regional level investigation for Canada, the United States, on the one hand, and Europe, on the other, to (a) identify the structural and socioeconomic factors that drive patenting in the less developed regions of North America and Europe, respectively; and (b) explore how these factors differ between the two contexts. The empirical analysis, estimated using a mixed‐model approach, reveals that, while there are similarities between the drivers of innovation in North America's and Europe's lagging regions, a number of important differences between the two continents prevail. The analysis also indicates that the territorial processes of innovation in North America's and Europe's less developed regions are more similar to those of their more developed counterparts than to one another.</w:t>
      </w:r>
    </w:p>
    <w:p>
      <w:pPr/>
      <w:r>
        <w:rPr>
          <w:b/>
        </w:rPr>
        <w:t>POSSIBLE 2018:</w:t>
      </w:r>
      <w:r>
        <w:t xml:space="preserve"> How to use nature-based solutions in urban planning systems of Europe? — https://openalex.org/W3041629319</w:t>
      </w:r>
    </w:p>
    <w:p>
      <w:pPr/>
      <w:r>
        <w:rPr>
          <w:b/>
        </w:rPr>
        <w:t>Shared claim-specific concepts:</w:t>
      </w:r>
      <w:r>
        <w:t xml:space="preserve"> planning, developed, used, methodology; EU scope visible. This is a provisional connection, not an outcome finding.</w:t>
      </w:r>
    </w:p>
    <w:p>
      <w:pPr>
        <w:pStyle w:val="SourceNote"/>
      </w:pPr>
      <w:r>
        <w:rPr>
          <w:b/>
        </w:rPr>
        <w:t>Available abstract (not full text):</w:t>
      </w:r>
      <w:r>
        <w:t xml:space="preserve"> In developed countries, the level of urbanization is still rising and expected to reach 83% in 2030 [United Nations, 2012]. As a result of rapid growing of urban areas and population, the urban planners several challenges. For example, risks of flooding due to overload of the drainage system, and pollution due to combined sewer overflows and diffuse pollution, consequently increase significantly. Questions about biodiversity promotion and urban heat islands are also emerging as major issues in the construction of sustainable cities [Berretta et al; 2014].European Commission, (2015) highlighted nature-based solutions in order to address the mentioned urban problems related to climatic, demographic and technological changes. The aim is to bring new solutions into urban planning and thus, to address those challenges and to improve the well-being sensation, quality of life of city dwellers.Nature-based solutions (NBS) are one of the newest concepts for tackling urban challenges. The concept of NBS was meant to reform the methodology of urban planning in EU countries and deliver multiple environmental, social and economic benefits through introducing and implementing a new toolkit based on natural resources. In the Horizon 2020 project, Nature4Cities besides multi-thematic and multi-scalar evaluation of nature-based solutions and their effectiveness in addressing different urban cha</w:t>
      </w:r>
    </w:p>
    <w:p>
      <w:pPr>
        <w:pStyle w:val="Heading2"/>
      </w:pPr>
      <w:r>
        <w:t>877.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r>
        <w:rPr>
          <w:b/>
        </w:rPr>
        <w:t>POSSIBLE 2023:</w:t>
      </w:r>
      <w:r>
        <w:t xml:space="preserve"> Fuzzy Hardware Tool: An Adaptable Tool to Facilitate the Implementation of Fuzzy Inference Systems in Hardware — https://doi.org/10.3390/electronics12132853</w:t>
      </w:r>
    </w:p>
    <w:p>
      <w:pPr/>
      <w:r>
        <w:rPr>
          <w:b/>
        </w:rPr>
        <w:t>Shared claim-specific concepts:</w:t>
      </w:r>
      <w:r>
        <w:t xml:space="preserve"> implement, tool, performance; EU scope not established. This is a provisional connection, not an outcome finding.</w:t>
      </w:r>
    </w:p>
    <w:p>
      <w:pPr>
        <w:pStyle w:val="SourceNote"/>
      </w:pPr>
      <w:r>
        <w:rPr>
          <w:b/>
        </w:rPr>
        <w:t>Available abstract (not full text):</w:t>
      </w:r>
      <w:r>
        <w:t xml:space="preserve"> A Fuzzy Inference System (FIS) is a system that represents human reasoning based on fuzzy if-then rules to extract valid results from imprecise or uncertain information. These systems have been applied to various engineering fields, such as control and image recognition, and have encouraged the search for development tools that provide facilities for the design, simulation, and implementation of FISs. Most of the available software tools for the design of FISs have been developed by the scientific community, and very few are commercial tools. According to the state of the technology, the fuzzy systems implemented in hardware have shown higher performance than software implementations. For this reason, different strategies for automatic hardware synthesis of FISs have been proposed in the literature. The available tools for FIS implementation, including MATLAB, Simulink, and Xfuzzy environment, require advanced hardware knowledge, and it is necessary to synthesize and implement the program on FPGA each time a change is made to the code. This paper presents a novel approach for the implementation of fuzzy systems on hardware devices that enables the direct implementation of FISs through a graphical user interface. The VHDL code is pre-synthesized and integrated with the interface, allowing users to experiment with different input parameters, such as membership functions and fuzzy</w:t>
      </w:r>
    </w:p>
    <w:p>
      <w:pPr/>
      <w:r>
        <w:rPr>
          <w:b/>
        </w:rPr>
        <w:t>POSSIBLE 2022:</w:t>
      </w:r>
      <w:r>
        <w:t xml:space="preserve"> Implementation and use of remote work tools — https://doi.org/10.29119/1641-3466.2022.159.39</w:t>
      </w:r>
    </w:p>
    <w:p>
      <w:pPr/>
      <w:r>
        <w:rPr>
          <w:b/>
        </w:rPr>
        <w:t>Shared claim-specific concepts:</w:t>
      </w:r>
      <w:r>
        <w:t xml:space="preserve"> shows, tool, practical; EU scope not established. This is a provisional connection, not an outcome finding.</w:t>
      </w:r>
    </w:p>
    <w:p>
      <w:pPr>
        <w:pStyle w:val="SourceNote"/>
      </w:pPr>
      <w:r>
        <w:rPr>
          <w:b/>
        </w:rPr>
        <w:t>Available abstract (not full text):</w:t>
      </w:r>
      <w:r>
        <w:t xml:space="preserve">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pPr/>
      <w:r>
        <w:rPr>
          <w:b/>
        </w:rPr>
        <w:t>POSSIBLE 2022:</w:t>
      </w:r>
      <w:r>
        <w:t xml:space="preserve"> A methodological framework for theoretical explanation in performance management and management control systems research — https://doi.org/10.1108/qram-10-2021-0193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Purpose The purpose of this paper is to reflect on how to apply the abductive research process for developing a theoretical explanation in studies on performance management and management control systems. This is important because theoretically ambitious research tends to require explanatory study outcomes, but prior research frameworks provide little guidance in this regard, potentially facilitating ill-defined research designs and a lack of common vocabulary and criteria for evaluating studies. Design/methodology/approach The authors introduce a methodological framework that distinguishes three interwoven theoretical abstraction levels: descriptive, analytical and explanatory. They use a recently published qualitative field study to illustrate an application of the framework. Findings The framework and its illustrated application make the systematic logic of the abductive research process visible and accessible to researchers. The authors explain how the framework supports moving from empirical description to theoretical explanation during the research process and where the three levels might open spaces for the positioning of novel practices and conceptual and theoretical innovations. Originality/value The framework provides guidance for an explanatory research design and theory-building purpose and has been developed in response to recent criticism in the field that highlig</w:t>
      </w:r>
    </w:p>
    <w:p>
      <w:pPr/>
      <w:r>
        <w:rPr>
          <w:b/>
        </w:rPr>
        <w:t>POSSIBLE 2022:</w:t>
      </w:r>
      <w:r>
        <w:t xml:space="preserve"> VC Theoretical Explanation of Double Descent — https://doi.org/10.48550/arxiv.2205.15549</w:t>
      </w:r>
    </w:p>
    <w:p>
      <w:pPr/>
      <w:r>
        <w:rPr>
          <w:b/>
        </w:rPr>
        <w:t>Shared claim-specific concepts:</w:t>
      </w:r>
      <w:r>
        <w:t xml:space="preserve"> shows, theoretical, explanation, performance; EU scope not established. This is a provisional connection, not an outcome finding.</w:t>
      </w:r>
    </w:p>
    <w:p>
      <w:pPr>
        <w:pStyle w:val="SourceNote"/>
      </w:pPr>
      <w:r>
        <w:rPr>
          <w:b/>
        </w:rPr>
        <w:t>Available abstract (not full text):</w:t>
      </w:r>
      <w:r>
        <w:t xml:space="preserve"> There has been growing interest in generalization performance of large multilayer neural networks that can be trained to achieve zero training error, while generalizing well on test data. This regime is known as 'second descent' and it appears to contradict the conventional view that optimal model complexity should reflect an optimal balance between underfitting and overfitting, i.e., the bias-variance trade-off. This paper presents a VC-theoretical analysis of double descent and shows that it can be fully explained by classical VC-generalization bounds. We illustrate an application of analytic VC-bounds for modeling double descent for classification, using empirical results for several learning methods, such as SVM, Least Squares, and Multilayer Perceptron classifiers. In addition, we discuss several reasons for the misinterpretation of VC-theoretical results in Deep Learning community.</w:t>
      </w:r>
    </w:p>
    <w:p>
      <w:pPr/>
      <w:r>
        <w:rPr>
          <w:b/>
        </w:rPr>
        <w:t>POSSIBLE 2021:</w:t>
      </w:r>
      <w:r>
        <w:t xml:space="preserve"> Implementation of forecasting tool in the logistics company – case study — https://doi.org/10.29119/1641-3466.2021.152.9</w:t>
      </w:r>
    </w:p>
    <w:p>
      <w:pPr/>
      <w:r>
        <w:rPr>
          <w:b/>
        </w:rPr>
        <w:t>Shared claim-specific concepts:</w:t>
      </w:r>
      <w:r>
        <w:t xml:space="preserve"> shows, implement, tool; EU scope not established. This is a provisional connection, not an outcome finding.</w:t>
      </w:r>
    </w:p>
    <w:p>
      <w:pPr>
        <w:pStyle w:val="SourceNote"/>
      </w:pPr>
      <w:r>
        <w:rPr>
          <w:b/>
        </w:rPr>
        <w:t>Available abstract (not full text):</w:t>
      </w:r>
      <w:r>
        <w:t xml:space="preserve"> Purpose: The main aim of following article is the implementation and results analysis of created forecasting tool.Created tool is a tool for automated prediction of future demands level in chosen distribution networks where logistics operator is acting as a service provider.Design/methodology/approach: Article shows the conception of created forecasting tool and presents the deviations of forecasts from real values.Findings: Logistics enterprise could implement the forecasting tool to improvement their own activity.However it demands depth assortment analyzing and also it demands supporting the processes of automated forecasting by forecasting processes based on quality and mixed methods.Originality/value: The value of following article is showing the new function of logistics enterprise which is demand forecasting.It could be also a value added activity which logistic operator could offer to their customers.</w:t>
      </w:r>
    </w:p>
    <w:p>
      <w:pPr/>
      <w:r>
        <w:rPr>
          <w:b/>
        </w:rPr>
        <w:t>POSSIBLE 2020:</w:t>
      </w:r>
      <w:r>
        <w:t xml:space="preserve"> Role and implementation of sustainability management control tools: critical aspects in the Italian context — https://doi.org/10.1108/aaaj-02-2019-3887</w:t>
      </w:r>
    </w:p>
    <w:p>
      <w:pPr/>
      <w:r>
        <w:rPr>
          <w:b/>
        </w:rPr>
        <w:t>Shared claim-specific concepts:</w:t>
      </w:r>
      <w:r>
        <w:t xml:space="preserve"> shows, implement, theoretical, practical; EU scope not established. This is a provisional connection, not an outcome finding.</w:t>
      </w:r>
    </w:p>
    <w:p>
      <w:pPr>
        <w:pStyle w:val="SourceNote"/>
      </w:pPr>
      <w:r>
        <w:rPr>
          <w:b/>
        </w:rPr>
        <w:t>Available abstract (not full text):</w:t>
      </w:r>
      <w:r>
        <w:t xml:space="preserve"> Purpose The purpose of this paper is to show the relevance attributed to sustainability management control tools (SMCTs) and their real use. Mainly, this study aims to shed light on the approaches, motivations and difficulties encountered in SMCTs adoption by the most sustainable Italian companies, as well as their effectiveness. Design/methodology/approach Using a pre-structured qualitative survey method, the authors grasped information about external and internal dimensions of sustainability management in light of institutional and resource-based view theories. Data are elaborated with two methods: a regime analysis to assess the relevance of SMCTs and a descriptive analysis to investigate the “aim”, “which” and “how” of the SMCTs' use by companies listed in sustainability indices. Findings Informal SMCTs prevailed over formal ones. There is a discrepancy between attention paid to some tools praised in the literature and their knowledge and use. In addition, a significant gap exists between what is desired and what is achieved in terms of effectiveness. Further, although sustainability management is primarily oriented towards the external perspective, SMCTs can be key to improving both the disclosure and management of sustainability. Research limitations/implications The criteria for the selection of the sample resulted in a small number of analysed companies, which allowed u</w:t>
      </w:r>
    </w:p>
    <w:p>
      <w:pPr/>
      <w:r>
        <w:rPr>
          <w:b/>
        </w:rPr>
        <w:t>POSSIBLE 2019:</w:t>
      </w:r>
      <w:r>
        <w:t xml:space="preserve"> An Information-Theoretic Explanation for the Adversarial Fragility of AI Classifiers — https://doi.org/10.1109/isit.2019.8849757</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We present a simple hypothesis about a compression property of artificial intelligence (AI) classifiers and present theoretical arguments to show that this hypothesis successfully accounts for the observed fragility of AI classifiers to small adversarial perturbations. We also propose a new method for detecting when small input perturbations cause classifier errors, and show theoretical guarantees for the performance of this detection method. We present experimental results with a voice recognition system to demonstrate this method. The ideas in this paper are motivated by a simple analogy between AI classifiers and the standard Shannon model of a communication system1.</w:t>
      </w:r>
    </w:p>
    <w:p>
      <w:pPr/>
      <w:r>
        <w:rPr>
          <w:b/>
        </w:rPr>
        <w:t>POSSIBLE 2018:</w:t>
      </w:r>
      <w:r>
        <w:t xml:space="preserve"> Theoretical Explanation of Enterprise Diversification — https://doi.org/10.25236/icallh.2018.20</w:t>
      </w:r>
    </w:p>
    <w:p>
      <w:pPr/>
      <w:r>
        <w:rPr>
          <w:b/>
        </w:rPr>
        <w:t>Shared claim-specific concepts:</w:t>
      </w:r>
      <w:r>
        <w:t xml:space="preserve"> shows, theoretical, explanation, practical; EU scope not established. This is a provisional connection, not an outcome finding.</w:t>
      </w:r>
    </w:p>
    <w:p>
      <w:pPr>
        <w:pStyle w:val="SourceNote"/>
      </w:pPr>
      <w:r>
        <w:rPr>
          <w:b/>
        </w:rPr>
        <w:t>Available abstract (not full text):</w:t>
      </w:r>
      <w:r>
        <w:t xml:space="preserve"> In strategic management research, enterprise diversification has become a major study content.And in the enterprise management practice, diversified behavior has become a common practice.It shows that the diversity has an important position in enterprise strategic management.Based on the survey of the domestic and international enterprise diversification of practical experience and literature, from market forces theory, resource theory and agency theory of enterprises, diversified behavior is analyzed in detail.This has a vital significance to enhance China 's enterprises diversification theory accomplishment and practice scientificity.</w:t>
      </w:r>
    </w:p>
    <w:p>
      <w:pPr/>
      <w:r>
        <w:rPr>
          <w:b/>
        </w:rPr>
        <w:t>POSSIBLE 2016:</w:t>
      </w:r>
      <w:r>
        <w:t xml:space="preserve"> Decision Support Tool for Implementation of Remanufacturing in an Enterprise — https://doi.org/10.1016/j.egypro.2016.09.062</w:t>
      </w:r>
    </w:p>
    <w:p>
      <w:pPr/>
      <w:r>
        <w:rPr>
          <w:b/>
        </w:rPr>
        <w:t>Shared claim-specific concepts:</w:t>
      </w:r>
      <w:r>
        <w:t xml:space="preserve"> shows, tool, performance; EU scope not established. This is a provisional connection, not an outcome finding.</w:t>
      </w:r>
    </w:p>
    <w:p>
      <w:pPr>
        <w:pStyle w:val="SourceNote"/>
      </w:pPr>
      <w:r>
        <w:rPr>
          <w:b/>
        </w:rPr>
        <w:t>Available abstract (not full text):</w:t>
      </w:r>
      <w:r>
        <w:t xml:space="preserve"> Several global challenges exist that force manufacturing organizations to reduce the environmental impact of their products. Nowadays, the most common practices of products’ end-of-life stage are landfilling and recycling. However, there are several other practices for products’ end-of-life management that support reduction of environmental impact. One such option is remanufacturing which is a product-recovery option that gives the opportunity to produce new products by using products that have already reached their end-of-life stage. In the process, all modules and components are disassembled, and the used parts – recovered. Depending on the product remanufactured, the process helps reducing energy consumption by 85%, avoiding up to 60% of emissions and saving up to 85% of raw materials, thus reducing the environmental impact considerably. Still, many barriers exist that prevent manufacturing enterprises from implementing the remanufacturing process. To assist enterprises, a decision support tool based on system dynamics modeling has been developed. The paper presents the decision support tool, and shows how the decision of implementing the remanufacturing process in an enterprise changes its performance with respect to environmental and economic aspects.</w:t>
      </w:r>
    </w:p>
    <w:p>
      <w:pPr>
        <w:pStyle w:val="Heading2"/>
      </w:pPr>
      <w:r>
        <w:t>878.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energy;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energy, climate, conflict;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Patients’ pathways to the emergency department: a scoping review — https://doi.org/10.1186/s12245-024-00638-w</w:t>
      </w:r>
    </w:p>
    <w:p>
      <w:pPr/>
      <w:r>
        <w:rPr>
          <w:b/>
        </w:rPr>
        <w:t>Shared claim-specific concepts:</w:t>
      </w:r>
      <w:r>
        <w:t xml:space="preserve"> four, pathways, department, all; EU scope visible. This is a provisional connection, not an outcome finding.</w:t>
      </w:r>
    </w:p>
    <w:p>
      <w:pPr>
        <w:pStyle w:val="SourceNote"/>
      </w:pPr>
      <w:r>
        <w:rPr>
          <w:b/>
        </w:rPr>
        <w:t>Available abstract (not full text):</w:t>
      </w:r>
      <w:r>
        <w:t xml:space="preserve"> BACKGROUND: Emergency department (ED) crowding is a common healthcare issue with multiple causes. One important knowledge area is understanding where patients arrived from and what care they received prior to ED admission. This information could be used to inform strategies to provide care for low acuity patients outside of the hospital and reduce unnecessary ED admissions. The aim of this scoping review was to provide a comprehensive overview of global published research examining the acute care trajectory of all ED patients. METHODS: The scoping review was performed according to the JBI Manual for Evidence Synthesis and the PRISMA-SCR checklist. A comprehensive literature search was performed to identify studies describing where patients arrived from and/or whose pathway of care was before an ED visit. The search was conducted in MEDLINE, Embase, and the Cochrane Library from inception through December 5th, 2022. Two reviewers independently screened the records. RESULTS: Out of the 6,465 records screened, 14 studies from Australia, Canada, Haiti, Norway, Sweden, Switzerland, Belgium, Indonesia, and the UK met the inclusion criteria. Four studies reported on where patients physically arrived from, ten reported how patients were transported, six reported who referred them, and six reported whether medical care or advice was sought prior to visiting an ED. CONCLUSION: This scopi</w:t>
      </w:r>
    </w:p>
    <w:p>
      <w:pPr/>
      <w:r>
        <w:rPr>
          <w:b/>
        </w:rPr>
        <w:t>POSSIBLE 2024:</w:t>
      </w:r>
      <w:r>
        <w:t xml:space="preserve"> Sustainable farming practices and soil health: a pathway to achieving SDGs and future prospects — https://doi.org/10.1007/s43621-024-00447-4</w:t>
      </w:r>
    </w:p>
    <w:p>
      <w:pPr/>
      <w:r>
        <w:rPr>
          <w:b/>
        </w:rPr>
        <w:t>Shared claim-specific concepts:</w:t>
      </w:r>
      <w:r>
        <w:t xml:space="preserve"> climate, crops, production, agricultural; EU scope not established. This is a provisional connection, not an outcome finding.</w:t>
      </w:r>
    </w:p>
    <w:p>
      <w:pPr>
        <w:pStyle w:val="SourceNote"/>
      </w:pPr>
      <w:r>
        <w:rPr>
          <w:b/>
        </w:rPr>
        <w:t>Available abstract (not full text):</w:t>
      </w:r>
      <w:r>
        <w:t xml:space="preserve"> Sustainable farming practices aim to produce agricultural products at a low environmental cost, ensuring food availability for future generations. These approaches combine the production of agricultural crops and livestock for site-specific uses, with an emphasis on long-term objectives including satisfying the food supply worldwide, improving the environment, making the most efficient use of resources and boosting the welfare of farmers and society as a whole. Sustainability in farming is mostly dependent on soil health, which is the soil’s capacity to function within ecological and land-use boundaries. It enhances general wellness, maintains the purity of the air and water, and supports biological productivity. The depletion of soil functions brought about by modern agricultural intensification has an impact on ecosystem services and long-term productivity. The goal of sustainable farming is to raise fertility and organic matter in the soil. Key practices include carbon farming, conservation agriculture, integrated pest management (IPM), and precision farming. In order to support sustainable crop production, these techniques improve soil fertility, structure, and biodiversity. Going forward, research should concentrate on developing novel approaches to tackle the issues of climate change and global food security.</w:t>
      </w:r>
    </w:p>
    <w:p>
      <w:pPr/>
      <w:r>
        <w:rPr>
          <w:b/>
        </w:rPr>
        <w:t>POSSIBLE 2023:</w:t>
      </w:r>
      <w:r>
        <w:t xml:space="preserve"> Pathways for regions to achieve carbon emission peak: New insights from the four economic growth poles in China — https://doi.org/10.1016/j.scitotenv.2023.167979</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The UAE’s energy system and GHG emissions: pathways to achieving national goals by 2050 — https://doi.org/10.1093/ce/zkad040</w:t>
      </w:r>
    </w:p>
    <w:p>
      <w:pPr/>
      <w:r>
        <w:rPr>
          <w:b/>
        </w:rPr>
        <w:t>Shared claim-specific concepts:</w:t>
      </w:r>
      <w:r>
        <w:t xml:space="preserve"> four, pathways, developed, energy, all, production; EU scope not established. This is a provisional connection, not an outcome finding.</w:t>
      </w:r>
    </w:p>
    <w:p>
      <w:pPr>
        <w:pStyle w:val="SourceNote"/>
      </w:pPr>
      <w:r>
        <w:rPr>
          <w:b/>
        </w:rPr>
        <w:t>Available abstract (not full text):</w:t>
      </w:r>
      <w:r>
        <w:t xml:space="preserve"> Abstract In recent years, the United Arab Emirates (UAE) has developed strategies to increase renewable power generation and reduce emissions to net zero by 2050. Electricity generation and energy-intensive industries (EII) have the largest potentials for emission reduction. Therefore, an up-to-date inventory of greenhouse gas emissions and a study of the pathways to achieving the 2050 targets are essential. This study focuses on power production and EII (aluminium, steel and cement). The structure of these sectors is modelled and simulated up to 2050 using a system dynamics (SD) methodology. The SD model is validated to reflect the real-world state of the system using the emissions inventory projections as reference modes. Nineteen mitigation policies are considered in the selected sectors and four policy scenarios were simulated. The results show that implementing the Energy Strategy 2050 in the power sector can result in a reduction of 63.5% in emissions in that sector, which translates into a reduction of 33.5% overall by 2050. Additionally, implementing all identified mitigation strategies to full utilization in EII yields a 94% reduction in that sector, which translates into a 78% reduction overall. Decarbonizing the aluminium industry yields the highest emissions reductions, followed by power production, then cement and finally steel. In the best-case scenario, 22.1% of </w:t>
      </w:r>
    </w:p>
    <w:p>
      <w:pPr/>
      <w:r>
        <w:rPr>
          <w:b/>
        </w:rPr>
        <w:t>POSSIBLE 2023:</w:t>
      </w:r>
      <w:r>
        <w:t xml:space="preserve"> Pathways to achieving nature-positive and carbon–neutral land use and food systems in Wales — https://doi.org/10.1007/s10113-023-02041-2</w:t>
      </w:r>
    </w:p>
    <w:p>
      <w:pPr/>
      <w:r>
        <w:rPr>
          <w:b/>
        </w:rPr>
        <w:t>Shared claim-specific concepts:</w:t>
      </w:r>
      <w:r>
        <w:t xml:space="preserve"> four, pathways, climate, but, other, agricultural; EU scope not established. This is a provisional connection, not an outcome finding.</w:t>
      </w:r>
    </w:p>
    <w:p>
      <w:pPr>
        <w:pStyle w:val="SourceNote"/>
      </w:pPr>
      <w:r>
        <w:rPr>
          <w:b/>
        </w:rPr>
        <w:t>Available abstract (not full text):</w:t>
      </w:r>
      <w:r>
        <w:t xml:space="preserve"> Abstract Land use and its management can play a vital role in carbon sequestration, but trade-offs may exist with other objectives including food security and nature recovery. Using an integrated model (the FABLE calculator), four pathways, co-created with colleagues at the Welsh Government, towards achieving climate and biodiversity targets in Wales were explored: status quo, improvements on current trends, land sparing and land sharing. We found that continuing as usual will not be sufficient to meet Wales’s climate and biodiversity targets. In contrast, the land use and agricultural sector became a net carbon sink in both the land sparing and land sharing pathways, through high afforestation targets, peatland restoration, reducing food waste and moving towards a healthier diet. Whilst both pathways released land for biodiversity, the gains were greater in the land sharing pathway, which was also less dependent on optimistic assumptions concerning productivity improvements. The results demonstrate that alternative approaches to achieving nature-positive and carbon–neutral land use and food systems may be possible, but they come with stringent and transformative requirements for policy changes, with an integrated approach necessary to maximise benefits for climate, food and nature.</w:t>
      </w:r>
    </w:p>
    <w:p>
      <w:pPr/>
      <w:r>
        <w:rPr>
          <w:b/>
        </w:rPr>
        <w:t>POSSIBLE 2022:</w:t>
      </w:r>
      <w:r>
        <w:t xml:space="preserve"> PaLM: Scaling Language Modeling with Pathways — https://doi.org/10.48550/arxiv.2204.02311</w:t>
      </w:r>
    </w:p>
    <w:p>
      <w:pPr/>
      <w:r>
        <w:rPr>
          <w:b/>
        </w:rPr>
        <w:t>Shared claim-specific concepts:</w:t>
      </w:r>
      <w:r>
        <w:t xml:space="preserve"> pathways, achieve, increased, significant; EU scope not established. This is a provisional connection, not an outcome finding.</w:t>
      </w:r>
    </w:p>
    <w:p>
      <w:pPr>
        <w:pStyle w:val="SourceNote"/>
      </w:pPr>
      <w:r>
        <w:rPr>
          <w:b/>
        </w:rPr>
        <w:t>Available abstract (not full text):</w:t>
      </w:r>
      <w:r>
        <w:t xml:space="preserve"> Large language models have been shown to achieve remarkable performance across a variety of natural language tasks using few-shot learning, which drastically reduces the number of task-specific training examples needed to adapt the model to a particular application. To further our understanding of the impact of scale on few-shot learning, we trained a 540-billion parameter, densely activated, Transformer language model, which we call Pathways Language Model PaLM. We trained PaLM on 6144 TPU v4 chips using Pathways, a new ML system which enables highly efficient training across multiple TPU Pods. We demonstrate continued benefits of scaling by achieving state-of-the-art few-shot learning results on hundreds of language understanding and generation benchmarks. On a number of these tasks, PaLM 540B achieves breakthrough performance, outperforming the finetuned state-of-the-art on a suite of multi-step reasoning tasks, and outperforming average human performance on the recently released BIG-bench benchmark. A significant number of BIG-bench tasks showed discontinuous improvements from model scale, meaning that performance steeply increased as we scaled to our largest model. PaLM also has strong capabilities in multilingual tasks and source code generation, which we demonstrate on a wide array of benchmarks. We additionally provide a comprehensive analysis on bias and toxicity, and </w:t>
      </w:r>
    </w:p>
    <w:p>
      <w:pPr/>
      <w:r>
        <w:rPr>
          <w:b/>
        </w:rPr>
        <w:t>POSSIBLE 2021:</w:t>
      </w:r>
      <w:r>
        <w:t xml:space="preserve"> Co-productive agility and four collaborative pathways to sustainability transformations — https://doi.org/10.1016/j.gloenvcha.2021.102422</w:t>
      </w:r>
    </w:p>
    <w:p>
      <w:pPr/>
      <w:r>
        <w:rPr>
          <w:b/>
        </w:rPr>
        <w:t>Shared claim-specific concepts:</w:t>
      </w:r>
      <w:r>
        <w:t xml:space="preserve"> four, pathways, production; EU scope not established. This is a provisional connection, not an outcome finding.</w:t>
      </w:r>
    </w:p>
    <w:p>
      <w:pPr>
        <w:pStyle w:val="SourceNote"/>
      </w:pPr>
      <w:r>
        <w:rPr>
          <w:b/>
        </w:rPr>
        <w:t>Available abstract (not full text):</w:t>
      </w:r>
      <w:r>
        <w:t xml:space="preserve"> Co-production, the collaborative weaving of research and practice by diverse societal actors, is argued to play an important role in sustainability transformations. Yet, there is still poor understanding of how to navigate the tensions that emerge in these processes. Through analyzing 32 initiatives worldwide that co-produced knowledge and action to foster sustainable social-ecological relations, we conceptualize ‘co-productive agility’ as an emergent feature vital for turning tensions into transformations. Co-productive agility refers to the willingness and ability of diverse actors to iteratively engage in reflexive dialogues to grow shared ideas and actions that would not have been possible from the outset. It relies on embedding knowledge production within processes of change to constantly recognize, reposition, and navigate tensions and opportunities. Co-productive agility opens up multiple pathways to transformation through: (1) elevating marginalized agendas in ways that maintain their integrity and broaden struggles for justice; (2) questioning dominant agendas by engaging with power in ways that challenge assumptions, (3) navigating conflicting agendas to actively transform interlinked paradigms, practices, and structures; (4) exploring diverse agendas to foster learning and mutual respect for a plurality of perspectives. We explore six process considerations that vary</w:t>
      </w:r>
    </w:p>
    <w:p>
      <w:pPr/>
      <w:r>
        <w:rPr>
          <w:b/>
        </w:rPr>
        <w:t>POSSIBLE 2021:</w:t>
      </w:r>
      <w:r>
        <w:t xml:space="preserve"> It Is Still Possible to Achieve the Paris Climate Agreement: Regional, Sectoral, and Land-Use Pathways — https://doi.org/10.3390/en14082103</w:t>
      </w:r>
    </w:p>
    <w:p>
      <w:pPr/>
      <w:r>
        <w:rPr>
          <w:b/>
        </w:rPr>
        <w:t>Shared claim-specific concepts:</w:t>
      </w:r>
      <w:r>
        <w:t xml:space="preserve"> four, pathways, achieve, energy, climate, increased; EU scope not established. This is a provisional connection, not an outcome finding.</w:t>
      </w:r>
    </w:p>
    <w:p>
      <w:pPr>
        <w:pStyle w:val="SourceNote"/>
      </w:pPr>
      <w:r>
        <w:rPr>
          <w:b/>
        </w:rPr>
        <w:t>Available abstract (not full text):</w:t>
      </w:r>
      <w:r>
        <w:t xml:space="preserve"> It is still possible to comply with the Paris Climate Agreement to maintain a global temperature ‘well below +2.0 °C’ above pre-industrial levels. We present two global non-overshoot pathways (+2.0 °C and +1.5 °C) with regional decarbonization targets for the four primary energy sectors—power, heating, transportation, and industry—in 5-year steps to 2050. We use normative scenarios to illustrate the effects of efficiency measures and renewable energy use, describe the roles of increased electrification of the final energy demand and synthetic fuels, and quantify the resulting electricity load increases for 72 sub-regions. Non-energy scenarios include a phase-out of net emissions from agriculture, forestry, and other land uses, reductions in non-carbon greenhouse gases, and land restoration to scale up atmospheric CO2 removal, estimated at −377 Gt CO2 to 2100. An estimate of the COVID-19 effects on the global energy demand is included and a sensitivity analysis describes the impacts if implementation is delayed by 5, 7, or 10 years, which would significantly reduce the likelihood of achieving the 1.5 °C goal. The analysis applies a model network consisting of energy system, power system, transport, land-use, and climate models.</w:t>
      </w:r>
    </w:p>
    <w:p>
      <w:pPr>
        <w:pStyle w:val="Heading2"/>
      </w:pPr>
      <w:r>
        <w:t>879.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Climate energy balance models: two layers, orders, timescales, or regions? — https://doi.org/10.22541/essoar.169100463.34039473/v1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2023:</w:t>
      </w:r>
      <w:r>
        <w:t xml:space="preserve"> Climate energy balance models: two layers, orders, timescales, or regions? — https://doi.org/10.31223/x5dd3d</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2022:</w:t>
      </w:r>
      <w:r>
        <w:t xml:space="preserve"> Energy and Climate Changes Along the Last Two Hundred Years: Logistic Modeling — https://doi.org/10.1007/978-3-031-16470-5_10</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Mathematical Model of the Energy Balance for Two Configurations of Trapezoidal Box-type Solar Cooker Tested under Saharan Climate — https://doi.org/10.1109/sienr50924.2021.9631884</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This article presents a mathematical model for two configurations of a box type solar cooker with trapezoidal shape: the cooker will be eqquiped with an additional reflector at first time and will be removed later, the aim is to determine the behavior in both cases depending on the the available solar energy. The energy balance equations have been solved by a Matlab program developed for this purpose. To validate the mathematical model, the values of the theoretical temperatures values were compared with the experimental results obtained from cooker tests carried out under the Saharan climatic conditions of the Ghardaia site. The tests were carried out with the cooker filled with one or two liters of water from 9:00 AM. to 5:00 PM. A good agreement was found between the measured values and that estimated by the proposed model. The model was then used to simulate the performance of the solar cooker throughout the national territory. Several temperature maps were obtained for different days of the year (winter and summer). It has been found that the temperatures obtained when the cooker is fitted with its reflector are much higher than that obtained without a reflector. The large area of Algeria allows the operation of the cooker without or with reflector in different locations and in particular months for each one of the configurations depending on the amount of solar energy rec</w:t>
      </w:r>
    </w:p>
    <w:p>
      <w:pPr/>
      <w:r>
        <w:rPr>
          <w:b/>
        </w:rPr>
        <w:t>POSSIBLE 2021:</w:t>
      </w:r>
      <w:r>
        <w:t xml:space="preserve"> Climate change impacts on renewable energy supply — https://doi.org/10.1038/s41558-020-00949-9</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Understanding the links between climate feedbacks, variability and change using a two-layer energy balance model — https://doi.org/10.1007/s00382-020-05189-3</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Modelling and Validation of two Heat and Mass Transfer Model of Living Walls and Evaluation of Their Impact on the Energy Performance of a Supermarket in a Semiarid Climate — https://doi.org/10.26868/25222708.2019.211051</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There are about 35 heat and mass transfer green roof models up to date. However, there are only four living wall models. Furthermore, there are very few studies on the impact of living walls on the building energy performance of buildings. Moreover, none of the living wall models has been validated under semiarid climate conditions and there is a lack of studies about the cooling potential of living walls in retail buildings such as supermarkets. This paper aims to adapt two well-known green roof models to be able to model the heat and mass transfer through living walls, validate both models under semiarid climate conditions, and couple both adapted and validated models to EnergyPlus. Therefore, the impact of living walls on the energy performance of an ASHRAE prototype supermarket located in Santiago of Chile is evaluated. The results show that living walls can reduce up to 24% the cooling loads of a supermarket, and the wall thermal insulation significantly diminishes the impact of the living wall</w:t>
      </w:r>
    </w:p>
    <w:p>
      <w:pPr/>
      <w:r>
        <w:rPr>
          <w:b/>
        </w:rPr>
        <w:t>POSSIBLE 2020:</w:t>
      </w:r>
      <w:r>
        <w:t xml:space="preserve"> The Importance of Weather and Climate to Energy Systems: A Workshop on Next Generation Challenges in Energy–Climate Modeling — https://doi.org/10.1175/bams-d-20-0256.1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What: Over 80 international participants, representing weather, climate, and energy systems research, joined two 4-h remote sessions to highlight and prioritize ongoing and future challenges in energy–climate modeling. The workshop had two primary goals: to build a deeper engagement across the “energy” and “climate” research communities, and to identify and begin to address the scientific challenges associated with modeling climate risk in energy systems. When: 22–23 June 2020. Where: Online via Zoom, hosted by the University of Reading</w:t>
      </w:r>
    </w:p>
    <w:p>
      <w:pPr>
        <w:pStyle w:val="Heading2"/>
      </w:pPr>
      <w:r>
        <w:t>880.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2026:</w:t>
      </w:r>
      <w:r>
        <w:t xml:space="preserve"> United States and European Union aid cuts risk exacerbating links between aid, trade, and human and environmental crises — https://doi.org/10.1038/s44458-025-00011-9</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Both the United States and European Union have been considerable providers of official development aid, but political pressure is mounting to reduce future disbursements. Here, we conduct a system-wide association study linking detailed trade flows with various aid purposes—including untied, humanitarian, and typically non-trade-related aid—to explore how aid and trade may interact in indirect or unintended ways. Using OECD aid data and global trade statistics, we find strong and persistent correlations between specific imported goods and aid purposes. These links reflect trade-offs among the UN’s Sustainable Development Goals and suggest that a major reduction in U.S. aid could disrupt efforts to mitigate the impacts of its food and precious metal imports. The findings also highlight the fragile relationship between aid, minerals, and conflict. This shift may offer a strategic opportunity to nations to reduce their supply chain vulnerabilities and rethink the broader relationship between aid, trade, and human and environmental crises. Persistent correlations between traded goods and foreign aid purposes reveal connections to human and environmental crises that could be exacerbated by aid cuts, according to a global study using OECD aid data and trade flows to map obscure or unintended interactions between aid and trade.</w:t>
      </w:r>
    </w:p>
    <w:p>
      <w:pPr/>
      <w:r>
        <w:rPr>
          <w:b/>
        </w:rPr>
        <w:t>POSSIBLE 2026:</w:t>
      </w:r>
      <w:r>
        <w:t xml:space="preserve"> Contemporary Issues in International Environmental Law: A Comparative Doctrinal Analysis of Climate Regulation and Litigation in the United States and the European Union — https://doi.org/10.13140/rg.2.2.25380.03203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Structuring Sustainability, From Strategy to Soil: A Comparative Analysis of Agri-Environmental and Climate-Smart Policy Design in the European Union and the United States, 2018–2025 — https://doi.org/10.17615/0cwh-qe76</w:t>
      </w:r>
    </w:p>
    <w:p>
      <w:pPr/>
      <w:r>
        <w:rPr>
          <w:b/>
        </w:rPr>
        <w:t>Shared claim-specific concepts:</w:t>
      </w:r>
      <w:r>
        <w:t xml:space="preserve"> united, states, environmental, smaller, union, agricultural; EU scope visible. This is a provisional connection, not an outcome finding.</w:t>
      </w:r>
    </w:p>
    <w:p>
      <w:pPr>
        <w:pStyle w:val="SourceNote"/>
      </w:pPr>
      <w:r>
        <w:rPr>
          <w:b/>
        </w:rPr>
        <w:t>Available abstract (not full text):</w:t>
      </w:r>
      <w:r>
        <w:t xml:space="preserve"> With the ever-increasing population and the growing impacts of climate change, the intersection of environmental and agricultural policy has become increasingly critical. In recent years, institutions have sought to address these two concerns by developing agri-environmental policies that aim to integrate environmentally friendly practices into the agricultural sector. However, despite continued efforts, there remains no single, universally effective model of implementation. This project examines why variation persists by focusing on two major actors in agricultural policy: the United States and the European Union, whose approaches illustrate both similarities and significant differences. The United States has pursued gradual measures, adopting smaller, carefully designed policies aimed at addressing environmental concerns without causing significant disruption to agricultural production. By contrast, the European Union has set more ambitious goals and formally tied environmental measures to the Common Agricultural Policy, while devolving responsibility for implementation to member states to accommodate local issues. These contrasting approaches raise the central research question of this thesis: How do differences in policy design and governance structures shape the implementation of agri-environmental policies in the US and the EU? To address this question, the thesis analyze</w:t>
      </w:r>
    </w:p>
    <w:p>
      <w:pPr/>
      <w:r>
        <w:rPr>
          <w:b/>
        </w:rPr>
        <w:t>POSSIBLE 2026:</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 Comparative Study of the Impact of Technological Policymaking on Environmental Security in the United States and the European Union — https://doi.org/10.18415/ijmmu.v12i10.7190</w:t>
      </w:r>
    </w:p>
    <w:p>
      <w:pPr/>
      <w:r>
        <w:rPr>
          <w:b/>
        </w:rPr>
        <w:t>Shared claim-specific concepts:</w:t>
      </w:r>
      <w:r>
        <w:t xml:space="preserve"> united, states, environmental, union, indicate, environment; EU scope visible. This is a provisional connection, not an outcome finding.</w:t>
      </w:r>
    </w:p>
    <w:p>
      <w:pPr>
        <w:pStyle w:val="SourceNote"/>
      </w:pPr>
      <w:r>
        <w:rPr>
          <w:b/>
        </w:rPr>
        <w:t>Available abstract (not full text):</w:t>
      </w:r>
      <w:r>
        <w:t xml:space="preserve"> In the era of the Fourth Industrial Revolution, new technologies have developed with unprecedented speed, efficiency, and convergence, bridging the digital, physical, and biological boundaries. At the same time, environmental crises have become a serious threat to global security. The United States and the European Union have been designing and implementing policies to protect the environment since the 1960s. Using a documentary study method and a descriptive-analytical approach, this article seeks to find out what impact the technological policies of the European Union and the United States have had on environmental security. The results of the research indicate that alignment between technological policies and environmental goals is a prerequisite for achieving sustainable development and ensuring environmental security. The European Union has been able to create effective synergies between technology and environmental goals by developing comprehensive policies such as the Lisbon Strategy, Europe 2020, and Horizon Europe, as well as implementing programs such as the Green Deal, the circular economy, and the clean energy transition. In contrast, the United States, despite political fluctuations in the environmental field, has been developing clean technologies and optimizing energy consumption through technological innovations in the private sector. However, recent geopolitica</w:t>
      </w:r>
    </w:p>
    <w:p>
      <w:pPr/>
      <w:r>
        <w:rPr>
          <w:b/>
        </w:rPr>
        <w:t>POSSIBLE 2025:</w:t>
      </w:r>
      <w:r>
        <w:t xml:space="preserve"> A COMPARATIVE ANALYSIS OF THE LEGAL FRAMEWORK ON GREENWASHING IN ENVIRONMENTAL, SOCIAL, AND GOVERNANCE (ESG) FUNDS LABELLING IN THE UNITED STATES, THE EUROPEAN UNION AND THE UNITED KINGDOM — https://doi.org/10.2139/ssrn.5319796</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Analysis of Environmental and Energy Policies in Turkey, the European Union and the United States — https://doi.org/10.9734/ijecc/2023/v13i123685</w:t>
      </w:r>
    </w:p>
    <w:p>
      <w:pPr/>
      <w:r>
        <w:rPr>
          <w:b/>
        </w:rPr>
        <w:t>Shared claim-specific concepts:</w:t>
      </w:r>
      <w:r>
        <w:t xml:space="preserve"> united, states, environmental, union, production; EU scope visible. This is a provisional connection, not an outcome finding.</w:t>
      </w:r>
    </w:p>
    <w:p>
      <w:pPr>
        <w:pStyle w:val="SourceNote"/>
      </w:pPr>
      <w:r>
        <w:rPr>
          <w:b/>
        </w:rPr>
        <w:t>Available abstract (not full text):</w:t>
      </w:r>
      <w:r>
        <w:t xml:space="preserve"> Energy consumption plays a pivotal role in the development of societies. Sustainable Energy Resources are vital inputs for daily life, and energy and industrial products are essential for economic growth (Ministry of Energy and Natural Resources, 2022). Consequently, those responsible for managing a country's energy sector must ensure the uninterrupted, reliable, timely, clean, and affordable supply of energy, as well as diversify energy sources to enhance energy security. The concept of "sustainable development" has emerged in response to the need to prevent irreversible environmental damage caused by conventional energy sources and outdated technologies while ensuring access to energy as a fundamental human right under optimal conditions (Pamir, N 2005). Developed societies have transitioned from planning based solely on energy source acquisition and production to a planning approach that carefully considers the energy-economy-ecology balance (3E) while taking into account resource diversity and geopolitical realities (Energy Policies and Global Developments, emo.org.tr). Turkey remains heavily dependent on energy imports, accounting for approximately 74% of its energy needs (Ministry of Energy and Natural Resources, 2023). The multifaceted nature of Turkey's energy strategy and its energy dependence emphasize the importance of international relations in this field. U.S. ener</w:t>
      </w:r>
    </w:p>
    <w:p>
      <w:pPr/>
      <w:r>
        <w:rPr>
          <w:b/>
        </w:rPr>
        <w:t>POSSIBLE 2023:</w:t>
      </w:r>
      <w:r>
        <w:t xml:space="preserve"> Efforts to ban lead ammunition: a comparison between Europe and the United States — https://doi.org/10.1002/wsb.1449</w:t>
      </w:r>
    </w:p>
    <w:p>
      <w:pPr/>
      <w:r>
        <w:rPr>
          <w:b/>
        </w:rPr>
        <w:t>Shared claim-specific concepts:</w:t>
      </w:r>
      <w:r>
        <w:t xml:space="preserve"> united, states, environmental; EU scope visible. This is a provisional connection, not an outcome finding.</w:t>
      </w:r>
    </w:p>
    <w:p>
      <w:pPr>
        <w:pStyle w:val="SourceNote"/>
      </w:pPr>
      <w:r>
        <w:rPr>
          <w:b/>
        </w:rPr>
        <w:t>Available abstract (not full text):</w:t>
      </w:r>
      <w:r>
        <w:t xml:space="preserve"> Abstract The human health impacts of lead have been known for millennia but the environmental impacts of lead ammunition have only received attention during the past 100 years. To a large extent the United States provided leadership in identifying and researching these effects and then spearheading campaigns to transition away from lead shotgun ammunition for waterfowl hunting. However, the appetite for further federal transition has largely stalled in the U.S. except for apparently limited action linked to individual states, charismatic species, and specific sites. Europe, on the other hand, though generally rather late to the table with regard to lead shotgun ammunition and waterfowl hunting, is now pushing ahead with several initiatives that are likely to see substantial partial, if not total, restrictions on the use of all lead ammunition (for shotguns and rifles) within 5 to 10 years. We discuss the policy drivers behind these moves, summarize the key attitudes and perceived constraints to transition, and provide (cautious) timetables and limited recommendations for future changes. Our discussion will include comparisons between efforts in the U.S. and those in Europe.</w:t>
      </w:r>
    </w:p>
    <w:p>
      <w:pPr>
        <w:pStyle w:val="Heading2"/>
      </w:pPr>
      <w:r>
        <w:t>881.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How aggregate electricity demand responds to hourly wholesale price fluctuations — https://doi.org/10.1016/j.eneco.2024.107652</w:t>
      </w:r>
    </w:p>
    <w:p>
      <w:pPr/>
      <w:r>
        <w:rPr>
          <w:b/>
        </w:rPr>
        <w:t>Shared claim-specific concepts:</w:t>
      </w:r>
      <w:r>
        <w:t xml:space="preserve"> electricity, significant; EU scope visible. This is a provisional connection, not an outcome finding.</w:t>
      </w:r>
    </w:p>
    <w:p>
      <w:pPr>
        <w:pStyle w:val="SourceNote"/>
      </w:pPr>
      <w:r>
        <w:rPr>
          <w:b/>
        </w:rPr>
        <w:t>Available abstract (not full text):</w:t>
      </w:r>
      <w:r>
        <w:t xml:space="preserve"> Electricity needs to be consumed at the very moment of production, leading wholesale prices to fluctuate widely at (sub-)hourly time scales. This article investigates the response of aggregate electricity demand to such price variations. Using wind energy as an instrument, we estimate a significant and robust short-term price elasticity of about −0.05 in Germany and attribute this to industrial consumers. As the share of consumption that is exposed to real-time prices (currently less than 25%) expands, we expect the aggregated price elasticity to grow.</w:t>
      </w:r>
    </w:p>
    <w:p>
      <w:pPr/>
      <w:r>
        <w:rPr>
          <w:b/>
        </w:rPr>
        <w:t>POSSIBLE 2023:</w:t>
      </w:r>
      <w:r>
        <w:t xml:space="preserve"> SECURES-Met - A European wide meteorological data set suitable for electricity modelling (supply and demand) for historical climate and climate change projections — https://doi.org/10.5281/zenodo.7907882</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pPr/>
      <w:r>
        <w:rPr>
          <w:b/>
        </w:rPr>
        <w:t>POSSIBLE 2023:</w:t>
      </w:r>
      <w:r>
        <w:t xml:space="preserve"> Balancing Electricity Supply and Demand in a Carbon-Neutral Northern Europe — https://doi.org/10.3390/en16083548</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2023:</w:t>
      </w:r>
      <w:r>
        <w:t xml:space="preserve"> Prescribing net demand for two-stage electricity generation scheduling — https://doi.org/10.1016/j.orp.2023.100268</w:t>
      </w:r>
    </w:p>
    <w:p>
      <w:pPr/>
      <w:r>
        <w:rPr>
          <w:b/>
        </w:rPr>
        <w:t>Shared claim-specific concepts:</w:t>
      </w:r>
      <w:r>
        <w:t xml:space="preserve"> electricity, renewable, generation, substantial, furthermore, proposed; EU scope visible. This is a provisional connection, not an outcome finding.</w:t>
      </w:r>
    </w:p>
    <w:p>
      <w:pPr>
        <w:pStyle w:val="SourceNote"/>
      </w:pPr>
      <w:r>
        <w:rPr>
          <w:b/>
        </w:rPr>
        <w:t>Available abstract (not full text):</w:t>
      </w:r>
      <w:r>
        <w:t xml:space="preserve"> We consider a two-stage generation scheduling problem comprising a forward dispatch and a real-time re-dispatch. The former must be conducted facing an uncertain net demand that includes non-dispatchable electricity consumption and renewable power generation. The latter copes with the plausible deviations with respect to the forward schedule by making use of balancing power during the actual operation of the system. Standard industry practice deals with the uncertain net demand in the forward stage by replacing it with a good estimate of its conditional expectation (usually referred to as a point forecast), so as to minimize the need for balancing power in real time. However, it is well known that the cost structure of a power system is highly asymmetric and dependent on its operating point, with the result that minimizing the amount of power imbalances is not necessarily aligned with minimizing operating costs. In this paper, we propose a bilevel program to construct, from the available historical data, a prescription of the net demand that does account for the power system’s cost asymmetry. Furthermore, to accommodate the strong dependence of this cost on the power system’s operating point, we use clustering to tailor the proposed prescription to the foreseen net-demand regime. By way of an illustrative example and a more realistic case study based on the European power syste</w:t>
      </w:r>
    </w:p>
    <w:p>
      <w:pPr/>
      <w:r>
        <w:rPr>
          <w:b/>
        </w:rPr>
        <w:t>POSSIBLE 2023:</w:t>
      </w:r>
      <w:r>
        <w:t xml:space="preserve"> Air-conditioning adoption and electricity demand highlight climate change mitigation–adaptation tradeoffs — https://doi.org/10.1038/s41598-023-31469-z</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We elucidate mid-century climate change impacts on electricity demand accounting for endogenous adoption of residential air-conditioning (AC) in affluent, cooler countries in Europe, and in poorer, hotter states in India. By 2050, in a high-warming scenario (SSP585) AC prevalence grows twofold in Europe and fourfold in India, reaching around 40% in both regions. We document a mitigation-adaptation tradeoff: AC expansion reduces daily heat exposures by 150 million and 3.8 billion person degree-days (PDDs), but increases annual electricity demand by 34 TWh and 168 TWh in Europe and India, respectively (corresponding to 2% and 15% of today's consumption). The increase in adoption and use of AC would result in an additional 130 MMTCO2, of which 120 MMTCO2 in India alone, if the additional electricity generated were produced with today's power mix. The tradeoff varies geographically and across income groups: a one PDD reduction in heat exposure in Europe versus India necessitates five times more electricity (0.53 kWh vs 0.1 kWh) and two times more emissions (0.16 kgCO[Formula: see text] vs 0.09 kgCO[Formula: see text]), on average. The decomposition of demand drivers offers important insights on how such tradeoff can be moderated through policies promoting technology-based and behavioral-based adaptation strategies.</w:t>
      </w:r>
    </w:p>
    <w:p>
      <w:pPr/>
      <w:r>
        <w:rPr>
          <w:b/>
        </w:rPr>
        <w:t>POSSIBLE 2023:</w:t>
      </w:r>
      <w:r>
        <w:t xml:space="preserve"> Might future electricity generation suffice to meet the global demand? — https://doi.org/10.1016/j.esr.2023.101080</w:t>
      </w:r>
    </w:p>
    <w:p>
      <w:pPr/>
      <w:r>
        <w:rPr>
          <w:b/>
        </w:rPr>
        <w:t>Shared claim-specific concepts:</w:t>
      </w:r>
      <w:r>
        <w:t xml:space="preserve"> electricity, generation, expected, sectors, meet, greenhouse; EU scope not established. This is a provisional connection, not an outcome finding.</w:t>
      </w:r>
    </w:p>
    <w:p>
      <w:pPr>
        <w:pStyle w:val="SourceNote"/>
      </w:pPr>
      <w:r>
        <w:rPr>
          <w:b/>
        </w:rPr>
        <w:t>Available abstract (not full text):</w:t>
      </w:r>
      <w:r>
        <w:t xml:space="preserve"> Electricity supply is one of the critical issues in the energy field. Due to the high shares of greenhouse gases emissions, the electricity sector is experiencing a transition towards a progressively wider use of low-carbon technologies. At the same time, electrification of end-use sectors is identified as one of the most suitable mitigation strategies, although requiring larger electricity production. This paper relates the historical development trends for installed capacity of electricity production technologies to the theory of the S-curves, building a method to depict plausible developments in the electricity sector. Projections are performed considering the existence of an upper limit for industrial capacity development, and according to a path envisaging a revolutionary, an evolutionary and a maturity phase for technologies showing considerable growth trends. Oppositely, stagnation is taken into account for those not showing any remarkable progress. The computed curves are used to perform forecasts about electricity generation potentials until 2050, showing how the projected growth trend of electricity generation technologies would result in a production sufficient to meet the expected global demand, even excluding the contribution of fossil fuels in some cases. In perspective, the presented method can be applied to retrieve maximum capacity constraints for energy system</w:t>
      </w:r>
    </w:p>
    <w:p>
      <w:pPr/>
      <w:r>
        <w:rPr>
          <w:b/>
        </w:rPr>
        <w:t>POSSIBLE 2023:</w:t>
      </w:r>
      <w:r>
        <w:t xml:space="preserve"> The impact of heat electrification on the seasonal and interannual electricity demand of Great Britain — https://doi.org/10.1016/j.apenergy.2023.120885</w:t>
      </w:r>
    </w:p>
    <w:p>
      <w:pPr/>
      <w:r>
        <w:rPr>
          <w:b/>
        </w:rPr>
        <w:t>Shared claim-specific concepts:</w:t>
      </w:r>
      <w:r>
        <w:t xml:space="preserve"> electricity, heat; EU scope not established. This is a provisional connection, not an outcome finding.</w:t>
      </w:r>
    </w:p>
    <w:p>
      <w:pPr>
        <w:pStyle w:val="SourceNote"/>
      </w:pPr>
      <w:r>
        <w:rPr>
          <w:b/>
        </w:rPr>
        <w:t>Available abstract (not full text):</w:t>
      </w:r>
      <w:r>
        <w:t xml:space="preserve"> Amongst all future developments it is the electrification of heat that is anticipated to have the largest impact on seasonal and interannual electricity demand. There is therefore a need to accurately quantify and assess this impact. This paper uses a combination of existing advanced techniques to modify the historic electricity demand to incorporate the impact of heat pumps alone for long-term historic weather data using Great Britain as an example. The methods for generating time series were compared and extensively validated. This includes comparisons with measured data that have not been used previously for this purpose. The research reveals that for predicted 2050 heat pump penetration levels the monthly demand for electricity doubles in winter. This leads to an increase of approximately 30 TWh for each winter month and a 37 % increase in year-to-year variability of electricity demand due to weather. Peak electricity demand is very sensitive to the method of generating heat demand and the assumptions on hourly heat pump operating profiles, suggesting inaccuracies of 25 % in estimates of future peak demand. This work, rather than just assessing the impact of projected changes provides a reference case for policy makers to guide the decision process and planning for future scenarios.</w:t>
      </w:r>
    </w:p>
    <w:p>
      <w:pPr/>
      <w:r>
        <w:rPr>
          <w:b/>
        </w:rPr>
        <w:t>POSSIBLE 2022:</w:t>
      </w:r>
      <w:r>
        <w:t xml:space="preserve"> Interaction between electrified steel production and the north European electricity system — https://doi.org/10.1016/j.apenergy.2022.118584</w:t>
      </w:r>
    </w:p>
    <w:p>
      <w:pPr/>
      <w:r>
        <w:rPr>
          <w:b/>
        </w:rPr>
        <w:t>Shared claim-specific concepts:</w:t>
      </w:r>
      <w:r>
        <w:t xml:space="preserve"> electricity, met, furthermore, transport, sectors, electrified; EU scope visible. This is a provisional connection, not an outcome finding.</w:t>
      </w:r>
    </w:p>
    <w:p>
      <w:pPr>
        <w:pStyle w:val="SourceNote"/>
      </w:pPr>
      <w:r>
        <w:rPr>
          <w:b/>
        </w:rPr>
        <w:t>Available abstract (not full text):</w:t>
      </w:r>
      <w:r>
        <w:t xml:space="preserve"> This study investigates the interactions between a steel industry that applies hydrogen direct reduction (H-DR) and the electricity system of northern Europe. We apply a techno-economic optimization model with the aim of achieving net-zero emissions from the electricity and steel sectors in Year 2050. The model minimizes the investment and running costs of electricity and steel production units, while meeting the demands for electricity and steel. The modeling is carried out for a number of scenarios, which differ in the following parameters: (i) cost of using new sites for steel production; (ii) transport costs; (iii) commodities export; (iv) flexibility in operation of a direct reduction (DR) shaft furnace; and (v) location of steel demand. The results reveal that a cost-efficient spatial allocation of the electrified steel production capacity is impacted by the availability of low-cost electricity and can differ from the present - day allocation of steel plants. The modeling results show that the additional electricity demand from an electrified steel industry is met mainly by increased investments in wind and solar power while natural gas - based production of electricity is reduced. Furthermore, it is found to be cost-efficient to invest in overcapacity for steel production units (electrolyzers, DR shaft furnaces and electric arc furnaces) and to invest in storage systems </w:t>
      </w:r>
    </w:p>
    <w:p>
      <w:pPr/>
      <w:r>
        <w:rPr>
          <w:b/>
        </w:rPr>
        <w:t>POSSIBLE 2022:</w:t>
      </w:r>
      <w:r>
        <w:t xml:space="preserve"> Prescribing Net Demand for Two-Stage Electricity Generation Scheduling — https://doi.org/10.2139/ssrn.4211573</w:t>
      </w:r>
    </w:p>
    <w:p>
      <w:pPr/>
      <w:r>
        <w:rPr>
          <w:b/>
        </w:rPr>
        <w:t>Shared claim-specific concepts:</w:t>
      </w:r>
      <w:r>
        <w:t xml:space="preserve"> electricity, generation;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System-level impacts of 24/7 carbon-free electricity procurement in Europe — https://doi.org/10.5281/zenodo.7180097</w:t>
      </w:r>
    </w:p>
    <w:p>
      <w:pPr/>
      <w:r>
        <w:rPr>
          <w:b/>
        </w:rPr>
        <w:t>Shared claim-specific concepts:</w:t>
      </w:r>
      <w:r>
        <w:t xml:space="preserve"> electricity, met, renewable; EU scope visible. This is a provisional connection, not an outcome finding.</w:t>
      </w:r>
    </w:p>
    <w:p>
      <w:pPr>
        <w:pStyle w:val="SourceNote"/>
      </w:pPr>
      <w:r>
        <w:rPr>
          <w:b/>
        </w:rPr>
        <w:t>Available abstract (not full text):</w:t>
      </w:r>
      <w:r>
        <w:t xml:space="preserve"> Traditional power purchase agreements for renewable energy have seen rapid growth in recent years, but they only match supply and demand on average over a longer period such as a year. There is increasing interest from leaders in voluntary clean electricity procurement to cover their consumption with clean energy supply on truly 24/7 basis. Achieving 24/7 carbon-free energy means that every kilowatt-hour of electricity consumption is met with carbon-free electricity sources, every hour of every day. In this study, we investigate both the means and costs of pursuing different clean electricity procurement strategies for companies in a selection of European countries. We also explore how the 24/7 clean energy procurement affects the rest of the European electricity system. The study was supported by a grant from Google Inc. If you intend to reference this study or use the underlying public code for your research, we would appreciate it if you would cite the following paper: Riepin, Iegor, and Tom Brown. “On the Means, Costs, and System-Level Impacts of 24/7 Carbon-Free Energy Procurement.” Energy Strategy Reviews 54 (July 1, 2024): 101488. https://doi.org/10.1016/j.esr.2024.101488.</w:t>
      </w:r>
    </w:p>
    <w:p>
      <w:pPr>
        <w:pStyle w:val="Heading2"/>
      </w:pPr>
      <w:r>
        <w:t>882.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2023:</w:t>
      </w:r>
      <w:r>
        <w:t xml:space="preserve"> 2017–2020 trends of particulate matter PM10 concentrations in the cities of Suceava and Botoșani — https://doi.org/10.47743/pesd2023171023</w:t>
      </w:r>
    </w:p>
    <w:p>
      <w:pPr/>
      <w:r>
        <w:rPr>
          <w:b/>
        </w:rPr>
        <w:t>Shared claim-specific concepts:</w:t>
      </w:r>
      <w:r>
        <w:t xml:space="preserve"> pm10, concentrations, until; EU scope not established. This is a provisional connection, not an outcome finding.</w:t>
      </w:r>
    </w:p>
    <w:p>
      <w:pPr>
        <w:pStyle w:val="SourceNote"/>
      </w:pPr>
      <w:r>
        <w:rPr>
          <w:b/>
        </w:rPr>
        <w:t>Available abstract (not full text):</w:t>
      </w:r>
      <w:r>
        <w:t xml:space="preserve"> This study aims to analyze the trends and variability of PM10 concentrations at three monitoring sites in Suceava and Botoșani cities from 2017 to 2020.The results reveal a declining trend in PM10 concentrations at the urban background stations (SV1 and BT1), while the industrial site (SV2) indicated a slight increasing trend until 2019.The cold season recorded the highest daily PM10 concentrations, with peak values of 133.5 μg/m3, 114.9 μg/m3, and 91.8 μg/m3 at SV2, BT1, and SV1, respectively.Annual average PM10 concentrations decreased at SV1 and BT1, showing reductions of 6.7% and 19.7% in 2020 compared to 2017, respectively.The 90.4th percentile, with a threshold limit of 50 μg/m3, exceeded the limit during the 2018-2020 period at SV2. Pearson correlation analysis indicates a significant positive correlation between PM10 and NO2 (R = 0.66 in SV2) and CO (R = 0.69 in SV2, R = 0.54 in BT1) during the winter season.Additionally, a positive correlation was observed between PM10 and benzene in BT1, during both the warm season (R = 0.41) and the cold season (R = 0.66).These results provide insights into the spatiotemporal variability of PM10 and its relationship with other air pollutants.</w:t>
      </w:r>
    </w:p>
    <w:p>
      <w:pPr/>
      <w:r>
        <w:rPr>
          <w:b/>
        </w:rPr>
        <w:t>POSSIBLE 2023:</w:t>
      </w:r>
      <w:r>
        <w:t xml:space="preserve"> The Impact of Atmospheric Synoptic Weather Condition and Long-Range Transportation of Air Mass on Extreme PM10 Concentration Events — https://doi.org/10.3390/atmos14020406</w:t>
      </w:r>
    </w:p>
    <w:p>
      <w:pPr/>
      <w:r>
        <w:rPr>
          <w:b/>
        </w:rPr>
        <w:t>Shared claim-specific concepts:</w:t>
      </w:r>
      <w:r>
        <w:t xml:space="preserve"> furthermore, pm10, concentrations; EU scope not established. This is a provisional connection, not an outcome finding.</w:t>
      </w:r>
    </w:p>
    <w:p>
      <w:pPr>
        <w:pStyle w:val="SourceNote"/>
      </w:pPr>
      <w:r>
        <w:rPr>
          <w:b/>
        </w:rPr>
        <w:t>Available abstract (not full text):</w:t>
      </w:r>
      <w:r>
        <w:t xml:space="preserve"> Atmospheric synoptic weather patterns have a significant impact on the concentration, dispersion, and transportation of air pollution in various regions and times around the world. To assess the impact of atmospheric synoptic weather patterns and long-range air mass transportation, we used weather classification techniques from the BP training model and the HYSPLIT model. Our research uncovered four weather conditions linked to PM10 concentration categories ranging from normal to extreme. Weather conditions 3 and 4 are the most significant conditions supporting the occurrence of extreme concentration events that are heavily influenced by anti-cyclones. Despite weather conditions influencing high concentrations, 60% of long-distance air mass transport to Secunda from Mpumalanga province increased to extreme PM10 concentrations. Furthermore, long-term weather shifts have been observed to positively impact reducing the concentration of PM10 extreme events.</w:t>
      </w:r>
    </w:p>
    <w:p>
      <w:pPr/>
      <w:r>
        <w:rPr>
          <w:b/>
        </w:rPr>
        <w:t>POSSIBLE 2022:</w:t>
      </w:r>
      <w:r>
        <w:t xml:space="preserve"> Impact of PM2.5 and PM10 Emissions on Changes of Their Concentration Levels in Lithuania: A Case Study — https://doi.org/10.3390/atmos13111793</w:t>
      </w:r>
    </w:p>
    <w:p>
      <w:pPr/>
      <w:r>
        <w:rPr>
          <w:b/>
        </w:rPr>
        <w:t>Shared claim-specific concepts:</w:t>
      </w:r>
      <w:r>
        <w:t xml:space="preserve"> furthermore, pm10, concentrations; EU scope visible. This is a provisional connection, not an outcome finding.</w:t>
      </w:r>
    </w:p>
    <w:p>
      <w:pPr>
        <w:pStyle w:val="SourceNote"/>
      </w:pPr>
      <w:r>
        <w:rPr>
          <w:b/>
        </w:rPr>
        <w:t>Available abstract (not full text):</w:t>
      </w:r>
      <w:r>
        <w:t xml:space="preserve"> Due to negative effects on human health and visibility, atmospheric particulate matter (PM) is a prioritized contaminant for urban air pollution management. Over the past few decades, managing emissions have been a top priority. This paper investigated PM national inventory data and mass concentration trends for Lithuania. This analysis considers primary (sum of filterable and condensable) PM2.5 and PM10 emissions from point, mobile on-road and off-road, industry, agriculture, and waste sectors. In this study, by examining both the emissions and the mass concentrations of PM10, the effects of emissions decreasing with a concentration decrease were revealed. The slower decreasing tendency of PM10 and BC (0.03 Gg/year) than that of PM2.5 (0.1 Gg/year) should be noted. Furthermore, the correlation analysis also finds that the increase in PM10 from stationary and mobile combustion sources is closely related to the increase in the contribution to the pollution level.</w:t>
      </w:r>
    </w:p>
    <w:p>
      <w:pPr/>
      <w:r>
        <w:rPr>
          <w:b/>
        </w:rPr>
        <w:t>POSSIBLE 2022:</w:t>
      </w:r>
      <w:r>
        <w:t xml:space="preserve"> Statistical Analysis of PM10 Concentration in the Monterrey Metropolitan Area, Mexico (2010–2018) — https://doi.org/10.3390/atmos13020297</w:t>
      </w:r>
    </w:p>
    <w:p>
      <w:pPr/>
      <w:r>
        <w:rPr>
          <w:b/>
        </w:rPr>
        <w:t>Shared claim-specific concepts:</w:t>
      </w:r>
      <w:r>
        <w:t xml:space="preserve"> furthermore, pm10, concentrations, applying; EU scope not established. This is a provisional connection, not an outcome finding.</w:t>
      </w:r>
    </w:p>
    <w:p>
      <w:pPr>
        <w:pStyle w:val="SourceNote"/>
      </w:pPr>
      <w:r>
        <w:rPr>
          <w:b/>
        </w:rPr>
        <w:t>Available abstract (not full text):</w:t>
      </w:r>
      <w:r>
        <w:t xml:space="preserve"> Air-quality monitoring and analysis are initial parts of a comprehensive strategy to prevent air pollution in cities. In such a context, statistical tools play an important role in determining the time-series trends, locating areas with high pollutant concentrations, and building predictive models. In this work, we analyzed the spatio-temporal behavior of the pollutant PM10 in the Monterrey Metropolitan Area (MMA), Mexico during the period 2010–2018 by applying statistical analysis to the time series of seven environmental stations. First, we used experimental variograms and scientific visualization to determine the general trends and variability in time. Then, fractal exponents (the Hurst rescaled range and Higuchi algorithm) were used to analyze the long-term dependence of the time series and characterize the study area by correlating that dependence with the geographical parameters of each environmental station. The results suggest a linear decrease in PM10 concentration, which showed an annual cyclicity. The autumn-winter period was the most polluted and the spring-summer period was the least. Furthermore, it was found that the highest average concentrations are located in the western and high-altitude zones of the MMA, and that average concentration is related in a quadratic way to the Hurst and Higuchi exponents, which in turn are related to some geographic parameters. Th</w:t>
      </w:r>
    </w:p>
    <w:p>
      <w:pPr/>
      <w:r>
        <w:rPr>
          <w:b/>
        </w:rPr>
        <w:t>POSSIBLE 2022:</w:t>
      </w:r>
      <w:r>
        <w:t xml:space="preserve"> Benefits of future clean air policies in Europe — https://doi.org/10.1097/ee9.0000000000000221</w:t>
      </w:r>
    </w:p>
    <w:p>
      <w:pPr/>
      <w:r>
        <w:rPr>
          <w:b/>
        </w:rPr>
        <w:t>Shared claim-specific concepts:</w:t>
      </w:r>
      <w:r>
        <w:t xml:space="preserve"> concentrations, union, until, available;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r>
        <w:rPr>
          <w:b/>
        </w:rPr>
        <w:t>POSSIBLE 2021:</w:t>
      </w:r>
      <w:r>
        <w:t xml:space="preserve"> Contribution of anthropogenic and natural sources in PM10 during North African dust events in Southern Europe — https://doi.org/10.1016/j.envpol.2021.118065</w:t>
      </w:r>
    </w:p>
    <w:p>
      <w:pPr/>
      <w:r>
        <w:rPr>
          <w:b/>
        </w:rPr>
        <w:t>Shared claim-specific concepts:</w:t>
      </w:r>
      <w:r>
        <w:t xml:space="preserve"> furthermore, pm10, concentrations; EU scope visible. This is a provisional connection, not an outcome finding.</w:t>
      </w:r>
    </w:p>
    <w:p>
      <w:pPr>
        <w:pStyle w:val="SourceNote"/>
      </w:pPr>
      <w:r>
        <w:rPr>
          <w:b/>
        </w:rPr>
        <w:t>Available abstract (not full text):</w:t>
      </w:r>
      <w:r>
        <w:t xml:space="preserve"> The influence of North African (NAF) dust events on the air quality at the regional level (12 representative monitoring stations) in Southern Europe during a long time series (2007–2014) was studied. PM10 levels and chemical composition were separated by Atlantic (ATL) and NAF air masses. An increase in the average PM10 concentrations was observed on sampling days with NAF dust influence (42 μg m−3) when compared to ATL air masses (29 μg m−3). Major compounds such as crustal components and secondary inorganic compounds (SIC), as well as toxic trace elements derived from industrial emissions, also showed higher concentrations of NAF events. A source contribution analysis using positive matrix factorisation (PMF) 5.0 of the PM10 chemical data, discriminating ATL and NAF air mass origins, allowed the identification of five sources: crustal, sea salt, traffic, regional, and industrial. A higher contribution (74%) of the natural sources to PM10 concentrations was confirmed under NAF episodes compared with ATL. Furthermore, there was an increase in anthropogenic sources during these events (51%), indicating the important influence of the NAF air masses on these sources. The results of this study highlight that environmental managers should take appropriate actions to reduce local emissions during NAF events to ensure good air quality.</w:t>
      </w:r>
    </w:p>
    <w:p>
      <w:pPr/>
      <w:r>
        <w:rPr>
          <w:b/>
        </w:rPr>
        <w:t>POSSIBLE 2021:</w:t>
      </w:r>
      <w:r>
        <w:t xml:space="preserve"> Assessment of Machine Learning Algorithms in Short-term Forecasting of PM10 and PM2.5 Concentrations in Selected Polish Agglomerations — https://doi.org/10.4209/aaqr.200586</w:t>
      </w:r>
    </w:p>
    <w:p>
      <w:pPr/>
      <w:r>
        <w:rPr>
          <w:b/>
        </w:rPr>
        <w:t>Shared claim-specific concepts:</w:t>
      </w:r>
      <w:r>
        <w:t xml:space="preserve"> pm10, concentrations, best; EU scope visible. This is a provisional connection, not an outcome finding.</w:t>
      </w:r>
    </w:p>
    <w:p>
      <w:pPr>
        <w:pStyle w:val="SourceNote"/>
      </w:pPr>
      <w:r>
        <w:rPr>
          <w:b/>
        </w:rPr>
        <w:t>Available abstract (not full text):</w:t>
      </w:r>
      <w:r>
        <w:t xml:space="preserve"> Air pollution continues to have a significant impact on Europeans living in urban areas, and episodes of elevated PMx are responsible for a large number of premature deaths (mostly due to heart disease and stroke) each year. According to the annual EEA reports, Poland is one of the most polluted countries in Europe, experiencing high PMx concentrations during winter that mostly result from large emissions and unfavourable weather conditions in combination with environmental features. Thus, in addition to implementing municipal mitigation strategies, alerting residents to pollution episodes through accurate PMx forecasting is necessary. This research aimed to assess the feasibility of short-term PMx forecasting via machine learning (ML) and the subsequent identification of the primary meteorological covariates. The data comprised 10 years of hourly winter PM10 and PM2.5 concentrations measured at 11 urban air quality monitoring stations, including background, traffic, and industrial sites, in four large Polish agglomerations, viz., Poznań, Kraków, Łódź, and Gdańsk, which cover areas with high population density and diverse environments that extend from the Baltic Sea coast (Tricity) through the lowlands (Poznań and Łódź) to the highlands (Kraków). We tested four ML models: AIC-based stepwise regression, two tree-based algorithms (random forests and XGBoost), and neural networks.</w:t>
      </w:r>
    </w:p>
    <w:p>
      <w:pPr/>
      <w:r>
        <w:rPr>
          <w:b/>
        </w:rPr>
        <w:t>POSSIBLE 2021:</w:t>
      </w:r>
      <w:r>
        <w:t xml:space="preserve"> PM10 and PM2.5 real-time prediction models using an interpolated convolutional neural network — https://doi.org/10.1038/s41598-021-91253-9</w:t>
      </w:r>
    </w:p>
    <w:p>
      <w:pPr/>
      <w:r>
        <w:rPr>
          <w:b/>
        </w:rPr>
        <w:t>Shared claim-specific concepts:</w:t>
      </w:r>
      <w:r>
        <w:t xml:space="preserve"> furthermore, pm10, concentrations; EU scope not established. This is a provisional connection, not an outcome finding.</w:t>
      </w:r>
    </w:p>
    <w:p>
      <w:pPr>
        <w:pStyle w:val="SourceNote"/>
      </w:pPr>
      <w:r>
        <w:rPr>
          <w:b/>
        </w:rPr>
        <w:t>Available abstract (not full text):</w:t>
      </w:r>
      <w:r>
        <w:t xml:space="preserve"> In this paper, we propose a real-time prediction model that can respond to particulate matters (PM) in the air, which are an indication of poor air quality. The model applies interpolation to air quality and weather data and then uses a Convolutional Neural Network (CNN) to predict PM concentrations. The interpolation transforms the irregular spatial data into an equally spaced grid, which the model requires. This combination creates the interpolated CNN (ICNN) model that we use to predict PM10 and PM2.5 concentrations. The PM10 and PM2.5 evaluation results show an effective prediction performance with an R-squared higher than 0.97 and a root mean square error (RMSE) of approximately 16% of the standard deviation. Furthermore, both PM10 and PM2.5 prediction models forecast high concentrations with high reliability, with a probability of detection higher than 0.90 and a critical success index exceeding 0.85. The proposed ICNN prediction model achieves a high prediction performance using spatio-temporal information and presents a new direction in the prediction field.</w:t>
      </w:r>
    </w:p>
    <w:p>
      <w:pPr/>
      <w:r>
        <w:rPr>
          <w:b/>
        </w:rPr>
        <w:t>POSSIBLE 2019:</w:t>
      </w:r>
      <w:r>
        <w:t xml:space="preserve"> Distribution trends of European dragonflies under climate change — https://doi.org/10.1111/ddi.12913</w:t>
      </w:r>
    </w:p>
    <w:p>
      <w:pPr/>
      <w:r>
        <w:rPr>
          <w:b/>
        </w:rPr>
        <w:t>Shared claim-specific concepts:</w:t>
      </w:r>
      <w:r>
        <w:t xml:space="preserve"> furthermore, predicted, different;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pStyle w:val="Heading2"/>
      </w:pPr>
      <w:r>
        <w:t>883.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combined, potential, significant, reduction, coastal;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2023:</w:t>
      </w:r>
      <w:r>
        <w:t xml:space="preserve"> Combined gastric and colorectal cancer endoscopic screening may be cost-effective in Europe with the implementation of artificial intelligence: an economic evaluation — https://doi.org/10.1097/meg.0000000000002680</w:t>
      </w:r>
    </w:p>
    <w:p>
      <w:pPr/>
      <w:r>
        <w:rPr>
          <w:b/>
        </w:rPr>
        <w:t>Shared claim-specific concepts:</w:t>
      </w:r>
      <w:r>
        <w:t xml:space="preserve"> combined, system; EU scope visible. This is a provisional connection, not an outcome finding.</w:t>
      </w:r>
    </w:p>
    <w:p>
      <w:pPr>
        <w:pStyle w:val="SourceNote"/>
      </w:pPr>
      <w:r>
        <w:rPr>
          <w:b/>
        </w:rPr>
        <w:t>Available abstract (not full text):</w:t>
      </w:r>
      <w:r>
        <w:t xml:space="preserve">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pPr/>
      <w:r>
        <w:rPr>
          <w:b/>
        </w:rPr>
        <w:t>POSSIBLE 2023:</w:t>
      </w:r>
      <w:r>
        <w:t xml:space="preserve"> Observations from structural testing of full-scale tidal turbine blades — https://doi.org/10.36688/ewtec-2023-277</w:t>
      </w:r>
    </w:p>
    <w:p>
      <w:pPr/>
      <w:r>
        <w:rPr>
          <w:b/>
        </w:rPr>
        <w:t>Shared claim-specific concepts:</w:t>
      </w:r>
      <w:r>
        <w:t xml:space="preserve"> aim, combined, tidal, capacity, installed, energy; EU scope visible. This is a provisional connection, not an outcome finding.</w:t>
      </w:r>
    </w:p>
    <w:p>
      <w:pPr>
        <w:pStyle w:val="SourceNote"/>
      </w:pPr>
      <w:r>
        <w:rPr>
          <w:b/>
        </w:rPr>
        <w:t>Available abstract (not full text):</w:t>
      </w:r>
      <w:r>
        <w:t xml:space="preserve"> As the world shifts its reliance from fossil fuels to renewable energy, a reliable, predictable and dependable source of energy is vital; tidal energy provides such a solution. In 2021, the cumulative installed capacity of tidal stream energy in Europe, since 2010, reached 30.2 MW, which is roughly three times as much as the rest of the world. The total electricity produced in Europe from tidal energy increased by 8 GWh to a total of 68 GWh to date. The tidal turbine blades convert the energy in the tidal current to useful mechanical energy that can be converted to electricity. Therefore, the reliability of the blades is paramount to the success for the turbine. Structural testing of composite tidal turbine blades is performed to ensure the design and manufacturing processes [4] produce a reliable component that performs for its design life span. In recent years, a number of structural testing programmes have been performed on full-scale tidal turbine blades, as the sector strives for commercial viability. In this paper, observations during the structural (static, dynamic and fatigue) testing of full-scale tidal turbine blades are presented and discussed. These observations have been made from 5 testing campaigns on full-scale tidal turbine blades at the Large Structures Testing Laboratory in the SFI MaREI centre in the University of Galway. The length of these blades range fro</w:t>
      </w:r>
    </w:p>
    <w:p>
      <w:pPr/>
      <w:r>
        <w:rPr>
          <w:b/>
        </w:rPr>
        <w:t>POSSIBLE 2023:</w:t>
      </w:r>
      <w:r>
        <w:t xml:space="preserve"> Review and assessment of the German tidal energy resource — https://doi.org/10.1007/s40722-023-00309-7</w:t>
      </w:r>
    </w:p>
    <w:p>
      <w:pPr/>
      <w:r>
        <w:rPr>
          <w:b/>
        </w:rPr>
        <w:t>Shared claim-specific concepts:</w:t>
      </w:r>
      <w:r>
        <w:t xml:space="preserve"> tidal, energy, potential; EU scope visible. This is a provisional connection, not an outcome finding.</w:t>
      </w:r>
    </w:p>
    <w:p>
      <w:pPr>
        <w:pStyle w:val="SourceNote"/>
      </w:pPr>
      <w:r>
        <w:rPr>
          <w:b/>
        </w:rPr>
        <w:t>Available abstract (not full text):</w:t>
      </w:r>
      <w:r>
        <w:t xml:space="preserve"> Abstract To mitigate climate change, a transformation of the energy sector towards a low-emission power generation is necessary. Tidal energy technology has matured in recent years and has the potential to balance Europe’s future power grid. While reviews of the tidal energy resource exist for a number of European countries, along the German North Sea coast is overlooked so far. This paper closes this gap and provides a comprehensive review and assessment of the German tidal energy resource. Germany’s North Sea coast is characterised by comparatively low current velocities and shallow waters. Using available data from the EasyGSH-DB North Sea Model, Germany’s practical tidal energy resource is estimated in a range between 66.6 and 565.8 GWh y $$^{-1}$$ - 1 to, excluding the most energetic sites in the estuaries of Elbe, Weser, and Ems. A stakeholder questionnaire aimed at tidal energy technology developers has shown that it is considered important to further develop the technology towards the use in shallow water and under low current velocities.</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reach, energy, role,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Tidal stream to mainstream: mechanical testing of composite tidal stream blades to de-risk operational design life — https://doi.org/10.1007/s40722-022-00223-4</w:t>
      </w:r>
    </w:p>
    <w:p>
      <w:pPr/>
      <w:r>
        <w:rPr>
          <w:b/>
        </w:rPr>
        <w:t>Shared claim-specific concepts:</w:t>
      </w:r>
      <w:r>
        <w:t xml:space="preserve"> tidal, capacity, energy, potential, role; EU scope visible. This is a provisional connection, not an outcome finding.</w:t>
      </w:r>
    </w:p>
    <w:p>
      <w:pPr>
        <w:pStyle w:val="SourceNote"/>
      </w:pPr>
      <w:r>
        <w:rPr>
          <w:b/>
        </w:rPr>
        <w:t>Available abstract (not full text):</w:t>
      </w:r>
      <w:r>
        <w:t xml:space="preserve"> Tidal energy has seen a surge of interest in recent years with several companies developing technology to harness the power of the world's oceans where the operational capacity in Europe was over 11 MW in 2020. One such developer is the partnership of SCHOTTEL Hydro (Germany) and Sustainable Marine (UK) who have developed a scalable multi-turbine device equipped with 70 kW turbines and capable of operating in arrays at sites around the world. The technology to harness tidal energy is still at a relatively early stage of development; hence, de-risking of component parts plays a vital role on the road to commercialisation. Despite this, the number of tidal energy blades undergoing test programmes remains small. Two different rotor diameters have been developed for the aforementioned device such that it can be optimised for sites of varying potential. In this paper, a blade from each of the 4.0 m and 6.3 m diameter devices was tested for their responses in natural frequency, static loading and fatigue loading under test standards IEC 62600-3:2020 and DNVGL-ST-0164. Testing saw the survival of a blade in fatigue at a lifetime-equivalent load and the generation of natural frequency, strain and displacement results for both blades. Data generated from the testing as a whole will contribute to the modelling and validation of future tidal blades.</w:t>
      </w:r>
    </w:p>
    <w:p>
      <w:pPr/>
      <w:r>
        <w:rPr>
          <w:b/>
        </w:rPr>
        <w:t>POSSIBLE 2022:</w:t>
      </w:r>
      <w:r>
        <w:t xml:space="preserve"> Tidal energy-path towards sustainable energy: A technical review — https://doi.org/10.1016/j.cles.2022.100041</w:t>
      </w:r>
    </w:p>
    <w:p>
      <w:pPr/>
      <w:r>
        <w:rPr>
          <w:b/>
        </w:rPr>
        <w:t>Shared claim-specific concepts:</w:t>
      </w:r>
      <w:r>
        <w:t xml:space="preserve"> wave, tidal, capacity, installed, energy, system; EU scope not established. This is a provisional connection, not an outcome finding.</w:t>
      </w:r>
    </w:p>
    <w:p>
      <w:pPr>
        <w:pStyle w:val="SourceNote"/>
      </w:pPr>
      <w:r>
        <w:rPr>
          <w:b/>
        </w:rPr>
        <w:t>Available abstract (not full text):</w:t>
      </w:r>
      <w:r>
        <w:t xml:space="preserve"> The continuous demand for electricity, greenhouse gas emission, and diminution of fossil fuels have led to increased electricity production through renewable energy sources. The challenges of solar and wind energy systems have mostly shown unpredictable nature, so some countries are going towards electricity generation through the tidal energy system. Another advantage of the tidal energy system is that it can be used without requiring lavish grid updates. It demonstrates that increasing the generation duration at the fastest flow velocities while limiting the tidal device's capacity increases the installed system's capacity factor. The economic viability and market competitiveness of tidal energy are also attractive for electricity generation. This paper offers a review of several aspects of the tidal energy system. The assessment is done based on the resource allocation, modeling of the tidal energy system, control system of the tidal energy system, reliability assessment of tidal energy system, and application of optimization techniques in the area of the tidal energy system. Now a day's, reliability assessment is most important to identify the tidal energy system's maintainability, availability and fault rate. This paper also shows future assessment aspects of the tidal energy system and identifies stochastic turbulence, wave speed, sea depth, wave height, and peak wave per</w:t>
      </w:r>
    </w:p>
    <w:p>
      <w:pPr/>
      <w:r>
        <w:rPr>
          <w:b/>
        </w:rPr>
        <w:t>POSSIBLE 2021:</w:t>
      </w:r>
      <w:r>
        <w:t xml:space="preserve"> Review of Works Combining GNSS and InSAR in Europe — https://doi.org/10.3390/rs13091684</w:t>
      </w:r>
    </w:p>
    <w:p>
      <w:pPr/>
      <w:r>
        <w:rPr>
          <w:b/>
        </w:rPr>
        <w:t>Shared claim-specific concepts:</w:t>
      </w:r>
      <w:r>
        <w:t xml:space="preserve"> combined, system, remote; EU scope visible. This is a provisional connection, not an outcome finding.</w:t>
      </w:r>
    </w:p>
    <w:p>
      <w:pPr>
        <w:pStyle w:val="SourceNote"/>
      </w:pPr>
      <w:r>
        <w:rPr>
          <w:b/>
        </w:rPr>
        <w:t>Available abstract (not full text):</w:t>
      </w:r>
      <w:r>
        <w:t xml:space="preserve"> The Global Navigation Satellite System (GNSS) and Synthetic Aperture Radar Interferometry (InSAR) can be combined to achieve different goals, owing to their main principles. Both enable the collection of information about ground deformation due to the differences of two consequent acquisitions. Their variable applications, even if strictly related to ground deformation and water vapor determination, have encouraged the scientific community to combine GNSS and InSAR data and their derivable products. In this work, more than 190 scientific contributions were collected spanning the whole European continent. The spatial and temporal distribution of such studies, as well as the distinction in different fields of application, were analyzed. Research in Italy, as the most represented nation, with 47 scientific contributions, has been dedicated to the spatial and temporal distribution of its studied phenomena. The state-of-the-art of the various applications of these two combined techniques can improve the knowledge of the scientific community and help in the further development of new approaches or additional applications in different fields. The demonstrated usefulness and versability of the combination of GNSS and InSAR remote sensing techniques for different purposes, as well as the availability of free data, EUREF and GMS (Ground Motion Service), and the possibility of overcoming </w:t>
      </w:r>
    </w:p>
    <w:p>
      <w:pPr/>
      <w:r>
        <w:rPr>
          <w:b/>
        </w:rPr>
        <w:t>POSSIBLE 2021:</w:t>
      </w:r>
      <w:r>
        <w:t xml:space="preserve"> A review of component and system reliability in tidal turbine deployments — https://doi.org/10.1016/j.rser.2021.111495</w:t>
      </w:r>
    </w:p>
    <w:p>
      <w:pPr/>
      <w:r>
        <w:rPr>
          <w:b/>
        </w:rPr>
        <w:t>Shared claim-specific concepts:</w:t>
      </w:r>
      <w:r>
        <w:t xml:space="preserve"> tidal, energy, potential, system; EU scope not established. This is a provisional connection, not an outcome finding.</w:t>
      </w:r>
    </w:p>
    <w:p>
      <w:pPr>
        <w:pStyle w:val="SourceNote"/>
      </w:pPr>
      <w:r>
        <w:rPr>
          <w:b/>
        </w:rPr>
        <w:t>Available abstract (not full text):</w:t>
      </w:r>
      <w:r>
        <w:t xml:space="preserve"> Tidal stream energy has the potential to contribute to global renewable energy generation, but this remains largely untapped. Technical developments have helped create a nascent industry with several pre-commercial installations. However, planned projects experience a cautious investment climate due to perceived risk of failure, and maintenance and repair cost. This paper reviews 58 tidal stream energy deployments between 2003 and August 2020. The analysis reviews commonalities, success and engineering issues, to inform current and future projects. The work classifies each deployment by type, rated power, number of devices, grid connection and foundation. In each case, project status and (if appropriate) failure mode is identified. Failure modes are compared to deployment classification to identify potential relationships. Most deployments were of horizontal axis turbines. The majority (54%) of deployments performed well. 18% failed, 14% were withdrawn from service, and 14% generated less power than planned. The most common failure cause was blade failure, followed by generator and monitoring failures. Ducted devices and devices in high velocity locations were more likely to fail, suggesting that flow velocity is a key factor. Most blade failures were attributed to underestimation of loads during design. Floating deployments were less likely to fail than fixed deployments, but </w:t>
      </w:r>
    </w:p>
    <w:p>
      <w:pPr>
        <w:pStyle w:val="Heading2"/>
      </w:pPr>
      <w:r>
        <w:t>884.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2023:</w:t>
      </w:r>
      <w:r>
        <w:t xml:space="preserve"> Applying the Purpose Limitation Principle in Smart-City Data-Processing Practices: A European Data Protection Law Perspective — https://doi.org/10.1080/10811680.2023.2180266</w:t>
      </w:r>
    </w:p>
    <w:p>
      <w:pPr/>
      <w:r>
        <w:rPr>
          <w:b/>
        </w:rPr>
        <w:t>Shared claim-specific concepts:</w:t>
      </w:r>
      <w:r>
        <w:t xml:space="preserve"> purpose, two, context, cities; EU scope visible. This is a provisional connection, not an outcome finding.</w:t>
      </w:r>
    </w:p>
    <w:p>
      <w:pPr>
        <w:pStyle w:val="SourceNote"/>
      </w:pPr>
      <w:r>
        <w:rPr>
          <w:b/>
        </w:rPr>
        <w:t>Available abstract (not full text):</w:t>
      </w:r>
      <w:r>
        <w:t xml:space="preserve"> Protection of privacy rights in the context of smart cities is novel, currently underdeveloped, and a hot topic worldwide. This article examines the purpose limitation of European data protection law in the context of smart cities. The “purpose limitation” principle of the General Data Protection Regulation (GDPR) outlines the ways and means of processing personal data to protect individuals’ fundamental right to personal data protection and related risks. The principle, which empowers controller(s) to process data in a controlled manner, requires that controller(s) process personal data only after meeting two fundamental requirements: they must act on the requirements of purpose specification, andthey must perform an “incompatibility test” while processing personal data for further purposes.This article aims to outline the permissible limits of the purpose limitation principle to pursue different purposes in the context of smart cities. Indeed, the principle only applies when controllers process personal data in smart cities. With the authority provided by the principle, data controllers may process personal data for primary and secondary purposes. However, processing purposes cannot go beyond defined restrictions. The study, which is conducted within the European legal framework, deploys a multimethod approach to address different parts of the research question.</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various, size;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Alternative Histories of the White Cube: European Modernism and Mediterranean Vernacular — https://openalex.org/W7111654902</w:t>
      </w:r>
    </w:p>
    <w:p>
      <w:pPr/>
      <w:r>
        <w:rPr>
          <w:b/>
        </w:rPr>
        <w:t>Shared claim-specific concepts:</w:t>
      </w:r>
      <w:r>
        <w:t xml:space="preserve"> purpose, two, alternative, reference; EU scope visible. This is a provisional connection, not an outcome finding.</w:t>
      </w:r>
    </w:p>
    <w:p>
      <w:pPr>
        <w:pStyle w:val="SourceNote"/>
      </w:pPr>
      <w:r>
        <w:rPr>
          <w:b/>
        </w:rPr>
        <w:t>Available abstract (not full text):</w:t>
      </w:r>
      <w:r>
        <w:t xml:space="preserve"> This dissertation investigates historical formulations of the white cube as a link between European modernism and Mediterranean vernacular. Architectural history consistently presents white and cubical modernist designs as resulting from the gradual erasure of ornaments as marks of pastness. The first two chapters of this dissertation shift this paradigm by reframing the historical appearance of bare volumes as resulting not only from the removal of ornament but also from the introduction of Mediterranean vernacular as a shared modernist reference. For this purpose, this dissertation locates the origin of white and cubical designs by seminal architects Adolf Loos (1870-1933), Marcel Breuer (1902-1981), and Le Corbusier (1887-1965) in their encounters with vernacular buildings in Mediterranean countries. Upon their return to Northern Europe, they re-introduced the white façades, flat roofs, and modularity they observed in Greek island villages and North African medinas into their own architectural proposals. This first pair of chapters argues that these architects’ designs for modernist white cubes stem from a primitivist gaze upon the work of vernacular builders. Parallel this demonstration, the third and fourth chapters of this dissertation measure this modernist gaze against discourses formulated by localized Mediterranean figures invested in vernacular traditions. These prot</w:t>
      </w:r>
    </w:p>
    <w:p>
      <w:pPr/>
      <w:r>
        <w:rPr>
          <w:b/>
        </w:rPr>
        <w:t>POSSIBLE 2021:</w:t>
      </w:r>
      <w:r>
        <w:t xml:space="preserve"> LEGAL BASES OF PUBLIC ADMINISTRATION IN THE CONTEXT OF EUROPEAN INTEGRATION OF UKRAINE: QUESTIONS OF FORMATION OF A PERSONNEL RESERVE — https://openalex.org/W3210655204</w:t>
      </w:r>
    </w:p>
    <w:p>
      <w:pPr/>
      <w:r>
        <w:rPr>
          <w:b/>
        </w:rPr>
        <w:t>Shared claim-specific concepts:</w:t>
      </w:r>
      <w:r>
        <w:t xml:space="preserve"> questions, context, role, purpose; EU scope visible. This is a provisional connection, not an outcome finding.</w:t>
      </w:r>
    </w:p>
    <w:p>
      <w:pPr>
        <w:pStyle w:val="SourceNote"/>
      </w:pPr>
      <w:r>
        <w:rPr>
          <w:b/>
        </w:rPr>
        <w:t>Available abstract (not full text):</w:t>
      </w:r>
      <w:r>
        <w:t xml:space="preserve"> Taking into account the realities of the context of Ukraine's European integration, the article emphasizes that the world practice of reforming the public administration system is based on the concept of New Public Management (NPM). It is based on the conditions for maintaining transparency in the activities of public services, restructuring their work to increase efficiency and reduce costs. The purpose of this study is to show the features of the formation of human resources, knowledge, and competence management in the public service of Ukraine. Among the tasks of the study, the following were identified and solved: to analyze the current situation in managing the development of the competence potential of civil service employees in the legal and social aspect, to identify existing problems and shortcomings in this area, to substantiate the role of the competence-based approach as an integral part of the civil service (public administration) personnel management system.</w:t>
      </w:r>
    </w:p>
    <w:p>
      <w:pPr/>
      <w:r>
        <w:rPr>
          <w:b/>
        </w:rPr>
        <w:t>POSSIBLE 2021:</w:t>
      </w:r>
      <w:r>
        <w:t xml:space="preserve"> Food Production Harms in the European Context: The EU as an Enabler or a Solution? — https://doi.org/10.46692/9781529212358.008</w:t>
      </w:r>
    </w:p>
    <w:p>
      <w:pPr/>
      <w:r>
        <w:rPr>
          <w:b/>
        </w:rPr>
        <w:t>Shared claim-specific concepts:</w:t>
      </w:r>
      <w:r>
        <w:t xml:space="preserve"> context, involve, observed; EU scope visible. This is a provisional connection, not an outcome finding.</w:t>
      </w:r>
    </w:p>
    <w:p>
      <w:pPr>
        <w:pStyle w:val="SourceNote"/>
      </w:pPr>
      <w:r>
        <w:rPr>
          <w:b/>
        </w:rPr>
        <w:t>Available abstract (not full text):</w:t>
      </w:r>
      <w:r>
        <w:t xml:space="preserve"> Introduction Food is vitally important for human subsistence. Moreover, the nature of socio-environmental and politico-economic conditions is particularly intricate in the process of food production. This intricacy begs the question, ‘who is producing what kind of food, for whose benefit, and to whose disadvantage?’ (Moragues-Faus and Marsden, 2017: 281). This chapter poses the question of whether food production-focused research can also become the lens that helps to open up new lines of inquiry about what is ‘European’ about European white-collar crime. Even though both isolated deviancy and systemic harm feature in the fabric of modern food systems, criminological engagement with intersections of food, crime and harm has not been prolific (see Walters, 2007; Cheng, 2011; Croall, 2012). Once the concept of food crime was introduced by Croall in 2007, avenues for research included food fraud, food poisoning (Tombs and Whyte, 2010), food mislabelling (Croall, 2012), trade practices and environmental law (Walters, 2006), food pricing, exploitation in food production (Tombs and Whyte, 2007) and cruelty to animals (Agnew, 1998; Yates, 2007). The intersection of food and criminological research in the European context can be observed in The Routledge Handbook of White-Collar and Corporate Crime in Europe (2015), which invokes the topic of food crime in relation to food adulteration</w:t>
      </w:r>
    </w:p>
    <w:p>
      <w:pPr/>
      <w:r>
        <w:rPr>
          <w:b/>
        </w:rPr>
        <w:t>POSSIBLE 2021:</w:t>
      </w:r>
      <w:r>
        <w:t xml:space="preserve"> Educational use of animals in Europe indicates a reluctance to implement alternatives — https://doi.org/10.14573/altex.2011111</w:t>
      </w:r>
    </w:p>
    <w:p>
      <w:pPr/>
      <w:r>
        <w:rPr>
          <w:b/>
        </w:rPr>
        <w:t>Shared claim-specific concepts:</w:t>
      </w:r>
      <w:r>
        <w:t xml:space="preserve"> two, alternative, specific, questions; EU scope visible. This is a provisional connection, not an outcome finding.</w:t>
      </w:r>
    </w:p>
    <w:p>
      <w:pPr>
        <w:pStyle w:val="SourceNote"/>
      </w:pPr>
      <w:r>
        <w:rPr>
          <w:b/>
        </w:rPr>
        <w:t>Available abstract (not full text):</w:t>
      </w:r>
      <w:r>
        <w:t xml:space="preserve"> Animals have been considered an indispensable tool to teach about the functioning of living organisms, to obtain skills necessary for practicing human and veterinary medicine, as well as for acquiring skills for caring for and conducting experiments on animals in laboratories. However, the efficacy of this practice has been questioned in recent decades, and societal views have evolved to place a much stronger emphasis on animal welfare and ethics that needs to be reflected in our teaching and training practices. Currently, many alternatives to harmful animal use are available, and it is not clear why thousands of animals continue to be used every year for educational and training purposes. Therefore, this study aimed to identify reasons for the lack of uptake of non-harmful educational and training methods by analyzing recently published non-technical summaries in the EU and EEA Member States and to provide examples of alternatives for specific learning objectives. Results from non-technical summaries from 18 countries spanning the most recent years (2017-2019) revealed that the two main perceived reasons for continued animal use are: 1) the necessity to use a living animal for “proper” learning and 2) the lack of an adequate alternative. We argue that these reasons often do not reflect reality. In conclusion, we consider it is necessary to place a stronger emphasis on engageme</w:t>
      </w:r>
    </w:p>
    <w:p>
      <w:pPr/>
      <w:r>
        <w:rPr>
          <w:b/>
        </w:rPr>
        <w:t>POSSIBLE 2020:</w:t>
      </w:r>
      <w:r>
        <w:t xml:space="preserve"> The Latest Stage of the German Question: Pax Germanica in the New Europe — https://doi.org/10.4324/9781003100737-7</w:t>
      </w:r>
    </w:p>
    <w:p>
      <w:pPr/>
      <w:r>
        <w:rPr>
          <w:b/>
        </w:rPr>
        <w:t>Shared claim-specific concepts:</w:t>
      </w:r>
      <w:r>
        <w:t xml:space="preserve"> posed, context, concerning, well; EU scope visible. This is a provisional connection, not an outcome finding.</w:t>
      </w:r>
    </w:p>
    <w:p>
      <w:pPr>
        <w:pStyle w:val="SourceNote"/>
      </w:pPr>
      <w:r>
        <w:rPr>
          <w:b/>
        </w:rPr>
        <w:t>Available abstract (not full text):</w:t>
      </w:r>
      <w:r>
        <w:t xml:space="preserve"> This chapter argues that the problem posed concerning the ‘German question’ in its latest form is novel, not only in the context in which it has developed but in the form that it takes. Germany’s unification engendered the emergence of a new stage of the ‘German question’ that has dominated modern European political, economic and military relations for over a century. The traditional formulation of this problematique has always started from the working assumption that Germany’s elites have sought to expand their economic and territorial base beyond their universally-defined geographic borders. Arguments stressing benign effect of German unification for European security and economic development reflect one of three critical elements. Although they might combine aspects of more than one form, this intellectual approach is preponderantly functional, institutional or sociological. The debate between optimists and pessimists therefore really focuses on degree of German centrality in new European order, as well as implications for Germany’s position in Europe and for global stability.</w:t>
      </w:r>
    </w:p>
    <w:p>
      <w:pPr/>
      <w:r>
        <w:rPr>
          <w:b/>
        </w:rPr>
        <w:t>POSSIBLE 2020:</w:t>
      </w:r>
      <w:r>
        <w:t xml:space="preserve"> Forty questions of importance to the policy and practice of native oyster reef restoration in Europe — https://doi.org/10.1002/aqc.3462</w:t>
      </w:r>
    </w:p>
    <w:p>
      <w:pPr/>
      <w:r>
        <w:rPr>
          <w:b/>
        </w:rPr>
        <w:t>Shared claim-specific concepts:</w:t>
      </w:r>
      <w:r>
        <w:t xml:space="preserve"> questions, well, two; EU scope visible. This is a provisional connection, not an outcome finding.</w:t>
      </w:r>
    </w:p>
    <w:p>
      <w:pPr>
        <w:pStyle w:val="SourceNote"/>
      </w:pPr>
      <w:r>
        <w:rPr>
          <w:b/>
        </w:rPr>
        <w:t>Available abstract (not full text):</w:t>
      </w:r>
      <w:r>
        <w:t xml:space="preserve"> Abstract Oyster reefs are among the most threatened marine habitats globally. In Europe, oyster reefs have been extirpated from most locations within their historical range. Active restoration of the native oyster (Ostrea edulis) in Europe has grown substantially in recent years. In sharing experiences between oyster restoration projects in Europe at the Native Oyster Restoration Alliance conference, NORA2, in Edinburgh in May 2019, it became apparent that a number of similar barriers are experienced. This study identified the top 40 questions, which, if answered, would have the greatest influence on the policy and practice of oyster restoration in Europe. Initially 71 people were consulted across 28 institutions and 11 European countries to generate 194 questions. An established process of one round of pre‐workshop voting followed by a one‐day online workshop and two post‐workshop rounds of voting resulted in the final 40 questions. Questions were broadly grouped into the following 10 themes: baselines, site selection, restoration methods, quantifying benefits, disease management, biosecurity, genetic diversity and population differentiation, policy and management, novel technologies, and current and future threats. We anticipate that this list will provide a starting point for developing collaborative projects across the NORA network, as well as assisting policy makers and fu</w:t>
      </w:r>
    </w:p>
    <w:p>
      <w:pPr>
        <w:pStyle w:val="Heading2"/>
      </w:pPr>
      <w:r>
        <w:t>885.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data;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2025:</w:t>
      </w:r>
      <w:r>
        <w:t xml:space="preserve"> Characterization of the Population With Intermediate‐Risk Status in Pulmonary Arterial Hypertension: Patients in a Latin American Country: The CAPRI Registry — https://doi.org/10.1002/pul2.70145</w:t>
      </w:r>
    </w:p>
    <w:p>
      <w:pPr/>
      <w:r>
        <w:rPr>
          <w:b/>
        </w:rPr>
        <w:t>Shared claim-specific concepts:</w:t>
      </w:r>
      <w:r>
        <w:t xml:space="preserve"> capri, compared, data, respectively; EU scope not established. This is a provisional connection, not an outcome finding.</w:t>
      </w:r>
    </w:p>
    <w:p>
      <w:pPr>
        <w:pStyle w:val="SourceNote"/>
      </w:pPr>
      <w:r>
        <w:rPr>
          <w:b/>
        </w:rPr>
        <w:t>Available abstract (not full text):</w:t>
      </w:r>
      <w:r>
        <w:t xml:space="preserve"> ABSTRACT Pulmonary arterial hypertension (PAH) in intermediate‐risk patients poses a challenge for clinicians, particularly in determining the optimal timing for escalating pharmacological treatment. We conducted a multicenter cross‐sectional study that analyzed data from the Colombian Pulmonary Hypertension Network (HAPredCO) on patients diagnosed with PAH. Participants were stratified into low‐ and high‐intermediate risk groups using the four‐level ESC/ERS score, which incorporates optimized cutoff values for WHO functional class (WHO FC), the 6‐min walk test (6MWT), and N‐terminal pro‐brain natriuretic peptide (NT‐proBNP)/brain natriuretic peptide (BNP) concentration. A bivariate analysis was conducted to compare study variables at baseline and during clinical follow‐up. Additionally, a survival analysis was performed using Kaplan‐Meier curves to compare outcomes between the intermediate‐risk groups. A total of 175 patients were analyzed, with a mean age of 44.85 years (SD 15.5), of which 86% (150/175) were women. In the baseline, a total of 75% (131/175) were classified as intermediate‐low‐risk. In clinical follow‐up, 40% (61/154) were classified as intermediate‐low‐risk, 21% (32/154) were classified as intermediate‐low‐risk, 23% (35/154) were classified as intermediate‐low‐risk, and 16% (26/154) as intermediate‐high‐risk. At baseline, WHO FC III was 61% (107/174), compared</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according, trend, data, respectively;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2021:</w:t>
      </w:r>
      <w:r>
        <w:t xml:space="preserve"> The role of market drivers in explaining the EU milk supply after the milk quota abolition — https://doi.org/10.1016/j.eap.2021.11.020</w:t>
      </w:r>
    </w:p>
    <w:p>
      <w:pPr/>
      <w:r>
        <w:rPr>
          <w:b/>
        </w:rPr>
        <w:t>Shared claim-specific concepts:</w:t>
      </w:r>
      <w:r>
        <w:t xml:space="preserve"> milk, yield, data, respectively; EU scope visible. This is a provisional connection, not an outcome finding.</w:t>
      </w:r>
    </w:p>
    <w:p>
      <w:pPr>
        <w:pStyle w:val="SourceNote"/>
      </w:pPr>
      <w:r>
        <w:rPr>
          <w:b/>
        </w:rPr>
        <w:t>Available abstract (not full text):</w:t>
      </w:r>
      <w:r>
        <w:t xml:space="preserve"> The abolition of the EU milk quota system since 2015 has allowed the dairy sector to fully react to market forces. This change should be properly reflected within the tools that support the design of EU/national policy interventions. This paper focuses on updating the milk supply responses at EU member state level in a context where still limited data is available. Using a Mixed Estimator a set of equations for the yield per cow and the size of the dairy herd, has been estimated, leaving the milk supply derived as an identity. An important outcome of this study is that milk supply at country level is inelastic, with the (short-run) yield and herd milk price elasticities being 0.2 and 0.1 respectively. The study concludes that two thirds of the impact of a milk price change is resulting from dairy cow yield changes, while a third is resulting from changes in the number of dairy cows.</w:t>
      </w:r>
    </w:p>
    <w:p>
      <w:pPr/>
      <w:r>
        <w:rPr>
          <w:b/>
        </w:rPr>
        <w:t>POSSIBLE 2021:</w:t>
      </w:r>
      <w:r>
        <w:t xml:space="preserve"> Innovating feeding strategies in dairy sheep farming can reduce environmental impact of ewe milk — https://doi.org/10.1080/1828051x.2021.2003726</w:t>
      </w:r>
    </w:p>
    <w:p>
      <w:pPr/>
      <w:r>
        <w:rPr>
          <w:b/>
        </w:rPr>
        <w:t>Shared claim-specific concepts:</w:t>
      </w:r>
      <w:r>
        <w:t xml:space="preserve"> average, milk, compared; EU scope visible. This is a provisional connection, not an outcome finding.</w:t>
      </w:r>
    </w:p>
    <w:p>
      <w:pPr>
        <w:pStyle w:val="SourceNote"/>
      </w:pPr>
      <w:r>
        <w:rPr>
          <w:b/>
        </w:rPr>
        <w:t>Available abstract (not full text):</w:t>
      </w:r>
      <w:r>
        <w:t xml:space="preserve"> Dairy sheep systems are relevant for the economy of many rural areas of the Mediterranean Basin and the optimisation of their productive factors is necessary to improve their competitiveness and to reduce their environmental impact. The objective of this study was to assess, through a farm-scale life cycle assessment (LCA) approach, the potential of reducing environmental impacts on ewe milk of an innovative farming system (IF), based on the adoption of a precision feeding approach to improve milk production and quality, compared with a conventional farming system (CF) in dairy sheep farms in Tuscany region, Italy. The LCA analysis was carried out through a cradle-to-farm-gate LCA, comparing three conventional farms with three innovative farms, using 1 kg of fat protein corrected milk (FPCM) as a functional unit. The Small Ruminants Module of Nutritional Dynamic System (NDS) software was used to estimate methane emissions due to enteric fermentation. The introduction of precision feeding strategy reduced the environmental impacts of ewe milk as a consequence of the increased milk production efficiency (+50%). Indeed, the environmental impact of ewe milk was reduced in IF by 42% as the average of the impact categories being significantly different between the two farming systems.HighlightsPrecision feeding is recognised as a strategy to mitigate the environmental impacts of rumi</w:t>
      </w:r>
    </w:p>
    <w:p>
      <w:pPr/>
      <w:r>
        <w:rPr>
          <w:b/>
        </w:rPr>
        <w:t>POSSIBLE 2021:</w:t>
      </w:r>
      <w:r>
        <w:t xml:space="preserve"> Whole Genome DNA Methylation Variations in Mammary Gland Tissues from Holstein Cattle Producing Milk with Various Fat and Protein Contents — https://doi.org/10.3390/genes12111727</w:t>
      </w:r>
    </w:p>
    <w:p>
      <w:pPr/>
      <w:r>
        <w:rPr>
          <w:b/>
        </w:rPr>
        <w:t>Shared claim-specific concepts:</w:t>
      </w:r>
      <w:r>
        <w:t xml:space="preserve"> milk, yield, respectively; EU scope not established. This is a provisional connection, not an outcome finding.</w:t>
      </w:r>
    </w:p>
    <w:p>
      <w:pPr>
        <w:pStyle w:val="SourceNote"/>
      </w:pPr>
      <w:r>
        <w:rPr>
          <w:b/>
        </w:rPr>
        <w:t>Available abstract (not full text):</w:t>
      </w:r>
      <w:r>
        <w:t xml:space="preserve"> Milk fat and protein contents are among key elements of milk quality, and they are attracting more attention in response to consumers′ demand for high-quality dairy products. To investigate the potential regulatory roles of DNA methylation underlying milk component yield, whole genome bisulfite sequencing was employed to profile the global DNA methylation patterns of mammary gland tissues from 17 Canada Holstein cows with various milk fat and protein contents. A total of 706, 2420 and 1645 differentially methylated CpG sites (DMCs) were found between high vs. low milk fat (HMF vs. LMF), high vs. low milk protein (HMP vs. LMP), and high vs. low milk fat and protein (HMFP vs. LMFP) groups, respectively (q value &lt; 0.1). Twenty-seven, 56 and 67 genes harboring DMCs in gene regions (denoted DMC genes) were identified for HMF vs. LMF, HMP vs. LMP and HMFP vs. LMFP, respectively. DMC genes from HMP vs. LMP and HMFP vs. LMFP comparisons were significantly overrepresented in GO terms related to aerobic electron transport chain and/or mitochondrial ATP (adenosine triphosphate) synthesis coupled electron transport. A total of 83 (HMF vs. LMF), 708 (HMP vs. LMP) and 408 (HMFP vs. LMFP) DMCs were co-located with 87, 147 and 158 quantitative trait loci (QTL) for milk component and yield traits, respectively. In conclusion, the identified methylation changes are potentially involved in the re</w:t>
      </w:r>
    </w:p>
    <w:p>
      <w:pPr/>
      <w:r>
        <w:rPr>
          <w:b/>
        </w:rPr>
        <w:t>POSSIBLE 2021:</w:t>
      </w:r>
      <w:r>
        <w:t xml:space="preserve"> Economic and Environmental Consequences of the ECJ Genome Editing Judgment in Agriculture — https://doi.org/10.3390/agronomy11061212</w:t>
      </w:r>
    </w:p>
    <w:p>
      <w:pPr/>
      <w:r>
        <w:rPr>
          <w:b/>
        </w:rPr>
        <w:t>Shared claim-specific concepts:</w:t>
      </w:r>
      <w:r>
        <w:t xml:space="preserve"> according, capri, increase; EU scope visible. This is a provisional connection, not an outcome finding.</w:t>
      </w:r>
    </w:p>
    <w:p>
      <w:pPr>
        <w:pStyle w:val="SourceNote"/>
      </w:pPr>
      <w:r>
        <w:rPr>
          <w:b/>
        </w:rPr>
        <w:t>Available abstract (not full text):</w:t>
      </w:r>
      <w:r>
        <w:t xml:space="preserve"> Genome-edited crops are on the verge of being placed on the market and their agricultural and food products will thus be internationally traded soon. National regulations, however, diverge regarding the classification of genome-edited crops. Major countries such as the US and Brazil do not specifically regulate genome-edited crops, while in the European Union, they fall under GMO legislation, according to the European Court of Justice (ECJ). As it is in some cases impossible to analytically distinguish between products from genome-edited plants and those from non-genome-edited plants, EU importers may fear the risk of violating EU legislation. They may choose not to import any agricultural and food products based on crops for which genome-edited varieties are available. Therefore, crop products of which the EU is currently a net importer would become more expensive in the EU, and production would intensify. Furthermore, an intense substitution of products covered and not covered by genome editing would occur in consumption, production, and trade. We analyzed the effects of such a cease of EU imports for cereals and soy in the EU agricultural sector with the comparative static agricultural sector equilibrium model CAPRI. Our results indicate dramatic effects on agricultural and food prices as well as on farm income. The intensification of EU agriculture may result in negative ne</w:t>
      </w:r>
    </w:p>
    <w:p>
      <w:pPr>
        <w:pStyle w:val="Heading2"/>
      </w:pPr>
      <w:r>
        <w:t>886.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2024:</w:t>
      </w:r>
      <w:r>
        <w:t xml:space="preserve"> European maps of crop / livestock categories and N budget parameters (timeseries 2000 – 2018) based on disaggregated CAPRI model data — https://doi.org/10.5194/egusphere-egu24-18505</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agricultural sector holds the greatest reduction potential to limit adverse effects of reactive nitrogen in the environment. Assessing the negative impacts of excessive release of reactive nitrogen into the biosphere requires spatially explicit information to capture e.g. hot spots of nitrogen surplus, nitrogen use efficiency, the impact on sensitive ecosystems or on ground/drinking water quality.The agricultural economic model CAPRI is one of the main tools applied by the European Commission for the ex-ante analysis of the impact of agricultural policies and agro-environmental legislation at regional level (NUTS2) in Europe. CAPRI builds on long-term time series of regional, national and international agricultural statistics (e.g. crop and livestock production, fertilizer use), market and trade data. Inputs (e.g. inorganic fertilizer) in CAPRI are explicitly linked to production which delivers the basis for connecting environmental indicators (e.g. nitrogen surplus) directly to individual activities.To provide the link between the agro-economic model CAPRI and the impact assessment of nitrogen use in agriculture on the environment at higher spatial resolution, we developed a procedure to disaggregate CAPRI regional data and provide maps of nitrogen input/output, crop and livestock production for the time series 2000 – 2018 at the level of Farm Structure Units (FSU) for 26 </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based,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A simple method for preserving pollen viability and longevity in wheat — https://doi.org/10.21203/rs.3.rs-2580944/v1</w:t>
      </w:r>
    </w:p>
    <w:p>
      <w:pPr/>
      <w:r>
        <w:rPr>
          <w:b/>
        </w:rPr>
        <w:t>Shared claim-specific concepts:</w:t>
      </w:r>
      <w:r>
        <w:t xml:space="preserve"> based, wheat, determine; EU scope not established. This is a provisional connection, not an outcome finding.</w:t>
      </w:r>
    </w:p>
    <w:p>
      <w:pPr>
        <w:pStyle w:val="SourceNote"/>
      </w:pPr>
      <w:r>
        <w:rPr>
          <w:b/>
        </w:rPr>
        <w:t>Available abstract (not full text):</w:t>
      </w:r>
      <w:r>
        <w:t xml:space="preserve"> Abstract Wheat pollen grains have very short longevity and are non-viable after ~30 minute at room temperature and ~60 minutes at 4°C. Pollen grain viability can be prolonged to ~24 hrs with existing anther preservation methods. Herein, we developed a new and very simple method of spike preservation to prolong pollen viability up to 1 week. The present study was evaluated to determine the effect of storage temperature and duration on the viability and in vitro germination of pollen grains of 50 spring wheat genotypes from two preservation methods of pollens viz, Anther preservation method and Spike preservation method. Pollens collected from both methods were stored at room temperature (22°C), fridge (4°C) for 0 and 1 week. Pollen viability were assessed using Alexander staining techniques with both methods at storage conditions 22°C and 4°C. In vitro germination was determined using liquid germination medium with both methods at 4°C. The results revealed that the pollen viability and in vitro germination as determined by Spike preservation method was highest when pollens were stored at 4°C up to 1 week. In addition, in vitro pollen germination and pollen viability significantly reduced as storage duration increased. It was recorded, that no pollen germination was observed under anther preservation method at storage conditions 4°C after 1 week while 2 to 14% pollen germination </w:t>
      </w:r>
    </w:p>
    <w:p>
      <w:pPr/>
      <w:r>
        <w:rPr>
          <w:b/>
        </w:rPr>
        <w:t>POSSIBLE 2021:</w:t>
      </w:r>
      <w:r>
        <w:t xml:space="preserve"> Improved modelling framework for assessing the interactions between the energy, agriculture, forestry and land use change sectors: Integrating the CAPRI, LUISA-BEES, CBM and POTEnCIA models — https://doi.org/10.2760/900305</w:t>
      </w:r>
    </w:p>
    <w:p>
      <w:pPr/>
      <w:r>
        <w:rPr>
          <w:b/>
        </w:rPr>
        <w:t>Shared claim-specific concepts:</w:t>
      </w:r>
      <w:r>
        <w:t xml:space="preserve"> based, capri, dynamics; EU scope visible. This is a provisional connection, not an outcome finding.</w:t>
      </w:r>
    </w:p>
    <w:p>
      <w:pPr>
        <w:pStyle w:val="SourceNote"/>
      </w:pPr>
      <w:r>
        <w:rPr>
          <w:b/>
        </w:rPr>
        <w:t>Available abstract (not full text):</w:t>
      </w:r>
      <w:r>
        <w:t xml:space="preserve"> This report is an attempt to develop a modelling framework integrating different sectoral stand-alone models used at the JRC for policy impact assessment in the fields of agriculture, forestry, land use change and energy. The proposed quantitative framework should improve the capability of assessing greenhouse gas emissions and removals resulting from complex interactions between the agriculture, forestry, and other land use (AFOLU) sectors, and facilitate the analysis of policy scenarios relevant for a sustainable and carbon-neutral European economy. Four models are considered, for which a revised model specification and harmonization of relevant databases and model parameters is needed. The Common Agricultural Policy Regionalized Impact (CAPRI) Modelling System is a widely used large-scale multi-commodity agricultural economic model. The Land Use-based Integrated Sustainability Assessment modelling platform for BioEconomy and Ecosystem Services (LUISA-BEES) is primarily used for the ex-ante evaluation of European policies that have a direct or indirect territorial impact on the agricultural and forestry sectors. The Carbon Budget Model (CBM) is a stand-alone forestry model that simulates forest carbon dynamics. The Policy Oriented Tool for Energy and Climate Change Impact Assessment (POTEnCIA) model depicts a detailed EU energy system combining both techno-economic modules. A</w:t>
      </w:r>
    </w:p>
    <w:p>
      <w:pPr/>
      <w:r>
        <w:rPr>
          <w:b/>
        </w:rPr>
        <w:t>POSSIBLE 2021:</w:t>
      </w:r>
      <w:r>
        <w:t xml:space="preserve"> Co-benefits of a flexitarian diet for air quality and human health in Europe — https://doi.org/10.1016/j.ecolecon.2021.107232</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Agriculture is a major source of air pollution in Europe, with adverse impacts on human health. Having recognized the serious health outcomes, and in direct response to public demand for a cleaner environment, European public policies are aiming to reduce air pollution. This study proposes a shift to more plant-based human diets to help achieve bold reduction targets for air pollution from agriculture. To assess the potential reduction in agricultural air pollution, we combine a large-scale partial equilibrium model for agriculture (CAPRI) with an atmospheric chemistry model (WRF-Chem). The health impacts from improved air quality are summarized as premature mortality rates, which are estimated from simulated changes in annual mean PM2.5 concentrations. We find that a shift to plant-based (flexitarian) diets would reduce ammonia emissions by 33% in the European Union (EU), generating significant co-benefits for air quality and human health. The economic benefits from improved human health would also largely mitigate the economic losses in the agricultural sector (39% in the EU and 49% in Europe as a whole). Our results suggest that, by shifting to plant-based human diets, European agriculture could significantly contribute to the targets in the EU Zero Pollution Action Plan.</w:t>
      </w:r>
    </w:p>
    <w:p>
      <w:pPr/>
      <w:r>
        <w:rPr>
          <w:b/>
        </w:rPr>
        <w:t>POSSIBLE 2020:</w:t>
      </w:r>
      <w:r>
        <w:t xml:space="preserve"> European Agriculture after Brexit: Does Anyone Benefit from the Divorce? — https://doi.org/10.1111/1477-9552.12396</w:t>
      </w:r>
    </w:p>
    <w:p>
      <w:pPr/>
      <w:r>
        <w:rPr>
          <w:b/>
        </w:rPr>
        <w:t>Shared claim-specific concepts:</w:t>
      </w:r>
      <w:r>
        <w:t xml:space="preserve"> capri, increase; EU scope visible. This is a provisional connection, not an outcome finding.</w:t>
      </w:r>
    </w:p>
    <w:p>
      <w:pPr>
        <w:pStyle w:val="SourceNote"/>
      </w:pPr>
      <w:r>
        <w:rPr>
          <w:b/>
        </w:rPr>
        <w:t>Available abstract (not full text):</w:t>
      </w:r>
      <w:r>
        <w:t xml:space="preserve"> Abstract The UK exited the EU on 31 January 2020, with a transition period agreed as part of the Withdrawal Agreement. During this transition period the UK and the EU will decide on their future trading relationship. No matter what form this relationship takes, there will be disturbances to agri‐food markets. This study analyses four different scenarios with increasing barriers to trade, ranging from a very close relationship similar to the European Economic Area to a distant relationship in which the UK and EU trade on Most Favoured Nation terms, using the EU focused global agricultural sector model CAPRI. In the UK, food prices will increase in all scenarios, making consumers in the UK the biggest losers. Only in a free trade agreement scenario does the UK show an unambiguous positive net welfare gain in just the agri‐food sector. In the case of the European Economic Area scenario, which assumes continued access to the single market, the net welfare impact would depend on the size of the UK’s continued contribution to the EU. In the EU, declining food prices would benefit consumers but the sum of the loss in farmers’ incomes and the UK’s EU CAP contribution would be much greater than the consumer’s gain. These impacts in agricultural markets under different future trade arrangements will also be influenced by the UK’s agricultural policy changes in direct payments as well as </w:t>
      </w:r>
    </w:p>
    <w:p>
      <w:pPr/>
      <w:r>
        <w:rPr>
          <w:b/>
        </w:rPr>
        <w:t>POSSIBLE 2020:</w:t>
      </w:r>
      <w:r>
        <w:t xml:space="preserve"> To Study the Heat Resistance Features of Bread Wheat Varieties and Species for the Southern Regions of the Republic of Uzbekistan — https://doi.org/10.24247/ijmperdjun20201342</w:t>
      </w:r>
    </w:p>
    <w:p>
      <w:pPr/>
      <w:r>
        <w:rPr>
          <w:b/>
        </w:rPr>
        <w:t>Shared claim-specific concepts:</w:t>
      </w:r>
      <w:r>
        <w:t xml:space="preserve"> wheat, yield, determine; EU scope not established. This is a provisional connection, not an outcome finding.</w:t>
      </w:r>
    </w:p>
    <w:p>
      <w:pPr>
        <w:pStyle w:val="SourceNote"/>
      </w:pPr>
      <w:r>
        <w:rPr>
          <w:b/>
        </w:rPr>
        <w:t>Available abstract (not full text):</w:t>
      </w:r>
      <w:r>
        <w:t xml:space="preserve"> Wheat (Triticum aestivum L.) is considered one of the world's most important cereal crops.Every year 704 million tons of grain is produced worldwide.Bread wheat croplands cover 17% of the total crop area.In recent years, sudden changes in air temperatures have a negative impact on the morphological, physiological, biochemical and molecular properties of wheat and grain yield.Therefore, it is important to create high-yielding and resistant varieties of bread wheat to abiotic factors and to develop its primary source in the condition of different regions.In the result of this study, the influence of high temperature which varied from 30°С and above continuously during spiking and maturation period of grain, especially in the period of grain filling, on grain quality and productivity has been studied thoroughly for southern parts of Uzbekistan.Mostly, winter bread wheat varieties are grown in these southern regions.The optimal sowing time in autumn season is the second decade of October.In order to determine the heat resistance of the winter wheat varieties that are mostly grown in the Republic and selected in the result of breeding, the experiments and observations were carried out on optimal and late sowing periods.The optimal planting time was found to be appropriate on the 15 th of October and for late sowing the 15 th of November.At the same time, late sown varieties and samp</w:t>
      </w:r>
    </w:p>
    <w:p>
      <w:pPr/>
      <w:r>
        <w:rPr>
          <w:b/>
        </w:rPr>
        <w:t>POSSIBLE 2020:</w:t>
      </w:r>
      <w:r>
        <w:t xml:space="preserve"> SUPREMA - SUpport for Policy RElevant Modelling of Agriculture — https://doi.org/10.2905/d6ef74c6-ba91-4e37-827e-d0854fbe85dd</w:t>
      </w:r>
    </w:p>
    <w:p>
      <w:pPr/>
      <w:r>
        <w:rPr>
          <w:b/>
        </w:rPr>
        <w:t>Shared claim-specific concepts:</w:t>
      </w:r>
      <w:r>
        <w:t xml:space="preserve"> based, capri, union, compared; EU scope visible. This is a provisional connection, not an outcome finding.</w:t>
      </w:r>
    </w:p>
    <w:p>
      <w:pPr>
        <w:pStyle w:val="SourceNote"/>
      </w:pPr>
      <w:r>
        <w:rPr>
          <w:b/>
        </w:rPr>
        <w:t>Available abstract (not full text):</w:t>
      </w:r>
      <w:r>
        <w:t xml:space="preserve"> Impact assessments for agriculture are partly based on projections delivered by models. Sectoral policies are becoming more and more interrelated. Hence, there is a need to improve the capacity of current models, connect them or redesign them to deliver on an increasing variety of policy objectives, and to explore future directions for agricultural modelling in Europe. SUPREMA (SUpport for Policy RElevant Modelling of Agriculture) is a project that has received funding from the European Union’s Horizon 2020 research and innovation programme (under grant agreement No 773499 SUPREMA) and that came to address this challenge by proposing a meta-platform that supports modelling groups linked already through various other platforms and networks. SUPREMA should help close the gaps between expectations of policy makers and the actual capacity of models to deliver relevant policy analysis. The SUPREMA model family includes a set of ‘core models’ that are already used in support of key European impact assessments in agriculture, trade, climate and bioenergy policies. One of the work-packages of the project ("Testing the SUPREMA model family") had the objective of testing the SUPREMA model family comparing model outcomes of three applications, including: (i) harmonize baseline assumptions and to the extent possible align baseline projections across models in the platform, and (ii) showcas</w:t>
      </w:r>
    </w:p>
    <w:p>
      <w:pPr/>
      <w:r>
        <w:rPr>
          <w:b/>
        </w:rPr>
        <w:t>POSSIBLE 2020:</w:t>
      </w:r>
      <w:r>
        <w:t xml:space="preserve"> SUPREMA - SUpport for Policy RElevant Modelling of Agriculture — https://doi.org/10.2905/jrc.jf073rr</w:t>
      </w:r>
    </w:p>
    <w:p>
      <w:pPr/>
      <w:r>
        <w:rPr>
          <w:b/>
        </w:rPr>
        <w:t>Shared claim-specific concepts:</w:t>
      </w:r>
      <w:r>
        <w:t xml:space="preserve"> based, capri, union, compared; EU scope visible. This is a provisional connection, not an outcome finding.</w:t>
      </w:r>
    </w:p>
    <w:p>
      <w:pPr>
        <w:pStyle w:val="SourceNote"/>
      </w:pPr>
      <w:r>
        <w:rPr>
          <w:b/>
        </w:rPr>
        <w:t>Available abstract (not full text):</w:t>
      </w:r>
      <w:r>
        <w:t xml:space="preserve"> Impact assessments for agriculture are partly based on projections delivered by models. Sectoral policies are becoming more and more interrelated. Hence, there is a need to improve the capacity of current models, connect them or redesign them to deliver on an increasing variety of policy objectives, and to explore future directions for agricultural modelling in Europe. SUPREMA (SUpport for Policy RElevant Modelling of Agriculture) is a project that has received funding from the European Union’s Horizon 2020 research and innovation programme (under grant agreement No 773499 SUPREMA) and that came to address this challenge by proposing a meta-platform that supports modelling groups linked already through various other platforms and networks. SUPREMA should help close the gaps between expectations of policy makers and the actual capacity of models to deliver relevant policy analysis. The SUPREMA model family includes a set of ‘core models’ that are already used in support of key European impact assessments in agriculture, trade, climate and bioenergy policies. One of the work-packages of the project ("Testing the SUPREMA model family") had the objective of testing the SUPREMA model family comparing model outcomes of three applications, including: (i) harmonize baseline assumptions and to the extent possible align baseline projections across models in the platform, and (ii) showcas</w:t>
      </w:r>
    </w:p>
    <w:p>
      <w:pPr>
        <w:pStyle w:val="Heading2"/>
      </w:pPr>
      <w:r>
        <w:t>887.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2024:</w:t>
      </w:r>
      <w:r>
        <w:t xml:space="preserve"> Frailty among the 50+ in France and in Europe. Two decades of trends and inequalities based on SHARE — https://openalex.org/W4402705049</w:t>
      </w:r>
    </w:p>
    <w:p>
      <w:pPr/>
      <w:r>
        <w:rPr>
          <w:b/>
        </w:rPr>
        <w:t>Shared claim-specific concepts:</w:t>
      </w:r>
      <w:r>
        <w:t xml:space="preserve"> france, publication, two; EU scope visible. This is a provisional connection, not an outcome finding.</w:t>
      </w:r>
    </w:p>
    <w:p>
      <w:pPr>
        <w:pStyle w:val="SourceNote"/>
      </w:pPr>
      <w:r>
        <w:rPr>
          <w:b/>
        </w:rPr>
        <w:t>Available abstract (not full text):</w:t>
      </w:r>
      <w:r>
        <w:t xml:space="preserve"> EN SOCIÉTÉ La fragilité chez les 50 ans et plus en France et en Europe.Deux décennies d'évolution et d'inégalités à partir des données de l'enquête SHARE * * * Ce travail a bénéficié du soutien de la Caisse Nationale de Solidarité pour l'Autonomie (CNSA).Nous remercions Nicolas Sirven, Marie-Anne Brieu, Didier Halimi et Françoise Forette pour leur contribution à une première étude sur cette thématique avec le soutien d'ILC-France qui avait donné lieu à une première publication (Arnault et al., 2019).* * * La fragilité est un état de vulnérabilité accrue des personnes âgées, qui constitue un signal d'alerte du risque de perte d'autonomie et qui peut être freiné voire résorbé par des mesures de prévention appropriées ou une prise en charge précoce.Multidimensionnelle et multifactorielle par nature, la fragilité a donné lieu à de nombreux travaux de conceptualisation et de mesure à l'aide d'échelles et de scores spécifiques.Parmi les différentes approches existantes, le phénotype de fragilité proposé par Fried et al (2001) constitue un outil de référence par sa simplicité et son pouvoir discriminant.Il repose sur une conception de la fragilité comme dégradation de cinq attributs fonctionnels de référence (énergie, mobilité, activité physique, poids, force musculaire) facile à opérationnaliser à partir de données d'enquête adéquates.Les inégalités sociales de fragilité en termes d'</w:t>
      </w:r>
    </w:p>
    <w:p>
      <w:pPr/>
      <w:r>
        <w:rPr>
          <w:b/>
        </w:rPr>
        <w:t>POSSIBLE 2022:</w:t>
      </w:r>
      <w:r>
        <w:t xml:space="preserve"> Encountering Diversity in France and “Eurafrica” — https://doi.org/10.7591/cornell/9781501765605.003.0005</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pPr/>
      <w:r>
        <w:rPr>
          <w:b/>
        </w:rPr>
        <w:t>POSSIBLE 2022:</w:t>
      </w:r>
      <w:r>
        <w:t xml:space="preserve"> Domesticating models: On the contingency of Covid-19 modelling in UK media and policy — https://doi.org/10.1177/03063127221126166</w:t>
      </w:r>
    </w:p>
    <w:p>
      <w:pPr/>
      <w:r>
        <w:rPr>
          <w:b/>
        </w:rPr>
        <w:t>Shared claim-specific concepts:</w:t>
      </w:r>
      <w:r>
        <w:t xml:space="preserve"> emphasized, contingency, projections, thus; EU scope not established. This is a provisional connection, not an outcome finding.</w:t>
      </w:r>
    </w:p>
    <w:p>
      <w:pPr>
        <w:pStyle w:val="SourceNote"/>
      </w:pPr>
      <w:r>
        <w:rPr>
          <w:b/>
        </w:rPr>
        <w:t>Available abstract (not full text):</w:t>
      </w:r>
      <w:r>
        <w:t xml:space="preserve"> Our article traces the representation of pandemic modelling in UK print media from the emergence of Covid-19 to the early stages of implementing the first UK-wide lockdown in late March 2020. Covid modelling, it is widely assumed, has shaped policy decisions and public responses to the pandemic in unprecedented ways. We analyse how the UK print media has configured modelling as a significant evidence tool in the representation of the pandemic. Interrogating assumptions about infectious disease modelling, we ask why models became the trusted tool of choice for knowing and responding to the Covid pandemic in the UK. Our analysis has yielded four different periods in the evolution of intersecting policy and media frames. Initially, modellers, policymakers and media alike emphasized uncertainty about available data, and hence the speculative character of modelled projections, thus justifying a 'wait and see' approach to government intervention. With growing public pressure for government action, policy and media frames were adjusted to emphasize the importance of timing interventions for best effect, with modelling evidence mobilized to justify inaction. This gave way to a period of crisis, as the press increasingly questioned the reliability of the existing models and policies, leading modellers and policy makers to dramatically revise their projections. Finally, with the impositi</w:t>
      </w:r>
    </w:p>
    <w:p>
      <w:pPr/>
      <w:r>
        <w:rPr>
          <w:b/>
        </w:rPr>
        <w:t>POSSIBLE 2022:</w:t>
      </w:r>
      <w:r>
        <w:t xml:space="preserve"> Valentin and his Wild Brother in European Literature: How French is a French Romance? — https://doi.org/10.54103/interfaces-09-08</w:t>
      </w:r>
    </w:p>
    <w:p>
      <w:pPr/>
      <w:r>
        <w:rPr>
          <w:b/>
        </w:rPr>
        <w:t>Shared claim-specific concepts:</w:t>
      </w:r>
      <w:r>
        <w:t xml:space="preserve"> low, national, two; EU scope visible. This is a provisional connection, not an outcome finding.</w:t>
      </w:r>
    </w:p>
    <w:p>
      <w:pPr>
        <w:pStyle w:val="SourceNote"/>
      </w:pPr>
      <w:r>
        <w:rPr>
          <w:b/>
        </w:rPr>
        <w:t>Available abstract (not full text):</w:t>
      </w:r>
      <w:r>
        <w:t xml:space="preserve"> The medieval romance about the two brothers Valentin and Orson (also known as Nameless) crossed various linguistic and cultural borders in the European Middle Ages and beyond. It is said to have originated in a Francophone context, but the French origin, which is believed to be a chanson de geste, has not been preserved – the earliest surviving sources are three Middle Dutch fragments. The different versions of the tale are generally divided into two strands: the first covers versions in Middle Dutch, Middle Low German, Middle High German, and Old Swedish, and the second includes versions in French, English, German, Dutch, Italian, Icelandic, and Yiddish. In this article, we give an up-to-date overview of the two strands and raise the question whether Valentin should be considered as a primarily French tradition. We argue that Valentin cannot be understood only in a monolingual or national context, and that a linear model of transmission does not do justice to the complexity of this tradition. We consider what it means to approach Valentin as a shared European narrative, how each version places itself in this larger tradition, and what insight this approach can give us into the tension as well as fruitful co-existence between local and supralocal. By putting the different versions of the tale in dialogue and paying attention to the places and social networks along which they tr</w:t>
      </w:r>
    </w:p>
    <w:p>
      <w:pPr/>
      <w:r>
        <w:rPr>
          <w:b/>
        </w:rPr>
        <w:t>POSSIBLE 2021:</w:t>
      </w:r>
      <w:r>
        <w:t xml:space="preserve"> Retrospection, Regret, and Contingency in Dickens’s Late Midlives — https://doi.org/10.7146/ageculturehumanities.v5i.130863</w:t>
      </w:r>
    </w:p>
    <w:p>
      <w:pPr/>
      <w:r>
        <w:rPr>
          <w:b/>
        </w:rPr>
        <w:t>Shared claim-specific concepts:</w:t>
      </w:r>
      <w:r>
        <w:t xml:space="preserve"> publication, contingency, population, representations, two, demographic; EU scope not established. This is a provisional connection, not an outcome finding.</w:t>
      </w:r>
    </w:p>
    <w:p>
      <w:pPr>
        <w:pStyle w:val="SourceNote"/>
      </w:pPr>
      <w:r>
        <w:rPr>
          <w:b/>
        </w:rPr>
        <w:t>Available abstract (not full text):</w:t>
      </w:r>
      <w:r>
        <w:t xml:space="preserve"> This essay explores Dickens’s representations of male anxieties over aging and argues both that contingency—a character’s dawning recognition that their life might have been otherwise—haunts Dickens’s midlife narratives and that a developing cultural awareness of midlife as a life-stage is central to the Victorian fascination with unlived lives. It traces developments in Dickens’s own sense of midlife’s particularity to two sources: a recognition of the bodily changes that accompany the process of aging (such as his own graying hair, which he sought to disguise cosmetically through hair and moustache dyes) and his membership of a generation whose life chances were determined by a demographic bulge caused by a rapid expansion of Britain’s middle-aged and elderly population. Both of these circumstances engender an overwhelming sense of regret in the aging protagonists of novels such as David Copperfield (1849-1850), Great Expectations (1860-1861), and Our Mutual Friend (1864-1865), whose midlives are spent thinking, and sometimes writing, about the youthful choices that shaped their later lives. It is only with the publication of the late portmanteau tale “Mugby Junction” that Dickens finds himself able to imagine a midlife in which the aging individuals possess agency and are empowered to cast off the determining and contingent events of their Bildungsroman narratives and engage</w:t>
      </w:r>
    </w:p>
    <w:p>
      <w:pPr/>
      <w:r>
        <w:rPr>
          <w:b/>
        </w:rPr>
        <w:t>POSSIBLE 2021:</w:t>
      </w:r>
      <w:r>
        <w:t xml:space="preserve"> Economic costs of invasive alien species across Europe — https://doi.org/10.3897/neobiota.67.58196</w:t>
      </w:r>
    </w:p>
    <w:p>
      <w:pPr/>
      <w:r>
        <w:rPr>
          <w:b/>
        </w:rPr>
        <w:t>Shared claim-specific concepts:</w:t>
      </w:r>
      <w:r>
        <w:t xml:space="preserve"> france, multiple, population, thus, countries;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r>
        <w:rPr>
          <w:b/>
        </w:rPr>
        <w:t>POSSIBLE 2020:</w:t>
      </w:r>
      <w:r>
        <w:t xml:space="preserve"> Discourse and Strategic Use of the Military in France and Europe in the COVID‐19 Crisis — https://doi.org/10.1111/tesg.12451</w:t>
      </w:r>
    </w:p>
    <w:p>
      <w:pPr/>
      <w:r>
        <w:rPr>
          <w:b/>
        </w:rPr>
        <w:t>Shared claim-specific concepts:</w:t>
      </w:r>
      <w:r>
        <w:t xml:space="preserve"> france, population, national; EU scope visible. This is a provisional connection, not an outcome finding.</w:t>
      </w:r>
    </w:p>
    <w:p>
      <w:pPr>
        <w:pStyle w:val="SourceNote"/>
      </w:pPr>
      <w:r>
        <w:rPr>
          <w:b/>
        </w:rPr>
        <w:t>Available abstract (not full text):</w:t>
      </w:r>
      <w:r>
        <w:t xml:space="preserve"> In March 2020, the French President called to war against the COVID-19 which was followed by the launch of a military operation called Operation Resilience. This use of martial rhetoric initiated an effective mobilisation consisting in logistical assistance to the health sector. While armies are increasingly used to deal with environmental disasters, aside from their traditional role, this paper postulates that the geography of the French and international military engagement can be used to analyse both the institutional strategy of crisis management and the message governments send to their population. Military involvement differs in terms of missions given and of the amount of troops mobilised. It first questions the use of the military in the name of national resilience in the political discourse and the way it displays a symbolic message to the population, before analysing the role of armies in the crisis through the spatiality of their interventions.</w:t>
      </w:r>
    </w:p>
    <w:p>
      <w:pPr/>
      <w:r>
        <w:rPr>
          <w:b/>
        </w:rPr>
        <w:t>POSSIBLE 2020:</w:t>
      </w:r>
      <w:r>
        <w:t xml:space="preserve"> Piercing Proverbial Crows’ Eyes: Theft and Publication in Renaissance France — https://doi.org/10.33137/rr.v43i3.35300</w:t>
      </w:r>
    </w:p>
    <w:p>
      <w:pPr/>
      <w:r>
        <w:rPr>
          <w:b/>
        </w:rPr>
        <w:t>Shared claim-specific concepts:</w:t>
      </w:r>
      <w:r>
        <w:t xml:space="preserve"> france, publication, thus; EU scope visible. This is a provisional connection, not an outcome finding.</w:t>
      </w:r>
    </w:p>
    <w:p>
      <w:pPr>
        <w:pStyle w:val="SourceNote"/>
      </w:pPr>
      <w:r>
        <w:rPr>
          <w:b/>
        </w:rPr>
        <w:t>Available abstract (not full text):</w:t>
      </w:r>
      <w:r>
        <w:t xml:space="preserve"> The ironic Latin proverb “cornicum oculos configere” was classically illustrated by the example of Gnaeus Flavius, celebrated for his theft and valuable but unauthorized publication of Rome’s legal secrets. Erasmus’s discussion of the proverb in the Adages consequently focuses on the tension within the transfer of knowledge between openness and secrecy, and on the fragile status of intellectual authority within a scholarly domain made increasingly public by the printing press. This article uses the example of Flavius to trace the idea of theft within Renaissance attitudes to the possession and dissemination of knowledge. It compares the reception of Flavius in three contexts: Erasmus’s ambivalence towards publication as a form of theft in the Adages; ancient criticisms of theft as social presumption; and the more positive representation of epistemological theft in the works of four Renaissance French jurists. It thus argues that Erasmus represents a turning point both in the reception history of Flavius and in attitudes to intellectual theft—and thereby to intellectual property—in the Renaissance.</w:t>
      </w:r>
    </w:p>
    <w:p>
      <w:pPr>
        <w:pStyle w:val="Heading2"/>
      </w:pPr>
      <w:r>
        <w:t>888.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2026:</w:t>
      </w:r>
      <w:r>
        <w:t xml:space="preserve"> The green transition at the economic-activity level among the EU27 countries — https://doi.org/10.3897/ap.10.e0043</w:t>
      </w:r>
    </w:p>
    <w:p>
      <w:pPr/>
      <w:r>
        <w:rPr>
          <w:b/>
        </w:rPr>
        <w:t>Shared claim-specific concepts:</w:t>
      </w:r>
      <w:r>
        <w:t xml:space="preserve"> eu27, pollution, health, become; EU scope not established. This is a provisional connection, not an outcome finding.</w:t>
      </w:r>
    </w:p>
    <w:p>
      <w:pPr>
        <w:pStyle w:val="SourceNote"/>
      </w:pPr>
      <w:r>
        <w:rPr>
          <w:b/>
        </w:rPr>
        <w:t>Available abstract (not full text):</w:t>
      </w:r>
      <w:r>
        <w:t xml:space="preserve"> The structural adjustment to a green economy demands that the individualeconomic activities become well-suited to the rising climate challenge. Provided that theEU countries are unable or slow to adapt, negative consequences can ensue in terms ofenvironmental degradation and declining health status of the population. That is why theinitiative for green transformation should focus initially on the activities within NACE Rev. 2that are polluting the most – these are economic activities C. Manufacturing, D. Electricity,gas, steam and air conditioning supply and H. Transportation and storage. Some evidencefor CO2 abatement in these activities is presented, though a concern for a green fatigue israised. FE model is estimated over 2008-2022 to show that the price of carbon emissionshas not contributed sufficiently to curbing the CO2 pollution. In fact, it is needed to accountfor the fact that the higher price induces a direct positive effect on the progress to the 2030target, but also an indirect negative effect engendered from the replacement of closedproduction units with similar non-ecological ones. As a fundamental pillar of the GreenDeal the technological growth is propagated through the import of new capital eased bypositive cyclical conditions. It is of paramount importance that the countries which arethe biggest polluters do more, while the countries with insufficient institu</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reducing, consumption, pollution;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The Dynamics of Public Investment in Education and Debt Under Economic, Digital, and Sustainable Transformation in the EU27 — https://doi.org/10.3390/admsci16070317</w:t>
      </w:r>
    </w:p>
    <w:p>
      <w:pPr/>
      <w:r>
        <w:rPr>
          <w:b/>
        </w:rPr>
        <w:t>Shared claim-specific concepts:</w:t>
      </w:r>
      <w:r>
        <w:t xml:space="preserve"> eu27, consumption, human, become, increased; EU scope visible. This is a provisional connection, not an outcome finding.</w:t>
      </w:r>
    </w:p>
    <w:p>
      <w:pPr>
        <w:pStyle w:val="SourceNote"/>
      </w:pPr>
      <w:r>
        <w:rPr>
          <w:b/>
        </w:rPr>
        <w:t>Available abstract (not full text):</w:t>
      </w:r>
      <w:r>
        <w:t xml:space="preserve"> This article investigates how structural transformations—growth, development, digitalisation, renewable energy consumption, education, and economic freedom—could influence public investment in education and public debt in the EU27. This objective was achieved by taking into consideration suggestive secondary data for the period 2009–2021 and applying the Structural Equation Model (SEM), dynamic panel data (ARDL), and, for robustness, fixed effects (FE) models. Education shows the ability, in structural terms, to relax the public budget, even if, in the very short term, the mandatory education is associated with additional public investment. Growth may create conditions, in the short term, to diminish the public investment in education and to be favourable for less dependence on financial markets, regardless of the period. In contrast, human development is associated with increased investment in education in the very short and long term and with increased public debt in the short and very short term. Education can adjust investment in the sector, especially in the long term, even if tertiary education depresses public investment in the very short term. However, education, regardless of level, has a significant contribution to the economy and society, which qualifies investment in education as being strategic, and education as a sector which must be protected even in complicated </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r>
        <w:rPr>
          <w:b/>
        </w:rPr>
        <w:t>POSSIBLE 2025:</w:t>
      </w:r>
      <w:r>
        <w:t xml:space="preserve"> The Role of Aquaculture and Fisheries in EU27 Food Security: A Comparative Analysis of EU13 and EU14 States — https://doi.org/10.46989/001c.140761</w:t>
      </w:r>
    </w:p>
    <w:p>
      <w:pPr/>
      <w:r>
        <w:rPr>
          <w:b/>
        </w:rPr>
        <w:t>Shared claim-specific concepts:</w:t>
      </w:r>
      <w:r>
        <w:t xml:space="preserve"> eu27, production, products, allows, food; EU scope visible. This is a provisional connection, not an outcome finding.</w:t>
      </w:r>
    </w:p>
    <w:p>
      <w:pPr>
        <w:pStyle w:val="SourceNote"/>
      </w:pPr>
      <w:r>
        <w:rPr>
          <w:b/>
        </w:rPr>
        <w:t>Available abstract (not full text):</w:t>
      </w:r>
      <w:r>
        <w:t xml:space="preserve"> Ocean-sourced foods are essential for providing food security, putting an end to starvation, and building healthy, environmentally friendly, and resilient food systems. Still, it is important to keep these in mind while discussing food. More money was made for developing countries by exporting blue foods than by exporting any other agricultural products combined. The European Union Region (EU27) has countries with diverse economic structures, from highly developed industrial economies in older members to those in Central and Eastern Europe still catching up. Splitting them allows for in-depth study of economic structures, models, and growth mechanisms, and can inform targeted policy recommendations for growth and convergence. The core objective of this study is to analyse how aquaculture and fisheries production impact food security in the EU2 members based on their economic structure development; European Union Developing State (EU13) and European Union Developed State (EU14) countries from 1990 to 2023. To address potential endogeneity issues, robust least squares (RLS), two-stage least squares (2SLS), and ordinary least squares (OLS) estimators were employed, leading to significant findings. The findings confirm the existing knowledge and indicate that the role of aquaculture and fisheries production in ensuring food security is more pronounced in developing EU13 countries c</w:t>
      </w:r>
    </w:p>
    <w:p>
      <w:pPr/>
      <w:r>
        <w:rPr>
          <w:b/>
        </w:rPr>
        <w:t>POSSIBLE 2025:</w:t>
      </w:r>
      <w:r>
        <w:t xml:space="preserve"> Economic performance and energy management - cross-sectional analysis and comparison for EU27 member states — https://doi.org/10.15196/rs150605</w:t>
      </w:r>
    </w:p>
    <w:p>
      <w:pPr/>
      <w:r>
        <w:rPr>
          <w:b/>
        </w:rPr>
        <w:t>Shared claim-specific concepts:</w:t>
      </w:r>
      <w:r>
        <w:t xml:space="preserve"> eu27, consumption, production; EU scope visible. This is a provisional connection, not an outcome finding.</w:t>
      </w:r>
    </w:p>
    <w:p>
      <w:pPr>
        <w:pStyle w:val="SourceNote"/>
      </w:pPr>
      <w:r>
        <w:rPr>
          <w:b/>
        </w:rPr>
        <w:t>Available abstract (not full text):</w:t>
      </w:r>
      <w:r>
        <w:t xml:space="preserve"> The European Union's climate neutrality ambitions pose significant challenges for member states in terms of energy production, consumption and greenhouse gas emissions. The 2030 targets set out packages of measures that provide both a justification and a timely opportunity to explore the relationship between economic performance and certain indicators of energy management, with a view to answering the question of how the relationship between the different variables has evolved over time: have we seen a structural change or is the change more gradual? To this end, the present study examines the relationship between the relevant indicators (GDP, energy production/use, greenhouse gas emissions) of the 27 EU member states using multivariate statistical methods for the year 2012 and compares it with data from an analysis already carried out for the year 2022 (Erőss et al. 2025). In addition to presenting the changes identified using descriptive statistical tools, the study will use correlation analysis to assess the relationship between the individual indicators and principal component analysis to identify the key factors that play a role in the evolution of each variable. Finally, the authors use cluster analysis to highlight the changes that have taken place over the 10 years, by showing the differences between the country groupings. The results of the research do not show signifi</w:t>
      </w:r>
    </w:p>
    <w:p>
      <w:pPr/>
      <w:r>
        <w:rPr>
          <w:b/>
        </w:rPr>
        <w:t>POSSIBLE 2023:</w:t>
      </w:r>
      <w:r>
        <w:t xml:space="preserve"> RETRACTED: Assessment of Building Materials in the European Residential Building Stock: An Analysis at EU27 Level — https://doi.org/10.3390/su15118840</w:t>
      </w:r>
    </w:p>
    <w:p>
      <w:pPr/>
      <w:r>
        <w:rPr>
          <w:b/>
        </w:rPr>
        <w:t>Shared claim-specific concepts:</w:t>
      </w:r>
      <w:r>
        <w:t xml:space="preserve"> eu27, reducing, consumption; EU scope visible. This is a provisional connection, not an outcome finding.</w:t>
      </w:r>
    </w:p>
    <w:p>
      <w:pPr>
        <w:pStyle w:val="SourceNote"/>
      </w:pPr>
      <w:r>
        <w:rPr>
          <w:b/>
        </w:rPr>
        <w:t>Available abstract (not full text):</w:t>
      </w:r>
      <w:r>
        <w:t xml:space="preserve"> Reducing greenhouse gas (GHG) emissions and energy consumption in the building sector requires not only improving the energy efficiency of buildings but also minimising material requirements, embodied emissions, and waste generation. Circular Economy (CE) principles can be applied to minimize resource extraction and waste generation in the building industry. However, to implement effective CE strategies, quantification and evaluation of materials accumulated in buildings are required. This study aims to provide accurate data and a detailed analysis of the materials available in the EU27 residential building sector. By elaborating the data provided by the H2020 European projects Hotmaps and AmBIENCe, the different materials used for floors, roofs, walls, windows, and insulation layers in single-family houses, multifamily houses, and apartment blocks in the different construction periods were quantified for each EU27 country. Considering results at the EU27 level, concrete and brick characterize the largest part of the European residential building stock, whereas materials such as wood and different types of rock are used in much more limited amounts. These results form the basis for policymakers to monitor the status of the residential building sector, evaluate the potential of CE policies at a national level, and assess the environmental impact of building practices through lif</w:t>
      </w:r>
    </w:p>
    <w:p>
      <w:pPr>
        <w:pStyle w:val="Heading2"/>
      </w:pPr>
      <w:r>
        <w:t>889.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climate, data, based;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Combining different views on internal climate variability of temperature over Europe — https://doi.org/10.5194/egusphere-egu26-5489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Internal climate variability (ICV) is an important source of climate change projections uncertainty. The estimate of ICV can serve as a useful benchmark for assessing climate model performance and the emergence of anthropogenically forced climate change. Nevertheless, estimating the magnitude of ICV is challenging, especially on a regional scale. The ICV itself is state-dependent, which further complicates the assessment under transient climate change conditions. This study aims to quantify the magnitude of ICV using different types of data, i.e., earth system model simulations and observation-based datasets. We focus here on seasonal mean temperature over Europe and confront different methodological approaches: comparison of variability inferred from pre-industrial control simulations with the spread of single-model initial-condition large ensemble, separation of uncertainty sources in CMIP6 transient simulations, and forcing attribution in observed time series. In case of the large ensemble data, we also pay attention to the temporal development of ICV magnitude under changing external forcing.</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2025:</w:t>
      </w:r>
      <w:r>
        <w:t xml:space="preserve"> A European monsoon-like climate in a warmhouse world — https://doi.org/10.1038/s41467-025-64241-0</w:t>
      </w:r>
    </w:p>
    <w:p>
      <w:pPr/>
      <w:r>
        <w:rPr>
          <w:b/>
        </w:rPr>
        <w:t>Shared claim-specific concepts:</w:t>
      </w:r>
      <w:r>
        <w:t xml:space="preserve"> here, combine, climate, emission, indicate, based;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r>
        <w:rPr>
          <w:b/>
        </w:rPr>
        <w:t>POSSIBLE 2024:</w:t>
      </w:r>
      <w:r>
        <w:t xml:space="preserve"> A unifying modelling of multiple land degradation pathways in Europe — https://doi.org/10.1038/s41467-024-48252-x</w:t>
      </w:r>
    </w:p>
    <w:p>
      <w:pPr/>
      <w:r>
        <w:rPr>
          <w:b/>
        </w:rPr>
        <w:t>Shared claim-specific concepts:</w:t>
      </w:r>
      <w:r>
        <w:t xml:space="preserve"> here, two, currently;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leading, predict, based;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Predictive performance of multi-model ensemble forecasts of COVID-19 across European nations — https://doi.org/10.7554/elife.81916</w:t>
      </w:r>
    </w:p>
    <w:p>
      <w:pPr/>
      <w:r>
        <w:rPr>
          <w:b/>
        </w:rPr>
        <w:t>Shared claim-specific concepts:</w:t>
      </w:r>
      <w:r>
        <w:t xml:space="preserve"> here, data, globally, based; EU scope visible. This is a provisional connection, not an outcome finding.</w:t>
      </w:r>
    </w:p>
    <w:p>
      <w:pPr>
        <w:pStyle w:val="SourceNote"/>
      </w:pPr>
      <w:r>
        <w:rPr>
          <w:b/>
        </w:rPr>
        <w:t>Available abstract (not full text):</w:t>
      </w:r>
      <w:r>
        <w:t xml:space="preserve">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by a standardised source for 32 countries over the next 1-4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f</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here, climate, bioclimatic, data, two, predict;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The Capability of Deep Learning Model to Predict Ozone Across Continents in China, the United States and Europe — https://doi.org/10.1029/2023gl104928</w:t>
      </w:r>
    </w:p>
    <w:p>
      <w:pPr/>
      <w:r>
        <w:rPr>
          <w:b/>
        </w:rPr>
        <w:t>Shared claim-specific concepts:</w:t>
      </w:r>
      <w:r>
        <w:t xml:space="preserve"> here, data, predict, indicate; EU scope visible. This is a provisional connection, not an outcome finding.</w:t>
      </w:r>
    </w:p>
    <w:p>
      <w:pPr>
        <w:pStyle w:val="SourceNote"/>
      </w:pPr>
      <w:r>
        <w:rPr>
          <w:b/>
        </w:rPr>
        <w:t>Available abstract (not full text):</w:t>
      </w:r>
      <w:r>
        <w:t xml:space="preserve"> Abstract Data‐driven methods have been extensively applied to predict atmospheric compositions. Here, we explore the capability of a deep learning (DL) model to make ozone (O3) predictions across continents in China, the United States (US) and Europe. The DL model was trained and validated with surface O3 observations in China and the US in 2015–2018. The DL model was applied to predict hourly surface O3 over three continents in 2015–2022. Compared to baseline simulations using GEOS‐Chem (GC) model, our analysis exhibits mean biases of 2.6 and 4.8 μg/m3 with correlation coefficients of 0.94 and 0.93 (DL); and mean biases of 3.7 and 5.4 μg/m3 with correlation coefficients of 0.95 and 0.92 (GC) in Europe in 2015–2018 and 2019–2022, respectively. The comparable performances between DL and GC indicate the potential of DL to make reliable predictions over spatial and temporal domains where a wealth of local observations for training is not available.</w:t>
      </w:r>
    </w:p>
    <w:p>
      <w:pPr/>
      <w:r>
        <w:rPr>
          <w:b/>
        </w:rPr>
        <w:t>POSSIBLE 2022:</w:t>
      </w:r>
      <w:r>
        <w:t xml:space="preserve"> Trade‐Offs for Climate‐Smart Forestry in Europe Under Uncertain Future Climate — https://doi.org/10.1029/2022ef002796</w:t>
      </w:r>
    </w:p>
    <w:p>
      <w:pPr/>
      <w:r>
        <w:rPr>
          <w:b/>
        </w:rPr>
        <w:t>Shared claim-specific concepts:</w:t>
      </w:r>
      <w:r>
        <w:t xml:space="preserve"> here, climate, emission; EU scope visible. This is a provisional connection, not an outcome finding.</w:t>
      </w:r>
    </w:p>
    <w:p>
      <w:pPr>
        <w:pStyle w:val="SourceNote"/>
      </w:pPr>
      <w:r>
        <w:rPr>
          <w:b/>
        </w:rPr>
        <w:t>Available abstract (not full text):</w:t>
      </w:r>
      <w:r>
        <w:t xml:space="preserve"> Abstract Forests mitigate climate change by storing carbon and reducing emissions via substitution effects of wood products. Additionally, they provide many other important ecosystem services (ESs), but are vulnerable to climate change; therefore, adaptation is necessary. Climate‐smart forestry combines mitigation with adaptation, whilst facilitating the provision of many ESs. This is particularly challenging due to large uncertainties about future climate. Here, we combined ecosystem modeling with robust multi‐criteria optimization to assess how the provision of various ESs (climate change mitigation, timber provision, local cooling, water availability, and biodiversity habitat) can be guaranteed under a broad range of climate futures across Europe. Our optimized portfolios contain 29% unmanaged forests, and implicate a successive conversion of 34% of coniferous to broad‐leaved forests (11% vice versa). Coppices practically vanish from Southern Europe, mainly due to their high water requirement. We find the high shares of unmanaged forests necessary to keep European forests a carbon sink while broad‐leaved and unmanaged forests contribute to local cooling through biogeophysical effects. Unmanaged forests also pose the largest benefit for biodiversity habitat. However, the increased shares of unmanaged and broad‐leaved forests lead to reductions in harvests. This raises the que</w:t>
      </w:r>
    </w:p>
    <w:p>
      <w:pPr/>
      <w:r>
        <w:rPr>
          <w:b/>
        </w:rPr>
        <w:t>POSSIBLE 2022:</w:t>
      </w:r>
      <w:r>
        <w:t xml:space="preserve"> Predictive performance of multi-model ensemble forecasts of COVID-19 across European nations — https://doi.org/10.1101/2022.06.16.22276024</w:t>
      </w:r>
    </w:p>
    <w:p>
      <w:pPr/>
      <w:r>
        <w:rPr>
          <w:b/>
        </w:rPr>
        <w:t>Shared claim-specific concepts:</w:t>
      </w:r>
      <w:r>
        <w:t xml:space="preserve"> here, data, two, globally, based; EU scope visible. This is a provisional connection, not an outcome finding.</w:t>
      </w:r>
    </w:p>
    <w:p>
      <w:pPr>
        <w:pStyle w:val="SourceNote"/>
      </w:pPr>
      <w:r>
        <w:rPr>
          <w:b/>
        </w:rPr>
        <w:t>Available abstract (not full text):</w:t>
      </w:r>
      <w:r>
        <w:t xml:space="preserve"> Abstract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from a standardised source over the next one to four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and </w:t>
      </w:r>
    </w:p>
    <w:p>
      <w:pPr/>
      <w:r>
        <w:rPr>
          <w:b/>
        </w:rPr>
        <w:t>POSSIBLE 2022:</w:t>
      </w:r>
      <w:r>
        <w:t xml:space="preserve"> Predicting European cities’ climate mitigation performance using machine learning — https://doi.org/10.1038/s41467-022-35108-5</w:t>
      </w:r>
    </w:p>
    <w:p>
      <w:pPr/>
      <w:r>
        <w:rPr>
          <w:b/>
        </w:rPr>
        <w:t>Shared claim-specific concepts:</w:t>
      </w:r>
      <w:r>
        <w:t xml:space="preserve"> here, climate, data, predict; EU scope visible. This is a provisional connection, not an outcome finding.</w:t>
      </w:r>
    </w:p>
    <w:p>
      <w:pPr>
        <w:pStyle w:val="SourceNote"/>
      </w:pPr>
      <w:r>
        <w:rPr>
          <w:b/>
        </w:rPr>
        <w:t>Available abstract (not full text):</w:t>
      </w:r>
      <w:r>
        <w:t xml:space="preserve"> Although cities have risen to prominence as climate actors, emissions' data scarcity has been the primary challenge to evaluating their performance. Here we develop a scalable, replicable machine learning approach for evaluating the mitigation performance for nearly all local administrative areas in Europe from 2001-2018. By combining publicly available, spatially explicit environmental and socio-economic data with self-reported emissions data from European cities, we predict annual carbon dioxide emissions to explore trends in city-scale mitigation performance. We find that European cities participating in transnational climate initiatives have likely decreased emissions since 2001, with slightly more than half likely to have achieved their 2020 emissions reduction target. Cities who report emissions data are more likely to have achieved greater reductions than those who fail to report any data. Despite its limitations, our model provides a replicable, scalable starting point for understanding city-level climate emissions mitigation performance.</w:t>
      </w:r>
    </w:p>
    <w:p>
      <w:pPr>
        <w:pStyle w:val="Heading2"/>
      </w:pPr>
      <w:r>
        <w:t>890.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2026:</w:t>
      </w:r>
      <w:r>
        <w:t xml:space="preserve"> The European Union and Strategic Autonomy: Political, Economic and Technological Challenges — https://doi.org/10.47459/cndcgs.2026.42</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This paper explores the potentialities and constraints of building the European Union's strategic autonomy in a new geopolitical era marked by the rivalry between the United States and China, the weakening of the multilateral order, and the consequences of the war in Ukraine. The authors primarily focus on the political, economic, and technological dimensions of autonomy, utilising relevant scientific methods within an interdisciplinary research framework, primarily the analytical-synthetic method, content and comparative analysis, as well as the scenario approach. The findings indicate that the EU is capable of progressively reducing its dependency through the diversification of resources, investments in development, research, and innovation, and the strengthening of digital and technological sovereignty. Simultaneously, however, the Union faces serious limitations, the fiscal constraints of the Member States, the fragmentation of its foreign and security policy, and a persistent reliance on the United States in the area of defence. The EU’s future position will therefore hinge on its ability to consolidate its economic and technological potential and transform it into a unified political will and a credible geopolitical power.</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2024:</w:t>
      </w:r>
      <w:r>
        <w:t xml:space="preserve"> The intersection of geopolitics and technological innovations: implications for the Central-European region — https://doi.org/10.14267/phd.2024016</w:t>
      </w:r>
    </w:p>
    <w:p>
      <w:pPr/>
      <w:r>
        <w:rPr>
          <w:b/>
        </w:rPr>
        <w:t>Shared claim-specific concepts:</w:t>
      </w:r>
      <w:r>
        <w:t xml:space="preserve"> further, technological, industrial, issues, special, focus; EU scope visible. This is a provisional connection, not an outcome finding.</w:t>
      </w:r>
    </w:p>
    <w:p>
      <w:pPr>
        <w:pStyle w:val="SourceNote"/>
      </w:pPr>
      <w:r>
        <w:rPr>
          <w:b/>
        </w:rPr>
        <w:t>Available abstract (not full text):</w:t>
      </w:r>
      <w:r>
        <w:t xml:space="preserve"> The thesis examines the effects of emerging technological innovations shaping contemporary geopolitics, through their impact on the economy, society, and international relations, with special focus on Hungary and the Central European region. It explores how modern geopolitical theories have evolved over the years and what leading scholars have proposed with regards to the phenomenon of innovation and emerging technologies. The thesis is an article-based dissertation, which includes three published scientific journal articles, that analyse specific findings on subtopics related to the broader scheme of geopolitics and innovation, such as China’s growth prospects in the Fourth Industrial Revolution; the phenomenon of disinformation warfare aided by novel technologies in the Central European region; and the potential of Artificial Intelligence (AI) solutions disrupting industries, and creating economic and social inequalities examined in the Hungarian context. The study wishes to make a contribution to the existing body of research by delving into a contemporary and relatively under-explored topic, offering a consistent theoretical and conceptual foundation and applying an innovative research approach. The thesis finds that there is a need to adapt geopolitical narratives to reflect a world system that is moving away from the traditional model of exclusive state actors and is char</w:t>
      </w:r>
    </w:p>
    <w:p>
      <w:pPr/>
      <w:r>
        <w:rPr>
          <w:b/>
        </w:rPr>
        <w:t>POSSIBLE 2023:</w:t>
      </w:r>
      <w:r>
        <w:t xml:space="preserve"> EUROPEAN UNION AT THE DAWN OF TECHNOLOGICAL COLD WAR — https://doi.org/10.12775/tis.2023.015</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pPr/>
      <w:r>
        <w:rPr>
          <w:b/>
        </w:rPr>
        <w:t>POSSIBLE 2023:</w:t>
      </w:r>
      <w:r>
        <w:t xml:space="preserve"> Technological Challenges and Opportunities to Plastics Valorization in the Context of a Circular Economy in Europe — https://doi.org/10.3390/su15043741</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transition to a fully-fledged circular economy (CE) has proven to be challenging for many industries. Despite possible competitive advantages of moving industries towards CE activities, their practical implementation is still limited. This communication article delivers ad interim an identification of technological challenges and opportunities for the European plastics industries to facilitate circularity ambitions. In applying the qualitative-empirical Gioia-method utilizing the GABEK-WinRelan tool, specific technological challenges and opportunities for plastics industries were identified. Major findings indicate that technological challenges for plastics are predominantly seen in (C1) secondary material contamination; (C2) recycling processing issues; (C3) production processing issues; (C4) production material quality issues; and (C5) end-product quality issues, while the opportunities lie in (O1) effective secondary material management; (O2) innovation for chemical recycling; (O3) innovation for production and processability; (O4) innovative materials; and (O5) innovative end-products. This article contributes to the contemporary debate of CE challenges and opportunities to plastics valorization by highlighting the promising role of chemical recycling on a monomer-level as a key facilitator to a circular plastics economy. Further, it was found that technological transit</w:t>
      </w:r>
    </w:p>
    <w:p>
      <w:pPr/>
      <w:r>
        <w:rPr>
          <w:b/>
        </w:rPr>
        <w:t>POSSIBLE 2023:</w:t>
      </w:r>
      <w:r>
        <w:t xml:space="preserve"> Latest developments in Social Europe: Promising steps in need for future monitoring — https://doi.org/10.1111/jcms.13556</w:t>
      </w:r>
    </w:p>
    <w:p>
      <w:pPr/>
      <w:r>
        <w:rPr>
          <w:b/>
        </w:rPr>
        <w:t>Shared claim-specific concepts:</w:t>
      </w:r>
      <w:r>
        <w:t xml:space="preserve"> steps, further; EU scope visible. This is a provisional connection, not an outcome finding.</w:t>
      </w:r>
    </w:p>
    <w:p>
      <w:pPr>
        <w:pStyle w:val="SourceNote"/>
      </w:pPr>
      <w:r>
        <w:rPr>
          <w:b/>
        </w:rPr>
        <w:t>Available abstract (not full text):</w:t>
      </w:r>
      <w:r>
        <w:t xml:space="preserve"> After 2 years of dealing with the social consequences of the pandemic, European citizens and policy-makers entered 2022 with glimpses of hope regarding the prospects for economic, labour market and social recovery.Despite cross-country and within-country variation, the real output in the European Union (EU) had returned to its 2019 level by 2021.By spring of the same year, the average EU unemployment rate had reached January 2019 levels.Then, less than 2 months into the New Year, the Russian invasion of Ukraine brought war on the EU borders, altering previous patterns of recovery and established policy agendas.At the social level, the most relevant implication experienced by European citizens was the deepening of the inflationary trends that had started manifesting in 2021, which turned into a cost-of-living crisis over the course of 2022.While the actual impact of this further shock will be assessed fully in the coming years, the insecurity and precariousness that characterized the most vulnerable social groups revealed once again the existing gaps within welfare states and social protection systems from the local level to the supranational level.Similarly to what happened after the outbreak of the coronavirus pandemic, the responses by national policy-makers were swift and largely in the form of compensatory measures.The EU contributed to the financial effort by allowing memb</w:t>
      </w:r>
    </w:p>
    <w:p>
      <w:pPr/>
      <w:r>
        <w:rPr>
          <w:b/>
        </w:rPr>
        <w:t>POSSIBLE 2023:</w:t>
      </w:r>
      <w:r>
        <w:t xml:space="preserve"> Reviving Social Europe: a critical assessment of EU social policy in the wake of multiple crises — https://doi.org/10.17979/ejge.2023.12.2.9541</w:t>
      </w:r>
    </w:p>
    <w:p>
      <w:pPr/>
      <w:r>
        <w:rPr>
          <w:b/>
        </w:rPr>
        <w:t>Shared claim-specific concepts:</w:t>
      </w:r>
      <w:r>
        <w:t xml:space="preserve"> further, issues, focus, economy; EU scope visible. This is a provisional connection, not an outcome finding.</w:t>
      </w:r>
    </w:p>
    <w:p>
      <w:pPr>
        <w:pStyle w:val="SourceNote"/>
      </w:pPr>
      <w:r>
        <w:rPr>
          <w:b/>
        </w:rPr>
        <w:t>Available abstract (not full text):</w:t>
      </w:r>
      <w:r>
        <w:t xml:space="preserve"> The concept of "Social Europe" encompasses the European Union's social policy framework. This paper argues that the financial crisis of 2007-2009, the subsequent Euro crisis, and the ensuing austerity measures diverted significant attention away from Social Europe. This neglect led to declining living standards, reductions in public services, and the emergence of critical challenges such as the gig economy. In recent years, the COVID-19 pandemic has further exacerbated these issues, prompting a renewed focus on Social Europe by EU institutions. This paper conducts a chronological analysis of recent legislative (acquis) and non-legislative (soft power) instruments implemented to address these challenges and assesses the prospects of Social Europe in the near term.</w:t>
      </w:r>
    </w:p>
    <w:p>
      <w:pPr/>
      <w:r>
        <w:rPr>
          <w:b/>
        </w:rPr>
        <w:t>POSSIBLE 2023:</w:t>
      </w:r>
      <w:r>
        <w:t xml:space="preserve"> Further steps in the digitalisation of tax law — https://doi.org/10.35925/j.multi.2023.2.19</w:t>
      </w:r>
    </w:p>
    <w:p>
      <w:pPr/>
      <w:r>
        <w:rPr>
          <w:b/>
        </w:rPr>
        <w:t>Shared claim-specific concepts:</w:t>
      </w:r>
      <w:r>
        <w:t xml:space="preserve"> steps, further, technological; EU scope not established. This is a provisional connection, not an outcome finding.</w:t>
      </w:r>
    </w:p>
    <w:p>
      <w:pPr>
        <w:pStyle w:val="SourceNote"/>
      </w:pPr>
      <w:r>
        <w:rPr>
          <w:b/>
        </w:rPr>
        <w:t>Available abstract (not full text):</w:t>
      </w:r>
      <w:r>
        <w:t xml:space="preserve"> The digitalization of tax law has a decade-long history, the primary goal of which is to increase government revenues and reduce tax evasion. Several elements of this digitalization process are known: the online cash register, the Electronic Road Traffic Control System (EKÁER) system and the Online Invoicing System. My main objective is to prove how useful the state-of-the-art technological solutions that have been debuting in recent years are from the point of view of public finances, since, for example, VAT revenues have more than doubled. In this study, I undertake to review the most important rules of the Online Invoicing System. After examining the legal background, I am processing a case brought before the Curia in which the plaintiff of the dispute was a VAT taxpayer who was unentitled to deduct tax, and the defendant was the Appeal Directorate of the National Tax and Customs Administration (NAV). Next, I will look at an Argentine procedure, electronic invoicing – e-Factura in Spanish – which has been optional on a voluntary basis since 2003 and has become mandatory for all taxpayers subject to VAT since 2016. The introduction of the new system was implemented in stages and was finally fully implemented by 2019. At the end of the article, I discuss the changes affecting the Hungarian regulations in 2023, and then I present the revised rules of e-VAT and finally the e-rec</w:t>
      </w:r>
    </w:p>
    <w:p>
      <w:pPr/>
      <w:r>
        <w:rPr>
          <w:b/>
        </w:rPr>
        <w:t>POSSIBLE 2021:</w:t>
      </w:r>
      <w:r>
        <w:t xml:space="preserve"> The state of innovative development and further steps towards the neo-economy of Ukraine in the first quarter of the XXI century — https://doi.org/10.33731/52020.233745</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Revutsky S. The state of innovative development and further steps towards the neo-economy of Ukraine in the first quarter of the XXI century. The article examines the state of innovative development in Ukraine in comparison with world leaders. Comparative analysis of goals, priorities and directions of development and modernization of public policy to achieve the level of neo-economy, which is formed under the influence of the new paradigm of scientific and technological development and technological revolution, which is now observed in many countries. From the above data we see that among the common shortcomings of our economic strategy and development program are: ambiguity and inconsistency of goals, mechanisms and objectives, sources of funding and general backwardness in approaches, which requires the use of European approaches to achieve the goal. Relying only on outdated methods of production and labor, the country loses competitiveness in the world market, lagging behind in technological development due to lack of innovation and research in the necessary areas, while the existing system is uncertain and has no financial or legal basis for efficient operation. When the whole world moves to new technological levels, raising its level to the fifth and sixth levels, our state, without a clear leadership and base, lags behind in innovation. That is why the article substantia</w:t>
      </w:r>
    </w:p>
    <w:p>
      <w:pPr>
        <w:pStyle w:val="Heading2"/>
      </w:pPr>
      <w:r>
        <w:t>891.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2026:</w:t>
      </w:r>
      <w:r>
        <w:t xml:space="preserve"> Radiative strength functions from the energy-localized Brink-Axel hypothesis — https://doi.org/10.1103/kg6r-t5d1</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Radiative strength functions (RSFs) model the bulk electromagnetic response of highly-excited nuclei and are critical inputs for statistical reaction codes. In this paper, we present a definition of the RSF that is consistent with Hauser-Feshbach reaction codes and that can be efficiently computed with the shell model using the Lanczos strength-function (LSF) method. We introduce a variant of the shell model LSF method that exploits the energy-localized Brink-Axel hypothesis, which makes it possible to compute both electric and magnetic RSFs across all energies relevant to capture reactions. We verify agreement with the conventional definition of RSFs with benchmark calculations of $^{24}$Mg, then present novel results for $^{56}$Fe. For $^{56}$Fe we find that: (i) the M1 RSF shape evolves smoothly with excitation energy, consistent with the energy-localized Brinkl-Axel hypothesis, (ii) both M1 and E1 transitions contribute significantly to the radiative strength below the photo-absorption threshold, and (iii) within the sdpf model space, the strength below 3 MeV observed in Oslo-type experiments cannot be fully reproduced. These results pave the way for a coherent microscopic description of the RSFs and further motivate the use of energy-dependent RSFs in modern reaction codes.</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2024:</w:t>
      </w:r>
      <w:r>
        <w:t xml:space="preserve"> Heat-Insulated Regenerated Fibers with UV Resistance: Silk Fibroin/Al2O3 Nanoparticles — https://doi.org/10.3390/molecules29092023</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The various wastes generated by silkworm silk textiles that are no longer in use are increasing, which is causing considerable waste and contamination. This issue has attracted widespread attention in countries that use a lot of silk. Therefore, enhancing the mechanical properties of regenerated silk fibroin (RSF) and enriching the function of silk are important directions to expand the comprehensive utilization of silk products. In this paper, the preparation of RSF/Al2O3 nanoparticles (NPs) hybrid fiber with different Al2O3 NPs contents by wet spinning and its novel performance are reported. It was found that the RSF/Al2O3 NPs hybrid fiber was a multifunctional fiber material with thermal insulation and UV resistance. Natural light tests showed that the temperature rise rate of RSF/Al2O3 NPs hybrid fibers was slower than that of RSF fibers, and the average temperature rose from 29.1 °C to about 35.4 °C in 15 min, while RSF fibers could rise to about 40.1 °C. UV absorption tests showed that the hybrid fiber was resistant to UV radiation. Furthermore, the addition of Al2O3 NPs may improve the mechanical properties of the hybrid fibers. This was because the blending of Al2O3 NPs promoted the self-assembly of β-sheets in the RSF reaction mixture in a dose-dependent manner, which was manifested as the RSF/Al2O3 NPs hybrid fibers had more β-sheets, crystallinity, and a smaller crys</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2023:</w:t>
      </w:r>
      <w:r>
        <w:t xml:space="preserve"> Development and visualization of a risk prediction model for metabolic syndrome: a longitudinal cohort study based on health check-up data in China — https://doi.org/10.3389/fnut.2023.1286654</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Aim: Our study aimed to construct a practical risk prediction model for metabolic syndrome (MetS) based on the longitudinal health check-up data, considering both the baseline level of physical examination indicators and their annual average cumulative exposure, and to provide some theoretical basis for the health management of Mets. Methods: The prediction model was constructed in male and female cohorts, separately. The shared set of predictive variables screened out from 49 important physical examination indicators by the univariate Cox model, Lasso-Cox model and the RSF algorithm collectively was further screened by Cox stepwise regression method. The screened predictors were used to construct prediction model by the Cox proportional hazards regression model and RSF model, respectively. Subsequently, the better method would be selected to develop final MetS predictive model according to comprehensive comparison and evaluation. Finally, the optimal model was validated internally and externally by the time-dependent ROC curve (tdROC) and concordance indexes (C-indexes). The constructed predictive model was converted to a web-based prediction calculator using the "shiny" package of the R4.2.1 software. Results: A total of 15 predictors were screened in the male cohort and 9 predictors in the female cohort. In both male and female cohorts, the prediction error curve of the RSF </w:t>
      </w:r>
    </w:p>
    <w:p>
      <w:pPr/>
      <w:r>
        <w:rPr>
          <w:b/>
        </w:rPr>
        <w:t>POSSIBLE 2023:</w:t>
      </w:r>
      <w:r>
        <w:t xml:space="preserve"> Combining Rigid Cellulose Nanocrystals and Soft Silk Proteins: Revealing Interactions and Alignment in Shear — https://doi.org/10.1002/admi.202300162</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Abstract Natural materials, such as silk and cellulose, have an inspiring set of properties, which have evolved over hundreds of millions of years. In this study, cellulose nanocrystals (CNCs) and regenerated silk fibroin (RSF) are combined to evaluate their suitability for filament formation. This is assessed by tuning and characterizing the interactions between these two materials and finally by studying the alignment of the mixtures under shear. To modify the interactions between CNCs and silk, CNCs with varying surface functionalities (sulfate and/or aminosilane groups) are used. The interactions and compatibility of the two components are investigated using quartz crystal microbalance with dissipation monitoring (QCM‐D) and photothermal atomic force microscopy (AFM‐IR), which show that ionic interactions induce sufficient binding between the two components. Then, the alignment of the CNC and silk mixtures is evaluated by shear‐induced polarized light imaging, which indicates that silk can orientate with the CNCs when not covalently bound. Finally, the potential of the materials for filament formation is tentatively demonstrated using an industrial dry‐spinning environment, where CNCs are expected to bring order and alignment, whereas RSF provides soft and more mobile regions to further facilitate the alignment of the final filament structure.</w:t>
      </w:r>
    </w:p>
    <w:p>
      <w:pPr/>
      <w:r>
        <w:rPr>
          <w:b/>
        </w:rPr>
        <w:t>POSSIBLE 2022:</w:t>
      </w:r>
      <w:r>
        <w:t xml:space="preserve"> Topic-based classification and identification of global trends for startup companies — https://doi.org/10.1007/s11187-022-00609-6</w:t>
      </w:r>
    </w:p>
    <w:p>
      <w:pPr/>
      <w:r>
        <w:rPr>
          <w:b/>
        </w:rPr>
        <w:t>Shared claim-specific concepts:</w:t>
      </w:r>
      <w:r>
        <w:t xml:space="preserve"> finally, trend; EU scope visible. This is a provisional connection, not an outcome finding.</w:t>
      </w:r>
    </w:p>
    <w:p>
      <w:pPr>
        <w:pStyle w:val="SourceNote"/>
      </w:pPr>
      <w:r>
        <w:rPr>
          <w:b/>
        </w:rPr>
        <w:t>Available abstract (not full text):</w:t>
      </w:r>
      <w:r>
        <w:t xml:space="preserve"> To foresee global economic trends, one needs to understand the present startup companies that soon may become new market leaders. In this paper, we explore textual descriptions of more than 250 thousand startups in the Crunchbase database. We analyze the 2009-2019 period by using topic modeling. We propose a novel classification of startup companies free from expert bias that contains 38 topics and quantifies the weight of each of these topics for all the startups. Taking the year of establishment and geographical location of the startups into account, we measure which topics were increasing or decreasing their share over time, and which of them were predominantly present in Europe, North America, or other regions. We find that the share of startups focused on data analytics, social platforms, and financial transfers, and time management has risen, while an opposite trend is observed for mobile gaming, online news, and online social networks as well as legal and professional services. We also identify strong regional differences in topic distribution, suggesting certain concentration of the startups. For example, sustainable agriculture is presented stronger in South America and Africa, while pharmaceutics, in North America and Europe. Furthermore, we explore which pairs of topics tend to co-occur more often together, quantify how multisectoral the startups are, and which start</w:t>
      </w:r>
    </w:p>
    <w:p>
      <w:pPr/>
      <w:r>
        <w:rPr>
          <w:b/>
        </w:rPr>
        <w:t>POSSIBLE 2022:</w:t>
      </w:r>
      <w:r>
        <w:t xml:space="preserve"> Experimental study on basic mechanical properties of recycled steel fiber reinforced concrete — https://doi.org/10.1515/rams-2022-0041</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Abstract Recycled steel fiber (RSF)-reinforced concrete is not only an innovative research trend in the field of civil engineering materials, but also a new type of civil engineering composites under the trend of low-carbon development. This article deals with the experimental study of applying waste steel fibers to form recycled steel fiber concrete (RSFC). The main materials in this study are RSF, coarse and fine aggregate, fly ash, silica fume, and water reducer agent formed by machining surplus materials as the main materials. Three types of concrete were prepared. They were normal concrete, primary steel fiber concrete (PSFC), and RSFC with six different volume contents. The slump and air content of the three types of concrete are compared and analyzed. Then, the effects of the volume content of RSF on the cube compressive strength, splitting tensile strength, flexural strength, and axial compressive strength of RSFC are studied. Finally, the toughness of RSFC is discussed. The test results show that with the increase in the volume content of RSF, the slump of RSFC is significantly reduced, the compressive strength, tensile strength, and flexural strength are enhanced, the increase in tensile strength and flexural strength is significantly higher than the cube compressive strength, and the RSF has an obvious inhibitory effect on the development of concrete cracks which can</w:t>
      </w:r>
    </w:p>
    <w:p>
      <w:pPr>
        <w:pStyle w:val="Heading2"/>
      </w:pPr>
      <w:r>
        <w:t>892.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2026:</w:t>
      </w:r>
      <w:r>
        <w:t xml:space="preserve"> Exploring asylum patterns in Europe: a focus on Italy — https://doi.org/10.71014/sieds.v80i1.522</w:t>
      </w:r>
    </w:p>
    <w:p>
      <w:pPr/>
      <w:r>
        <w:rPr>
          <w:b/>
        </w:rPr>
        <w:t>Shared claim-specific concepts:</w:t>
      </w:r>
      <w:r>
        <w:t xml:space="preserve"> look, across, groups; EU scope visible. This is a provisional connection, not an outcome finding.</w:t>
      </w:r>
    </w:p>
    <w:p>
      <w:pPr>
        <w:pStyle w:val="SourceNote"/>
      </w:pPr>
      <w:r>
        <w:rPr>
          <w:b/>
        </w:rPr>
        <w:t>Available abstract (not full text):</w:t>
      </w:r>
      <w:r>
        <w:t xml:space="preserve"> In recent years, asylum applications have become a central issue in the European migration context, with varying dynamics across countries. In 2024, Italy ranks third in Europe for number of first-time asylum applicants. Excluding temporary protection requests granted due to the Russia-Ukraine conflict, asylum applications in 2023 and 2024 have returned to the peak levels recorded during the Mediterranean crisis in 2016. This study aims to enhance understanding of the phenomenon through a multi-level approach. At the European level, we implement a descriptive analysis of asylum applications using Eurostat data. The goal is to analyse the distribution of socio-demographic indicators, such as the share of women or young people among applicants, within the European countries. Through multivariate analysis, we look for common patterns in asylum applications and groups of countries with similar profiles. The focus then shifts to Italy, where we investigate the evolution of asylum-seeker inflows, with particular attention to the cohort that entered in 2016, following the Mediterranean crisis. We trace these individuals up to 2024, to assess their presence and the reason for the residence permits they hold. A multinomial regression model is used to analyse the factors associated with permit transitions. The analysis seeks to highlight patterns and potential determinants that shape the</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2025:</w:t>
      </w:r>
      <w:r>
        <w:t xml:space="preserve"> Exploring Principals’ Perceptions of Market Orientation in Modern Schools — https://doi.org/10.3390/admsci15050168</w:t>
      </w:r>
    </w:p>
    <w:p>
      <w:pPr/>
      <w:r>
        <w:rPr>
          <w:b/>
        </w:rPr>
        <w:t>Shared claim-specific concepts:</w:t>
      </w:r>
      <w:r>
        <w:t xml:space="preserve"> principal, three, across, stakeholders; EU scope not established. This is a provisional connection, not an outcome finding.</w:t>
      </w:r>
    </w:p>
    <w:p>
      <w:pPr>
        <w:pStyle w:val="SourceNote"/>
      </w:pPr>
      <w:r>
        <w:rPr>
          <w:b/>
        </w:rPr>
        <w:t>Available abstract (not full text):</w:t>
      </w:r>
      <w:r>
        <w:t xml:space="preserve"> Background/Purpose: In an increasingly competitive educational landscape, the school principal’s role has expanded beyond instructional leadership to include strategic marketing responsibilities. Yet the role of marketing in school leadership remains underexplored. Our objective was to investigate how Greek secondary school principals perceive marketing’s key dimensions (Customer Orientation, Competitor Orientation, and Inter-Functional Coordination) within schools, in comparison to other school staff members. Design/Methodology: A cross-sectional survey design was employed, collecting data using a structured questionnaire adapted from Oplatka and Hemsley-Brown. The sample comprised 350 respondents, including school principals and teaching staff. One-way ANOVA, supplemented by Games–Howell and Kruscall–Wallis tests, was employed to examine group differences across the three dimensions of market orientation. Results: Our findings indicate that principals demonstrate a higher level of Customer Orientation than other staff. However, no significant differences were found in Competitor Orientation or Inter-Functional Coordination across roles. Conclusions/Novelty: The findings suggest that while principals play a key role in aligning school functions and engaging with internal stakeholders, their sensitivity to external competition remains limited. The study highlights the evolving </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r>
        <w:rPr>
          <w:b/>
        </w:rPr>
        <w:t>POSSIBLE 2023:</w:t>
      </w:r>
      <w:r>
        <w:t xml:space="preserve"> Relationships between factors of regional competitiveness in Central and Eastern Europe — https://doi.org/10.14254/2071-8330.2023/16-3/4</w:t>
      </w:r>
    </w:p>
    <w:p>
      <w:pPr/>
      <w:r>
        <w:rPr>
          <w:b/>
        </w:rPr>
        <w:t>Shared claim-specific concepts:</w:t>
      </w:r>
      <w:r>
        <w:t xml:space="preserve"> applied, reveal, different, general, across; EU scope visible. This is a provisional connection, not an outcome finding.</w:t>
      </w:r>
    </w:p>
    <w:p>
      <w:pPr>
        <w:pStyle w:val="SourceNote"/>
      </w:pPr>
      <w:r>
        <w:rPr>
          <w:b/>
        </w:rPr>
        <w:t>Available abstract (not full text):</w:t>
      </w:r>
      <w:r>
        <w:t xml:space="preserve"> The divide between the eastern and western parts of the European Union has been widely discussed. However, significant territorial differences are undoubtedly present even within the narrower eastern region of the EU. This study focuses on the competitiveness of regions in Central and Eastern Europe (CEE). The analysis relies on the pyramid model, the theoretical background of which provides the basis for investigating the factors affecting the competitiveness of the 51 NUTS 2 regions across six CEE countries. Partial least squares structural equation modelling (PLS-SEM) is applied to examine the relationships and effect mechanisms between the model’s factors (more specifically, between the latent variables representing the factors). We have adapted our general model to the so-called overperforming and underperforming regions described by Iammarino et al. (2019), exploring the connections of their competitiveness factors in this context. Research results reveal that the effect mechanisms observed between the above-mentioned regions are completely different. Various factors can be considered as either important or less decisive in terms of competitiveness development, which could have implications for regional policy moving forward.</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different, need, across;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three, across;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Exploring Factors Associated with Parent Engagement in A Parenting Program in Southeastern Europe — https://doi.org/10.1007/s10826-022-02411-0</w:t>
      </w:r>
    </w:p>
    <w:p>
      <w:pPr/>
      <w:r>
        <w:rPr>
          <w:b/>
        </w:rPr>
        <w:t>Shared claim-specific concepts:</w:t>
      </w:r>
      <w:r>
        <w:t xml:space="preserve"> three, different, there; EU scope visible. This is a provisional connection, not an outcome finding.</w:t>
      </w:r>
    </w:p>
    <w:p>
      <w:pPr>
        <w:pStyle w:val="SourceNote"/>
      </w:pPr>
      <w:r>
        <w:rPr>
          <w:b/>
        </w:rPr>
        <w:t>Available abstract (not full text):</w:t>
      </w:r>
      <w:r>
        <w:t xml:space="preserve"> Abstract Parental engagement in parenting programs is essential for good outcomes but can be challenging for many families. In low- and middle-income countries, where resources are limited and there are fewer support services, there is little research examining the factors that influence engagement. This mixed-methods study explored factors associated with parent engagement, as well as barriers and supports, in a pilot evaluation of a parenting program with 140 parents in North Macedonia, Republic of Moldova, and Romania. The relationship between various quantitative types of engagement (e.g., premature drop-out, participation) and a range of demographic, personal, and implementation factors were examined. Qualitative parent interviews explored barriers and supports to program engagement. Implementation variables (e.g., phone calls with parents, program fidelity and text messages sent to parents) were consistently positively associated with different types of engagement after controlling for other factors. Parents of boys, being a victim of intimate partner violence, more children in the household and better parental well-being were positively associated with premature drop-out whilst having a child enrolled in school was positively associated with participation. Barriers included logistical factors such as timing and lack of childcare facilities. Factors that increased engagem</w:t>
      </w:r>
    </w:p>
    <w:p>
      <w:pPr/>
      <w:r>
        <w:rPr>
          <w:b/>
        </w:rPr>
        <w:t>POSSIBLE 2022:</w:t>
      </w:r>
      <w:r>
        <w:t xml:space="preserve"> Exploring scale in social licence to operate: European perspectives — https://doi.org/10.1016/j.jclepro.2022.135552</w:t>
      </w:r>
    </w:p>
    <w:p>
      <w:pPr/>
      <w:r>
        <w:rPr>
          <w:b/>
        </w:rPr>
        <w:t>Shared claim-specific concepts:</w:t>
      </w:r>
      <w:r>
        <w:t xml:space="preserve"> three, although, there; EU scope visible. This is a provisional connection, not an outcome finding.</w:t>
      </w:r>
    </w:p>
    <w:p>
      <w:pPr>
        <w:pStyle w:val="SourceNote"/>
      </w:pPr>
      <w:r>
        <w:rPr>
          <w:b/>
        </w:rPr>
        <w:t>Available abstract (not full text):</w:t>
      </w:r>
      <w:r>
        <w:t xml:space="preserve"> This article explores the issue of scale in the social licence to operate (SLO) which, to date, is understudied. The community-company relationship is the original, and still predominant, conceptualization of the term with the less tangible society-industry relationship still not typically in focus. Although the literature distinguishes between community and societal scales, there is no research on why the distinction is important, how the two scales are integrated or whether they interact with and influence one another. Exploring scale in SLO is important for theoretical clarification of the concept, for better empirical understanding of the role mining plays in host localities and the broader society and for the potential to incentivize industry toward more responsible and sustainable practices. Europe's multi-layered governance structure combined with its push for more domestic mining activities provides an ideal crucible for debates of scale to play out. To investigate the community and societal scales in the European context within a single study, three main research questions guide the work: how do orientations toward SLO differ at the community and societal scales; how do these orientations influence the acceptance of mining at both scales; and how do these orientations interact and influence one another? Through quantitative analyses, we found that site level factors te</w:t>
      </w:r>
    </w:p>
    <w:p>
      <w:pPr>
        <w:pStyle w:val="Heading2"/>
      </w:pPr>
      <w:r>
        <w:t>893.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2025:</w:t>
      </w:r>
      <w:r>
        <w:t xml:space="preserve"> Empowering Tomorrow's Leaders: An Inclusive Study of Innovation, Entrepreneurship, and Internationalization in Higher Education Across South-Eastern Europe — https://doi.org/10.2139/ssrn.5287015</w:t>
      </w:r>
    </w:p>
    <w:p>
      <w:pPr/>
      <w:r>
        <w:rPr>
          <w:b/>
        </w:rPr>
        <w:t>Shared claim-specific concepts:</w:t>
      </w:r>
      <w:r>
        <w:t xml:space="preserve"> internationalization, higher, education;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Evidence-Based Pathways for the Internationalization of Taijiquan — https://doi.org/10.57612/js25.jts.04.06</w:t>
      </w:r>
    </w:p>
    <w:p>
      <w:pPr/>
      <w:r>
        <w:rPr>
          <w:b/>
        </w:rPr>
        <w:t>Shared claim-specific concepts:</w:t>
      </w:r>
      <w:r>
        <w:t xml:space="preserve"> internationalization, based, among, international; EU scope visible. This is a provisional connection, not an outcome finding.</w:t>
      </w:r>
    </w:p>
    <w:p>
      <w:pPr>
        <w:pStyle w:val="SourceNote"/>
      </w:pPr>
      <w:r>
        <w:rPr>
          <w:b/>
        </w:rPr>
        <w:t>Available abstract (not full text):</w:t>
      </w:r>
      <w:r>
        <w:t xml:space="preserve"> Taijiquan embodies martial, health-promoting, and cultural values. In recent years, Evidence-Based Medicine (EBM) has provided a scientific framework to validate its health benefits. A growing body of randomized controlled trials (RCTs) and systematic reviews/meta-analyses has demonstrated robust evidence for Taijiquan in fall prevention, balance enhancement, blood pressure regulation, and mental health among older adults, with additional promising signals in Parkinson’s disease, stroke rehabilitation, cancer recovery, and chronic disease management. Within the EBM framework, this paper systematically reviews the existing evidence, compares research and dissemination pathways across the United States, Europe, and China, and analyzes methodological limitations, instructor training, data sharing, and policy barriers. Based on this analysis, six major internationalization pathways are proposed: academic institutionalization, educational integration, societal adoption, medical incorporation, and collaborative research communities. Overall, Taijiquan is undergoing a critical transition from cultural heritage to evidence-based intervention. Its scientific and international development holds strong potential to contribute to healthy aging and global public health goals.</w:t>
      </w:r>
    </w:p>
    <w:p>
      <w:pPr/>
      <w:r>
        <w:rPr>
          <w:b/>
        </w:rPr>
        <w:t>POSSIBLE 2024:</w:t>
      </w:r>
      <w:r>
        <w:t xml:space="preserve"> Internationalization accelerators in automotive sector companies — https://doi.org/10.29119/1641-3466.2024.211.20</w:t>
      </w:r>
    </w:p>
    <w:p>
      <w:pPr/>
      <w:r>
        <w:rPr>
          <w:b/>
        </w:rPr>
        <w:t>Shared claim-specific concepts:</w:t>
      </w:r>
      <w:r>
        <w:t xml:space="preserve"> conclusions, recommendations, internationalization, process, international, findings; EU scope not established. This is a provisional connection, not an outcome finding.</w:t>
      </w:r>
    </w:p>
    <w:p>
      <w:pPr>
        <w:pStyle w:val="SourceNote"/>
      </w:pPr>
      <w:r>
        <w:rPr>
          <w:b/>
        </w:rPr>
        <w:t>Available abstract (not full text):</w:t>
      </w:r>
      <w:r>
        <w:t xml:space="preserve"> Purpose: The main aim of the article is to identify and describe the accelerators of internationalization of automotive companies, i.e. the factors that create the conditions for this process to occur and significantly strengthen it.An additional goal is to group these factors according to specific criteria and try to determine their importance using specific examples.Design/methodology/approach: The study used mixed research methods.The research began with literature studies.They allowed for determining the current state of knowledge in the studied area and formulating the research problem.The actual research was conducted using the qualitative approach.Case studies supported by data from secondary sources are an important element of the research.Findings: All factors enabling and accelerating the internationalization process can be classified into one of four groups: politics, market, costs and competition.Each of these groups is characterized by features common within this group and significantly different from those of the other groups.With the passage of time and with evolution of the global economy, the importance of the described factors and the strength of their impact on the overall shape of enterprise internationalization are changing. Research limitations/implications:The research expands scientific knowledge of factors that determine the background of the internatio</w:t>
      </w:r>
    </w:p>
    <w:p>
      <w:pPr/>
      <w:r>
        <w:rPr>
          <w:b/>
        </w:rPr>
        <w:t>POSSIBLE 2023:</w:t>
      </w:r>
      <w:r>
        <w:t xml:space="preserve"> Entry modes used in the internationalization process of automotive enterprises — https://doi.org/10.29119/1641-3466.2023.180.16</w:t>
      </w:r>
    </w:p>
    <w:p>
      <w:pPr/>
      <w:r>
        <w:rPr>
          <w:b/>
        </w:rPr>
        <w:t>Shared claim-specific concepts:</w:t>
      </w:r>
      <w:r>
        <w:t xml:space="preserve"> conclusions, recommendations, internationalization, process, findings; EU scope visible. This is a provisional connection, not an outcome finding.</w:t>
      </w:r>
    </w:p>
    <w:p>
      <w:pPr>
        <w:pStyle w:val="SourceNote"/>
      </w:pPr>
      <w:r>
        <w:rPr>
          <w:b/>
        </w:rPr>
        <w:t>Available abstract (not full text):</w:t>
      </w:r>
      <w:r>
        <w:t xml:space="preserve"> Purpose: The main aim of the article is to identify and describe strategies for entering foreign markets and forms of serving these markets by automotive sector enterprises as part of the internationalization process.The secondary goal is to find links between these strategies, their forms and their importance for the overall course of internationalization of activities of the surveyed enterprises.Design, methodology and approach: The article uses mixed research methods.The starting point was literature studies to determine the current state of knowledge in the research area and to formulate the problem.The research proper was conducted using a qualitative approach.The core consisted of case studies supported by data from secondary sources.Findings: It is not possible to design a universal internationalization model for all enterprises in the automotive sector.Strategies adopted depend on many factors: general conditions of the country's economy and its size, level of technological advancement in production, capital resources, product range and vision of development.Therefore, the greatest similarities occur in the geographical layout.Asian, European and North American companies followed different paths of internationalization. Research limitations and implications:The research expands knowledge about internationalization of automotive companies.It shows the context of the proc</w:t>
      </w:r>
    </w:p>
    <w:p>
      <w:pPr/>
      <w:r>
        <w:rPr>
          <w:b/>
        </w:rPr>
        <w:t>POSSIBLE 2023:</w:t>
      </w:r>
      <w:r>
        <w:t xml:space="preserve"> Internationalization of Quality Assurance as a Pre-Requisite for Internationalization in Higher Education — https://doi.org/10.2478/seeur-2023-0099</w:t>
      </w:r>
    </w:p>
    <w:p>
      <w:pPr/>
      <w:r>
        <w:rPr>
          <w:b/>
        </w:rPr>
        <w:t>Shared claim-specific concepts:</w:t>
      </w:r>
      <w:r>
        <w:t xml:space="preserve"> internationalization, higher, education, based, process, international; EU scope visible. This is a provisional connection, not an outcome finding.</w:t>
      </w:r>
    </w:p>
    <w:p>
      <w:pPr>
        <w:pStyle w:val="SourceNote"/>
      </w:pPr>
      <w:r>
        <w:rPr>
          <w:b/>
        </w:rPr>
        <w:t>Available abstract (not full text):</w:t>
      </w:r>
      <w:r>
        <w:t xml:space="preserve"> Abstract There are multiple positive effects of internationalization of Higher Education (HE) on enriching students’ experiences in general and providing opportunities for exchange and development of all segments of university functioning. This paper aims to contribute to determining the role of institutional QA in promotion of the international cooperation in HE by analysing undergraduate students’ perceptions on their international experience and comparing them to their home University. Individual experiences of students from the Southeast European University (SEEU) in North Macedonia, who participated in Erasmus exchange program in the last two academic years (2021/22 and 2022/23), with regard to the main quality assurance (QA) principles and measurements applied at their home University, are being considered. Their academic progress at the international universities is also taken into consideration. The aim is to collect firsthand information from the main stakeholders in the QA process about areas that can be further developed, as well as to position SEEU and self-check where it stands comparing and benchmarking it with some reputable European universities in order to better prepare its students for the international job market. SEEU has one of the most developed QA systems in the wider region, created and constantly being developed based on the international standards and</w:t>
      </w:r>
    </w:p>
    <w:p>
      <w:pPr/>
      <w:r>
        <w:rPr>
          <w:b/>
        </w:rPr>
        <w:t>POSSIBLE 2022:</w:t>
      </w:r>
      <w:r>
        <w:t xml:space="preserve"> Navigating the internationalization process: Strategic resources for early internationalizing firms — https://doi.org/10.1007/s10843-022-00308-z</w:t>
      </w:r>
    </w:p>
    <w:p>
      <w:pPr/>
      <w:r>
        <w:rPr>
          <w:b/>
        </w:rPr>
        <w:t>Shared claim-specific concepts:</w:t>
      </w:r>
      <w:r>
        <w:t xml:space="preserve"> recommendations, internationalization, based, process; EU scope not established. This is a provisional connection, not an outcome finding.</w:t>
      </w:r>
    </w:p>
    <w:p>
      <w:pPr>
        <w:pStyle w:val="SourceNote"/>
      </w:pPr>
      <w:r>
        <w:rPr>
          <w:b/>
        </w:rPr>
        <w:t>Available abstract (not full text):</w:t>
      </w:r>
      <w:r>
        <w:t xml:space="preserve"> Abstract Despite an increasing number of studies identifying factors that influence the internationalization process for early internationalizing firms (EIFs), it remains unclear which of these numerous factors could play a strategic role and, more specifically, when. This paper develops a new conceptual framework anchored in the resource-based view to identify strategic resources that can explain EIFs’ internationalization process accurately over time. Building on a systematic literature review based on 102 papers covering a period of 29 years, we methodically present a phase-by-phase observation of EIFs’ internationalization process to identify the strategic relevance of different influential resources. The results highlight the importance of the shift from individual to organizational resources, which occurs at a critical phase of transition from the entry to the post-entry phase. Studying the evolution of strategic resources along four phases allows us to determine that the progress of EIFs through the phases of their internationalization process is closely linked to their resources’ development process. This study suggests some promising research avenues, at theoretical and methodological levels, and results in a series of concrete recommendations intended for entrepreneurs and/or managers of EIFs.</w:t>
      </w:r>
    </w:p>
    <w:p>
      <w:pPr/>
      <w:r>
        <w:rPr>
          <w:b/>
        </w:rPr>
        <w:t>POSSIBLE 2022:</w:t>
      </w:r>
      <w:r>
        <w:t xml:space="preserve"> Management of inflammation in dry eye disease: Recommendations from a European panel of experts — https://doi.org/10.1177/11206721221141481</w:t>
      </w:r>
    </w:p>
    <w:p>
      <w:pPr/>
      <w:r>
        <w:rPr>
          <w:b/>
        </w:rPr>
        <w:t>Shared claim-specific concepts:</w:t>
      </w:r>
      <w:r>
        <w:t xml:space="preserve"> recommendations, education, based, experts, key, including; EU scope visible. This is a provisional connection, not an outcome finding.</w:t>
      </w:r>
    </w:p>
    <w:p>
      <w:pPr>
        <w:pStyle w:val="SourceNote"/>
      </w:pPr>
      <w:r>
        <w:rPr>
          <w:b/>
        </w:rPr>
        <w:t>Available abstract (not full text):</w:t>
      </w:r>
      <w:r>
        <w:t xml:space="preserve"> INTRODUCTION: Early initiation of anti-inflammatory therapies is recommended for dry eye disease (DED) to break the vicious cycle of pathophysiology. However, there is limited guidance on how to implement topical ciclosporin (CsA) and corticosteroid treatment into clinical practice. This expert-led consensus provides practical guidance on the management of DED, including when and how to use topical CsA. METHODS: A steering committee (SC) of seven European DED experts developed a questionnaire to gain information on the unmet needs and management of DED in clinical practice. Consensus statements on four key areas (disease severity and progression; patient management; efficacy, safety and tolerability of CsA; and patient education) were generated based on the responses. The SC and an expanded expert panel of 22 members used a nine-point scale (1 = strongly disagree; 9 = strongly agree) to rate statements; a consensus was reached if ≥75% of experts scored a statement ≥7. RESULTS: A stepwise approach to DED management is required in patients presenting with moderate corneal staining. Early topical CsA initiation, alone or with corticosteroids, should be considered in patients with clinical risk factors for severe DED. Patient education is required before and during treatment to manage expectations regarding efficacy and tolerability in order to optimise adherence. Follow-up visits </w:t>
      </w:r>
    </w:p>
    <w:p>
      <w:pPr/>
      <w:r>
        <w:rPr>
          <w:b/>
        </w:rPr>
        <w:t>POSSIBLE 2021:</w:t>
      </w:r>
      <w:r>
        <w:t xml:space="preserve"> European Recommendations on Robotics and Related Issues in Education in Different Countries — https://doi.org/10.1007/978-3-030-77040-2_34</w:t>
      </w:r>
    </w:p>
    <w:p>
      <w:pPr/>
      <w:r>
        <w:rPr>
          <w:b/>
        </w:rPr>
        <w:t>Shared claim-specific concepts:</w:t>
      </w:r>
      <w:r>
        <w:t xml:space="preserve"> recommendations, education, based; EU scope visible. This is a provisional connection, not an outcome finding.</w:t>
      </w:r>
    </w:p>
    <w:p>
      <w:pPr>
        <w:pStyle w:val="SourceNote"/>
      </w:pPr>
      <w:r>
        <w:rPr>
          <w:b/>
        </w:rPr>
        <w:t>Available abstract (not full text):</w:t>
      </w:r>
      <w:r>
        <w:t xml:space="preserve"> Abstract This short paper describes the preliminary phase in an innovative line of research comparing educational robotics in Italy and other countries, from the perspective of media education, and based on the European Parliament recommendations to the Commission on civil law rules on robotics. More specifically, all decision processes that affect digital citizenship should have the support of children and teenagers. For these reasons, this paper looks at the work of a group of Italian high school students in the fifth year of upper secondary school, who formulated a SWOT analysis to highlight their attitudes to robotics issues in relation to the European Union recommendations. This research started in 2018 and will be repeated this academic year with Italian and Congolese students—from the Institut Supérieur des Techniques Appliquées—with a qualitative analysis to establish student attitudes to robotics issues. Qualitative analysis was selected because the SWOT analysis is already divided into information categories, revealing a variety of concepts that are grouped together from the collected data. These results will be compared with any obtained in future years in Italy and other countries, to find further potential patterns.</w:t>
      </w:r>
    </w:p>
    <w:p>
      <w:pPr/>
      <w:r>
        <w:rPr>
          <w:b/>
        </w:rPr>
        <w:t>POSSIBLE 2020:</w:t>
      </w:r>
      <w:r>
        <w:t xml:space="preserve"> Collaboration and Internationalization of SMEs: Insights and Recommendations from a Systematic Review — https://doi.org/10.1111/ijmr.12238</w:t>
      </w:r>
    </w:p>
    <w:p>
      <w:pPr/>
      <w:r>
        <w:rPr>
          <w:b/>
        </w:rPr>
        <w:t>Shared claim-specific concepts:</w:t>
      </w:r>
      <w:r>
        <w:t xml:space="preserve"> recommendations, internationalization, process, key; EU scope not established. This is a provisional connection, not an outcome finding.</w:t>
      </w:r>
    </w:p>
    <w:p>
      <w:pPr>
        <w:pStyle w:val="SourceNote"/>
      </w:pPr>
      <w:r>
        <w:rPr>
          <w:b/>
        </w:rPr>
        <w:t>Available abstract (not full text):</w:t>
      </w:r>
      <w:r>
        <w:t xml:space="preserve"> Abstract This paper performs a systematic literature review of the undeniably diverse – and somewhat fragmented – current state of research on the collaborations and internationalization of small and medium‐sized enterprises (SMEs). We analyze key works and synthesize them into a framework that conceptually maps key antecedents, mediators, and moderators that influence the internationalization of SMEs. In addition, we highlight limitations of the literature, most notably in terms of theoretical fragmentation; extant theories are deployed and illustrated but rarely extended in a manner that significantly informs subsequent work. At an applied (but related) level, we argue the need for supplementary work that explores the distinct stages of internationalization – and the scope and scale of this process – rather than assuming closure around particular events. With this, we highlight the need for more rigorous and empirically informed explorations of contextual effects that take account of the consequences of developments in the global economic ecosystem.</w:t>
      </w:r>
    </w:p>
    <w:p>
      <w:pPr/>
      <w:r>
        <w:rPr>
          <w:b/>
        </w:rPr>
        <w:t>POSSIBLE 2020:</w:t>
      </w:r>
      <w:r>
        <w:t xml:space="preserve"> Make Banking Simple Again : A multiple case-study about the internationalization of the largest online retail banks in Europe — https://openalex.org/W3047438540</w:t>
      </w:r>
    </w:p>
    <w:p>
      <w:pPr/>
      <w:r>
        <w:rPr>
          <w:b/>
        </w:rPr>
        <w:t>Shared claim-specific concepts:</w:t>
      </w:r>
      <w:r>
        <w:t xml:space="preserve"> recommendations, internationalization, process, international, findings; EU scope visible. This is a provisional connection, not an outcome finding.</w:t>
      </w:r>
    </w:p>
    <w:p>
      <w:pPr>
        <w:pStyle w:val="SourceNote"/>
      </w:pPr>
      <w:r>
        <w:rPr>
          <w:b/>
        </w:rPr>
        <w:t>Available abstract (not full text):</w:t>
      </w:r>
      <w:r>
        <w:t xml:space="preserve"> Digitalization is increasing in our society and continues to move in that direction. The shift from traditional banks to online banks is becoming more popular, and with an online bank, the international markets open. Although previous research about internationalization exists, there is no in-depth research on the specific topic of online banks. This study aims to provide information regarding how online banks internationalize, to understand the underlying factors for the process better as well as provide recommendations for both online banks but also traditional banks. Factors such as motivators, the entrepreneur, and resources are investigated to find an answer to the given research question. The way of internationalization is connected to the already pre-existing strategies of global or regional markets. The third theoretical concept that is applied to understand the internationalization process is which path of internationalization is used, either Born Global or Born Regional. This thesis is a qualitative study with a deductive approach. The empirical findings are derived from case studies through semi-structured interviews, and the sampling selection is online retail banks operating in Europe, with more than one million customers. The selected cases are Revolut, N26, Monzo, and Monese, where one interview per bank is conducted. The interviewee’s understanding of the subjec</w:t>
      </w:r>
    </w:p>
    <w:p>
      <w:pPr>
        <w:pStyle w:val="Heading2"/>
      </w:pPr>
      <w:r>
        <w:t>894.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2024:</w:t>
      </w:r>
      <w:r>
        <w:t xml:space="preserve"> Analyse des données actimétriques et prédiction par LSTM des phases de sommeil chez une population âgée institutionnalisée — https://doi.org/10.70675/d5cdad44z81b7z4a07zb318ze626e7fb2d8b</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Actimetric data analysis and LSTM prediction of sleep phases in an institutionalized elderly population — https://openalex.org/W4414749095</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2023:</w:t>
      </w:r>
      <w:r>
        <w:t xml:space="preserve"> Le rôle du commerce pour une adaptation résiliente au changement climatique dans l’agriculture africaine — https://doi.org/10.3917/edd.363.0041</w:t>
      </w:r>
    </w:p>
    <w:p>
      <w:pPr/>
      <w:r>
        <w:rPr>
          <w:b/>
        </w:rPr>
        <w:t>Shared claim-specific concepts:</w:t>
      </w:r>
      <w:r>
        <w:t xml:space="preserve"> tudie, les, pour, une, vers; EU scope visible. This is a provisional connection, not an outcome finding.</w:t>
      </w:r>
    </w:p>
    <w:p>
      <w:pPr>
        <w:pStyle w:val="SourceNote"/>
      </w:pPr>
      <w:r>
        <w:rPr>
          <w:b/>
        </w:rPr>
        <w:t>Available abstract (not full text):</w:t>
      </w:r>
      <w:r>
        <w:t xml:space="preserve"> Cette étude explore les connaissances scientifiques sur la manière dont le commerce peut aider l’Afrique à s’adapter au changement climatique (CC) dans trois domaines : (i) les événements à déclenchement rapide provenant d’événements extrêmes de courte durée (inondations, températures extrêmes) ; (ii) les événements à évolution lente (augmentation des températures moyennes et élévation du niveau de la mer) ; et enfin (iii) les politiques de facilitation du commerce. Événements à déclenchement rapide . Le commerce réduit l’amplitude des dommages liés aux événements extrêmes, par exemple, les sécheresses. Mais certaines réactions de politiques économiques peuvent augmenter l’amplitude de ces chocs. Lors de la sécheresse sud-africaine de 2015-2016, les politiques ont eu des retombées dans les pays voisins. Après la crise financière de 2008-2009, les restrictions à l’exportation imposées par les principaux exportateurs de denrées alimentaires et la réduction des droits de douane par les importateurs ont amplifié le choc. La coordination des politiques est donc nécessaire pour en contrôler les retombées négatives. Événements à évolution lente. Les efforts de modélisation relevés dans la littérature se sont concentrés sur l’exploration des « marges » d’ajustement au changement climatique : changements dans les niveaux de production des cultures existantes ; changements dans les denré</w:t>
      </w:r>
    </w:p>
    <w:p>
      <w:pPr/>
      <w:r>
        <w:rPr>
          <w:b/>
        </w:rPr>
        <w:t>POSSIBLE 2023:</w:t>
      </w:r>
      <w:r>
        <w:t xml:space="preserve"> Les « groupes Medvedkine » (1967-1974), transfert tardif de la culture d’agit-prop soviétique ? — https://openalex.org/W4364379400</w:t>
      </w:r>
    </w:p>
    <w:p>
      <w:pPr/>
      <w:r>
        <w:rPr>
          <w:b/>
        </w:rPr>
        <w:t>Shared claim-specific concepts:</w:t>
      </w:r>
      <w:r>
        <w:t xml:space="preserve"> lui, les, pour, une; EU scope visible. This is a provisional connection, not an outcome finding.</w:t>
      </w:r>
    </w:p>
    <w:p>
      <w:pPr>
        <w:pStyle w:val="SourceNote"/>
      </w:pPr>
      <w:r>
        <w:rPr>
          <w:b/>
        </w:rPr>
        <w:t>Available abstract (not full text):</w:t>
      </w:r>
      <w:r>
        <w:t xml:space="preserve"> De 1967 à 1974, des collectifs d’ouvriers-cinéastes appelés « groupes Medvedkine » se formèrent en France, dans le sillon des grèves de l’industrie textile et automobile de Besançon et de Sochaux, sous l’impulsion du cinéaste Chris Marker (1921-2012). Ces groupes représentèrent en France une expérience à la fois sociale et créatrice de cinéma militant, caractérisée par l’appropriation par les ouvriers eux-mêmes du processus de création des films au service d’une représentation autonome et réflexive de leurs luttes. Mais de quoi Medvedkine est-il le nom ? Il s’agit pour Marker de matérialiser un lien de filiation : celle qu’il souhaite établir entre le combat idéologique et militant du cinéaste soviétique Alexandre Medvedkine (1900-1989), dans les années 1920 et au début des années 1930 en URSS (incarnée par son « Ciné-train »), et celui des ouvriers français, dont le projet lui semble fondamentalement lié, puisque ceux-ci expriment dès la fin de l’année 1967 la volonté, comme Medvedkine y invitait ouvriers et paysans russes, de s’approprier le discours cinématographique qui les concerne.</w:t>
      </w:r>
    </w:p>
    <w:p>
      <w:pPr/>
      <w:r>
        <w:rPr>
          <w:b/>
        </w:rPr>
        <w:t>POSSIBLE 2023:</w:t>
      </w:r>
      <w:r>
        <w:t xml:space="preserve"> Optimization Methods for Renewable Energy Communities : Operations, Benefit Sharing, Flexibility Provision, Expansion — https://doi.org/10.70675/f607ae6bz0493z453fz8caez1ed024e5ee71</w:t>
      </w:r>
    </w:p>
    <w:p>
      <w:pPr/>
      <w:r>
        <w:rPr>
          <w:b/>
        </w:rPr>
        <w:t>Shared claim-specific concepts:</w:t>
      </w:r>
      <w:r>
        <w:t xml:space="preserve"> second, transition; EU scope visible. This is a provisional connection, not an outcome finding.</w:t>
      </w:r>
    </w:p>
    <w:p>
      <w:pPr>
        <w:pStyle w:val="SourceNote"/>
      </w:pPr>
      <w:r>
        <w:rPr>
          <w:b/>
        </w:rPr>
        <w:t>Available abstract (not full text):</w:t>
      </w:r>
      <w:r>
        <w:t xml:space="preserve"> In the energy transition era, the need for more sustainable energy solutions is inevitable. It pushes transformations within the energy systems, leading to the adoption of renewable energy and a shift from a centralized architecture toward more decentralized systems. This shift assigns active roles to end-users, as they evolve into "prosumers." These prosumers possess distributed energy resources (DER) to generate energy locally, allowing them to be more independent and reduce their carbon footprint. Local energy communities extend this feature by allowing exchanges and transactions between neighboring end-users.This thesis is based on an industrial PhD with a French start-up company, SWEEN, which plays a role as an operator of renewable energy communities. We focus on the effective management of energy communities (EC) across various dimensions. The primary objective is to achieve collective social welfare while ensuring fairness among members. To address this, we propose a Two-Stage Management Strategy where the first stage investigates the operational control of flexible DERs through energy management strategies (EMS) and the second stage is dedicated to the allocation of community generation to each member using coefficients known as "keys of repartition" (KOR). Our analysis encompasses a comprehensive array of forty combinations, ranging from basic to advanced strategies i</w:t>
      </w:r>
    </w:p>
    <w:p>
      <w:pPr/>
      <w:r>
        <w:rPr>
          <w:b/>
        </w:rPr>
        <w:t>POSSIBLE 2022:</w:t>
      </w:r>
      <w:r>
        <w:t xml:space="preserve"> Persécution des juifs et espace urbain — https://doi.org/10.3917/rhu.062.0081</w:t>
      </w:r>
    </w:p>
    <w:p>
      <w:pPr/>
      <w:r>
        <w:rPr>
          <w:b/>
        </w:rPr>
        <w:t>Shared claim-specific concepts:</w:t>
      </w:r>
      <w:r>
        <w:t xml:space="preserve"> les, pour, une, article; EU scope not established. This is a provisional connection, not an outcome finding.</w:t>
      </w:r>
    </w:p>
    <w:p>
      <w:pPr>
        <w:pStyle w:val="SourceNote"/>
      </w:pPr>
      <w:r>
        <w:rPr>
          <w:b/>
        </w:rPr>
        <w:t>Available abstract (not full text):</w:t>
      </w:r>
      <w:r>
        <w:t xml:space="preserve"> Les relations sociales entre juifs et non-juifs pendant la Shoah ont fait l’objet de nombreux travaux depuis vingt ans. Dans ces études, la figure des « voisins » est très présente sans être circonscrite d’un point de vue géographique. L’article construit les termes de « voisin » et de « voisinage » pour faire de ces catégories des outils de compréhension de la persécution. À partir d’une vaste enquête concernant les réaffectations de logements de familles juives à Paris pendant l’Occupation sous l’égide de la préfecture de la Seine, les auteurs observent au plus près les relations sociales des Parisiens avec leurs voisins juifs et les caractéristiques spatiales de leur trajectoire résidentielle.</w:t>
      </w:r>
    </w:p>
    <w:p>
      <w:pPr/>
      <w:r>
        <w:rPr>
          <w:b/>
        </w:rPr>
        <w:t>POSSIBLE 2022:</w:t>
      </w:r>
      <w:r>
        <w:t xml:space="preserve"> The public stigma of facial disfigurement : investigating the relationships between visual attention, affective reactions and dehumanization — https://openalex.org/W7214250308</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Les personnes présentant une différence faciale (DF) sont stigmatisées. Cette stigmatisation semanifeste particulièrement par les réactions affectives des percevant·e·s, notamment par le dégout etla peur, émotions généralement associées au processus de déshumanisation d’autrui. Par ailleurs, entant que stigmate visible, la DF semble influencer la répartition de l’attention visuelle sur un visagemais peu de travaux ont associé ces champs. Ainsi, ce projet de thèse avait pour objectif de mieuxcomprendre la stigmatisation sociale de la DF, et plus particulièrement les liens entre perceptionvisuelle, réactions affectives stigmatisantes et déshumanisation. En se focalisant sur les réactionsaffectives, il s’agissait préalablement de proposer une typologie de ces réactions affectivesstigmatisantes, puis de mettre en lumière leurs liens avec les changements dans l’attention visuelle,pour finalement déterminer si ces réactions témoignent d’un processus de déshumanisation. Nosrésultats montrent que la DF modifie globalement la répartition de l’attention visuelle et influencel’émergence de réactions affectives stigmatisantes en engendrant moins de neutralité et plus desurprise, dégoût, peur et mépris. La perception visuelle de la DF semble déterminante puisque lamodification de l’attention visuelle était liée à la fois aux réactions affectives stigmatisantes et auxattributions déshumanisa</w:t>
      </w:r>
    </w:p>
    <w:p>
      <w:pPr/>
      <w:r>
        <w:rPr>
          <w:b/>
        </w:rPr>
        <w:t>POSSIBLE 2022:</w:t>
      </w:r>
      <w:r>
        <w:t xml:space="preserve"> Faire diaspora en ville, XIII e -XIX e siècle — https://doi.org/10.3917/rhu.064.0097</w:t>
      </w:r>
    </w:p>
    <w:p>
      <w:pPr/>
      <w:r>
        <w:rPr>
          <w:b/>
        </w:rPr>
        <w:t>Shared claim-specific concepts:</w:t>
      </w:r>
      <w:r>
        <w:t xml:space="preserve"> les, effets, pour, une, cet, article; EU scope not established. This is a provisional connection, not an outcome finding.</w:t>
      </w:r>
    </w:p>
    <w:p>
      <w:pPr>
        <w:pStyle w:val="SourceNote"/>
      </w:pPr>
      <w:r>
        <w:rPr>
          <w:b/>
        </w:rPr>
        <w:t>Available abstract (not full text):</w:t>
      </w:r>
      <w:r>
        <w:t xml:space="preserve"> La ville de Rouen, une des plus grandes du royaume, fut depuis sa fondation soumise aux aléas météorologiques tels que les excès de pluie, les froids intenses ou encore les tempêtes. Ces extrêmes climatiques avaient des conséquences directes (destructions d’édifices, rupture des communications) et indirectes (baisse des disponibilités alimentaires, apparition d’épidémies). Face à cette vulnérabilité les autorités mirent en place dès le Moyen Âge des parades plus ou moins efficientes pour atténuer en amont et en aval les effets négatifs de ces aléas. Au xviii e le courant intellectuel et scientifique des Lumières se diffusa à la ville de Rouen. Par la promotion de théories sanitaires, urbanistiques, agricoles et commerciales modernes, les hommes des Lumières se proposaient d’améliorer la résilience urbaine sous toutes ces facettes. L’objet de cet article est de percevoir le degré de pénétration et d’application des Lumières dans la société rouennaise.</w:t>
      </w:r>
    </w:p>
    <w:p>
      <w:pPr/>
      <w:r>
        <w:rPr>
          <w:b/>
        </w:rPr>
        <w:t>POSSIBLE 2022:</w:t>
      </w:r>
      <w:r>
        <w:t xml:space="preserve"> Des albums plurilingues à l’école pour les lecteurs… plurilingues ? — https://doi.org/10.63723/publije.202110161</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L’article propose une typologie des albums bi-, multi-, plurilingues en s’inspirant du fonctionnement du sujet plurilingue, ce qui conduit à distinguer les albums multilingues (langues cloisonnées) des albums plurilingues (langues en interaction). Il rend compte dans un second temps d’un atelier de formation initiale en INSPE, mené par les deux chercheuses avec un groupe de quinze professeures des écoles stagiaires. Ces stagiaires ont été amenées à mettre en œuvre des séquences dans les classes, à partir de 4 albums (un imagier multilingue, trois albums plurilingues), dans les 3 cycles de l’école primaire. Les séquences devaient mobiliser des objectifs d’apprentissage transversaux, langagiers et métalangagiers. Les deux chercheuses ont souhaité observé les formes d’appropriation par les professeures des écoles stagiaires des scénarios pédagogiques succincts proposés autour des albums, afin de voir comment des professeurs débutants dans le métier parvenaient à s’emparer de la question complexe du plurilinguisme. The article provides a typology of bi-, multi- and plurilingual picture books based on the functioning of the plurilingual subject, which leads to a distinction between multilingual picture books (partitioned languages) and plurilingual picture books (interacting languages). It then reports on an initial training workshop in INSPE, conducted by the two researchers with a</w:t>
      </w:r>
    </w:p>
    <w:p>
      <w:pPr>
        <w:pStyle w:val="Heading2"/>
      </w:pPr>
      <w:r>
        <w:t>895.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2026:</w:t>
      </w:r>
      <w:r>
        <w:t xml:space="preserve"> Biocompatible Lubricant-Coated Flexible Neural Probes with Enhanced Long-Term Recording Stability — https://doi.org/10.1021/acsabm.5c02232</w:t>
      </w:r>
    </w:p>
    <w:p>
      <w:pPr/>
      <w:r>
        <w:rPr>
          <w:b/>
        </w:rPr>
        <w:t>Shared claim-specific concepts:</w:t>
      </w:r>
      <w:r>
        <w:t xml:space="preserve"> long-term, biological, recording, because, however; EU scope not established. This is a provisional connection, not an outcome finding.</w:t>
      </w:r>
    </w:p>
    <w:p>
      <w:pPr>
        <w:pStyle w:val="SourceNote"/>
      </w:pPr>
      <w:r>
        <w:rPr>
          <w:b/>
        </w:rPr>
        <w:t>Available abstract (not full text):</w:t>
      </w:r>
      <w:r>
        <w:t xml:space="preserve"> Implantable neural probes enable high-resolution, multi-unit recordings and are essential tools for studying neurological disorders and developing brain-machine interface (BMI) technologies. However, conventional metal- or silicon-based probes exhibit significant mechanical mismatch with brain tissue, both of which elicit inflammatory responses and compromise long-term recording stability. Here, we introduce a flexible neural probe fabricated through a commercial flexible printed circuit board (FPCB) process and functionalized with a biocompatible lubricant coating to overcome these challenges. The inherent flexibility of the FPCB minimizes mechanical mismatch with brain tissue, while the coating enhances surface hydrophobicity and reduces insertion friction, thereby minimizing tissue damage during implantation. Its resistance to water ingress contributes to maintaining the probe's electrical insulation stability, supporting stable long-term performance. In chronic mouse hippocampal implants, lubricant-coated probes maintained consistent neural signal quality for several weeks, while immunohistochemical analysis revealed markedly reduced astrocytic and microglial activation (GFAP/Iba1) compared with uncoated controls, indicating effective mitigation of neuroinflammation. In vitro cell viability assays further confirmed the high biocompatibility of the coated devices. Importantl</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2025:</w:t>
      </w:r>
      <w:r>
        <w:t xml:space="preserve"> Changes in Biological and Chemical Soil Properties in an Austrian Long‐Term Tillage Experiment — https://doi.org/10.1111/ejss.70037</w:t>
      </w:r>
    </w:p>
    <w:p>
      <w:pPr/>
      <w:r>
        <w:rPr>
          <w:b/>
        </w:rPr>
        <w:t>Shared claim-specific concepts:</w:t>
      </w:r>
      <w:r>
        <w:t xml:space="preserve"> biological, however; EU scope visible. This is a provisional connection, not an outcome finding.</w:t>
      </w:r>
    </w:p>
    <w:p>
      <w:pPr>
        <w:pStyle w:val="SourceNote"/>
      </w:pPr>
      <w:r>
        <w:rPr>
          <w:b/>
        </w:rPr>
        <w:t>Available abstract (not full text):</w:t>
      </w:r>
      <w:r>
        <w:t xml:space="preserve"> ABSTRACT Conventional tillage, including ploughing after harvest and/or for seedbed preparation, aims to incorporate crop residues and weeds and to loosen, mix and aerate the soil. However, less beneficial effects, such as a loss of soil organic carbon (SOC), are also associated with intensive tillage. This has made reduced and minimum tillage systems without ploughing increasingly popular in agriculture, contributing to soil health and climate change mitigation. We studied the effects of different tillage systems on chemical and microbial soil properties in a long‐term field experiment established on a fine‐sandy loamy Haplic Chernozem in Fuchsenbigl, Austria, in 1988. The tillage treatments include conventional tillage (CT) with a plough and a cultivator down to 30 cm soil depth, reduced tillage (RT) with a cultivator down to 15 cm two to three times a year, as well as minimum tillage (MT) treated with a rotary driller once a year down to 5–8 cm soil depth. In 2016, a soil sampling campaign was conducted, and alkaline phosphatase, phospholipid fatty acids (PLFAs), and the nitrogen (N) mineralisation potential were analysed along with chemical properties including SOC, active C, total nitrogen (N t ), CAL extractable phosphorus (P CAL ) and potassium (K CAL ). Under MT, these properties were significantly higher compared to CT in 0–10 cm. In deeper soil layers, these parameter</w:t>
      </w:r>
    </w:p>
    <w:p>
      <w:pPr/>
      <w:r>
        <w:rPr>
          <w:b/>
        </w:rPr>
        <w:t>POSSIBLE 2025:</w:t>
      </w:r>
      <w:r>
        <w:t xml:space="preserve"> Long-Term Obesity and Biological Aging in Young Adults — https://doi.org/10.1001/jamanetworkopen.2025.20011</w:t>
      </w:r>
    </w:p>
    <w:p>
      <w:pPr/>
      <w:r>
        <w:rPr>
          <w:b/>
        </w:rPr>
        <w:t>Shared claim-specific concepts:</w:t>
      </w:r>
      <w:r>
        <w:t xml:space="preserve"> long-term, biological, data; EU scope not established. This is a provisional connection, not an outcome finding.</w:t>
      </w:r>
    </w:p>
    <w:p>
      <w:pPr>
        <w:pStyle w:val="SourceNote"/>
      </w:pPr>
      <w:r>
        <w:rPr>
          <w:b/>
        </w:rPr>
        <w:t>Available abstract (not full text):</w:t>
      </w:r>
      <w:r>
        <w:t xml:space="preserve"> Importance: It remains unclear whether obesity accelerates biological aging, potentially leading to early-onset chronic diseases. Objective: To investigate the association between long-term obesity and the expression of biochemical aging markers in younger adults. Design, Setting, and Participants: This multiple-events case-control study, conducted from April 5, 2022, to June 29, 2023, was embedded in the Santiago Longitudinal Study, a prospective Chilean birth cohort of adults aged 28 to 31 years among whom health and nutrition data were collected from September 1992 onward. Exposure: Body mass index (BMI) trajectory across the life course, recorded multiple times since birth. Group 1 had healthy BMI across the life course, group 2 had persistent obesity since adolescence, and group 3 had persistent obesity since childhood. Main Outcomes and Measures: Smoothed BMI trajectories (cubic polynomials) were used to estimate obesity duration. Primary outcomes were DNA methylation-based age and telomere length (TL). Secondary outcomes included levels of aging-related cytokines, growth factors, and adipomyokines. Results: In the sample of 205 adults (mean [SD] age, 28.9 [0.6] years; 100 females [49%]), 89 (43%) were in group 1, 43 (21%) in group 2, and 73 (36%) in group 3. Mean (SD) obesity duration was 12.9 (4.8) years in group 2 and 26.6 (2.3) years in group 3. Long-term obesity was </w:t>
      </w:r>
    </w:p>
    <w:p>
      <w:pPr/>
      <w:r>
        <w:rPr>
          <w:b/>
        </w:rPr>
        <w:t>POSSIBLE 2025:</w:t>
      </w:r>
      <w:r>
        <w:t xml:space="preserve"> Biological invasions: a global assessment of geographic distributions, long‐term trends, and data gaps — https://doi.org/10.1111/brv.70058</w:t>
      </w:r>
    </w:p>
    <w:p>
      <w:pPr/>
      <w:r>
        <w:rPr>
          <w:b/>
        </w:rPr>
        <w:t>Shared claim-specific concepts:</w:t>
      </w:r>
      <w:r>
        <w:t xml:space="preserve"> biological, often, data, other, drivers, however; EU scope not established. This is a provisional connection, not an outcome finding.</w:t>
      </w:r>
    </w:p>
    <w:p>
      <w:pPr>
        <w:pStyle w:val="SourceNote"/>
      </w:pPr>
      <w:r>
        <w:rPr>
          <w:b/>
        </w:rPr>
        <w:t>Available abstract (not full text):</w:t>
      </w:r>
      <w:r>
        <w:t xml:space="preserve"> Biological invasions are one of the major drivers of biodiversity decline and have been shown to have far-reaching consequences for society and the economy. Preventing the introduction and spread of alien species represents the most effective solution to reducing their impacts on nature and human well-being. However, implementing effective solutions requires a good understanding of where the species are established and how biological invasions develop over time. Knowledge of the status and trends of biological invasions is thus key for guiding research efforts, informing stakeholders and policymakers, for targeted management efforts, and preparing for the future. However, information about the status and trends of alien species is scattered, patchy, and highly incomplete, making it difficult to assess. Published reports for individual regions and taxonomic groups are available, but large-scale overviews are scarce. A global assessment therefore requires a review of available knowledge with careful consideration of sampling and reporting biases. This paper provides a comprehensive global assessment of the status and trends of alien species for major taxonomic groups [Bacteria, Protozoa, Stramenopila, Alveolata, and Rhizaria (SAR), fungi, plants, and animals] for Intergovernmental Panel of Biodiversity and Ecosystem Services (IPBES) regions. The review provides irrefutable eviden</w:t>
      </w:r>
    </w:p>
    <w:p>
      <w:pPr/>
      <w:r>
        <w:rPr>
          <w:b/>
        </w:rPr>
        <w:t>POSSIBLE 2025:</w:t>
      </w:r>
      <w:r>
        <w:t xml:space="preserve"> Long‐Term Stable Subdural Recordings Enabled by Fibrosis‐Resistant Hydrogel‐Integrated µECoG Arrays — https://doi.org/10.1002/advs.202515453</w:t>
      </w:r>
    </w:p>
    <w:p>
      <w:pPr/>
      <w:r>
        <w:rPr>
          <w:b/>
        </w:rPr>
        <w:t>Shared claim-specific concepts:</w:t>
      </w:r>
      <w:r>
        <w:t xml:space="preserve"> long-term, biological, often; EU scope not established. This is a provisional connection, not an outcome finding.</w:t>
      </w:r>
    </w:p>
    <w:p>
      <w:pPr>
        <w:pStyle w:val="SourceNote"/>
      </w:pPr>
      <w:r>
        <w:rPr>
          <w:b/>
        </w:rPr>
        <w:t>Available abstract (not full text):</w:t>
      </w:r>
      <w:r>
        <w:t xml:space="preserve"> The long-term performance of microscale subdural arrays is often compromised by adverse tissue responses, leading to increased electrochemical impedance and signal deterioration during chronic applications. Here, the study presents an adhesive hydrogel-integrated micro-electrocorticography (aGel-µECoG) array that improves mechanical compatibility and adhesion to brain tissue, effectively mitigating tissue responses and enabling stable, high-performance electrical communication over days to months. The hydrogel consists of a hydrophilic polyvinyl alcohol and hydrophobic poly3-(trimethoxysilyl) propyl methacrylate heteronetwork, serving as a biological and mechanical bridging to enable seamless, anti-fibrotic, long-term integration with brain tissue. The aGel-µECoG achieves robust tissue adhesion (25.2 ± 3.8 kPa) with reversible and safe removal, enabling sutureless implantation. With an ultrathin 10-µm ionic conductive hydrogel coating, the array exhibits high electrical fidelity, effectively preserving fine-grained sub-millimeter spatial resolution and maintaining unattenuated signal strength for functional cortical mapping. Compared to conventional µECoG arrays, aGel-µECoG exhibits a 20-fold reduction in acute-phase impedance increases, attributed to significantly reduced neuroinflammation and fibrotic tissue formation, as confirmed by histological analyses. Long-term recordin</w:t>
      </w:r>
    </w:p>
    <w:p>
      <w:pPr/>
      <w:r>
        <w:rPr>
          <w:b/>
        </w:rPr>
        <w:t>POSSIBLE 2024:</w:t>
      </w:r>
      <w:r>
        <w:t xml:space="preserve"> Machine learning for efficient segregation and labeling of potential biological sounds in long-term underwater recordings — https://doi.org/10.3389/frsen.2024.1390687</w:t>
      </w:r>
    </w:p>
    <w:p>
      <w:pPr/>
      <w:r>
        <w:rPr>
          <w:b/>
        </w:rPr>
        <w:t>Shared claim-specific concepts:</w:t>
      </w:r>
      <w:r>
        <w:t xml:space="preserve"> long-term, biological, provide, data, however; EU scope visible. This is a provisional connection, not an outcome finding.</w:t>
      </w:r>
    </w:p>
    <w:p>
      <w:pPr>
        <w:pStyle w:val="SourceNote"/>
      </w:pPr>
      <w:r>
        <w:rPr>
          <w:b/>
        </w:rPr>
        <w:t>Available abstract (not full text):</w:t>
      </w:r>
      <w:r>
        <w:t xml:space="preserve"> Studying marine soundscapes by detecting known sound events and quantifying their spatio-temporal patterns can provide ecologically relevant information. However, the exploration of underwater sound data to find and identify possible sound events of interest can be highly time-intensive for human analysts. To speed up this process, we propose a novel methodology that first detects all the potentially relevant acoustic events and then clusters them in an unsupervised way prior to manual revision. We demonstrate its applicability on a short deployment. To detect acoustic events, a deep learning object detection algorithm from computer vision (YOLOv8) is re-trained to detect any (short) acoustic event. This is done by converting the audio to spectrograms using sliding windows longer than the expected sound events of interest. The model detects any event present on that window and provides their time and frequency limits. With this approach, multiple events happening simultaneously can be detected. To further explore the possibilities to limit the human input needed to create the annotations to train the model, we propose an active learning approach to select the most informative audio files in an iterative manner for subsequent manual annotation. The obtained detection models are trained and tested on a dataset from the Belgian Part of the North Sea, and then further evaluated for</w:t>
      </w:r>
    </w:p>
    <w:p>
      <w:pPr>
        <w:pStyle w:val="Heading2"/>
      </w:pPr>
      <w:r>
        <w:t>896.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2025:</w:t>
      </w:r>
      <w:r>
        <w:t xml:space="preserve"> The future of the colonial system as assessed by experts of the Council on Foreign Relations during the Second World War — https://doi.org/10.48015/2076-7404-2025-17-1-141-161</w:t>
      </w:r>
    </w:p>
    <w:p>
      <w:pPr/>
      <w:r>
        <w:rPr>
          <w:b/>
        </w:rPr>
        <w:t>Shared claim-specific concepts:</w:t>
      </w:r>
      <w:r>
        <w:t xml:space="preserve"> author, outlines, relations, second; EU scope visible. This is a provisional connection, not an outcome finding.</w:t>
      </w:r>
    </w:p>
    <w:p>
      <w:pPr>
        <w:pStyle w:val="SourceNote"/>
      </w:pPr>
      <w:r>
        <w:rPr>
          <w:b/>
        </w:rPr>
        <w:t>Available abstract (not full text):</w:t>
      </w:r>
      <w:r>
        <w:t xml:space="preserve"> During World War II, the colonial issue was at the forefront of both the fight of the anti-Hitler coalition against the Axis powers and the inter-allied discussion of the prospects for the post-war world order. In this context, the perspectives of the U.S. experts affiliated with the Council on Foreign Relations deserve special attention. Having brought together government officials, bankers, industrialists, Wall Street lawyers, and Ivy League professors, the Council turned into a unique expert platform that exerted a significant influence not only on the course of public discussions about the future world order, but also on the foreign policy decision-making in the United States itself. This article identifies the specific features of experts’ perspectives on the prospects of the development and transformation of the colonial system after World War II. The first section profiles the Council’s members who actively participated in the discussion of these issues. The second section outlines the two main approaches of the Council’s experts to resolving the colonial issue, which involved either reforming the existing colonial system or significantly revising it. At the same time, as the author notes, all experts recognized that the positions of the European colonial powers would be inevitably weakened by the end of World War II and emphasized the need for the U.S. to play a more ac</w:t>
      </w:r>
    </w:p>
    <w:p>
      <w:pPr/>
      <w:r>
        <w:rPr>
          <w:b/>
        </w:rPr>
        <w:t>POSSIBLE 2025:</w:t>
      </w:r>
      <w:r>
        <w:t xml:space="preserve"> European Contexts of Minority-Majority Relations in Upper Silesia — https://doi.org/10.14746/rie.2025.19.20</w:t>
      </w:r>
    </w:p>
    <w:p>
      <w:pPr/>
      <w:r>
        <w:rPr>
          <w:b/>
        </w:rPr>
        <w:t>Shared claim-specific concepts:</w:t>
      </w:r>
      <w:r>
        <w:t xml:space="preserve"> author, outlines, relations, succeed; EU scope visible. This is a provisional connection, not an outcome finding.</w:t>
      </w:r>
    </w:p>
    <w:p>
      <w:pPr>
        <w:pStyle w:val="SourceNote"/>
      </w:pPr>
      <w:r>
        <w:rPr>
          <w:b/>
        </w:rPr>
        <w:t>Available abstract (not full text):</w:t>
      </w:r>
      <w:r>
        <w:t xml:space="preserve"> In the first part of the article, the author introduces the concept of contestation. He then outlines the key legal frameworks arising from Poland’s membership in the Council of Europe and the European Union, which Upper Silesian regionalists may invoke in their efforts to preserve, strengthen, and develop the region’s socio-cultural identity. The migration processes that unfolded after 1945 had a profound impact on the transformations within Upper Silesia. However, it was only after 1989 that Poles, Germans, and Silesians were able to engage freely in a public discussion about the region’s multicultural character. The preservation of Upper Silesia’s distinctiveness ultimately depends on whether regionalists succeed in engaging the new residents, who now form the majority population, in pursuing this shared goal.</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2024:</w:t>
      </w:r>
      <w:r>
        <w:t xml:space="preserve"> Queen Jadwiga of Anjou’s relations with the episcopate of Gniezno and Halych Archdioceses — an outline — https://doi.org/10.15633/fhc.30206</w:t>
      </w:r>
    </w:p>
    <w:p>
      <w:pPr/>
      <w:r>
        <w:rPr>
          <w:b/>
        </w:rPr>
        <w:t>Shared claim-specific concepts:</w:t>
      </w:r>
      <w:r>
        <w:t xml:space="preserve"> author, outlines, relations, second, given; EU scope visible. This is a provisional connection, not an outcome finding.</w:t>
      </w:r>
    </w:p>
    <w:p>
      <w:pPr>
        <w:pStyle w:val="SourceNote"/>
      </w:pPr>
      <w:r>
        <w:rPr>
          <w:b/>
        </w:rPr>
        <w:t>Available abstract (not full text):</w:t>
      </w:r>
      <w:r>
        <w:t xml:space="preserve"> The author presents the relations between Queen Jadwiga of Anjou (1384–1399) with the episcopate of Gniezno and Halych Archdioceses during her reign in Poland and the Great Duchy of Lithuania with Władysław Jagiełło. In speeches delivered by such intellectuals as Stanisław of Skarbimierz, she appears as a monarch respectful of bishops and concerned with the welfare of the Church. On the other hand, Jadwiga and her husband are known to have followed a consistent ecclesiastical policy, having control over episcopal nominations in the Polish-Lithuanian state, frequently against the will of local chapters and even the Holy See amidst the Western Schism crisis. The author points out that historiographers often too hastily credited Jadwiga with initiative and control over bishops’ nominations in a given area. In reality, the initiative came from both royal spouses and, whenever different candidates were proposed, it was the queen who acquiesced to her husband. The second part of the article outlines the nature of Jadwiga’s relations with key members of the episcopate, with special emphasis on the queen’s close relations with bishops of Krakow: Jan Radlica and Piotr Wysz, with whom she cooperated to further the University of Krakow’s restoration.</w:t>
      </w:r>
    </w:p>
    <w:p>
      <w:pPr/>
      <w:r>
        <w:rPr>
          <w:b/>
        </w:rPr>
        <w:t>POSSIBLE 2023:</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r>
        <w:rPr>
          <w:b/>
        </w:rPr>
        <w:t>Shared claim-specific concepts:</w:t>
      </w:r>
      <w:r>
        <w:t xml:space="preserve"> abstract, outlines, agenda; EU scope visible. This is a provisional connection, not an outcome finding.</w:t>
      </w:r>
    </w:p>
    <w:p>
      <w:pPr>
        <w:pStyle w:val="SourceNote"/>
      </w:pPr>
      <w:r>
        <w:rPr>
          <w:b/>
        </w:rPr>
        <w:t>Available abstract (not full text):</w:t>
      </w:r>
      <w:r>
        <w:t xml:space="preserve">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pPr/>
      <w:r>
        <w:rPr>
          <w:b/>
        </w:rPr>
        <w:t>POSSIBLE 2023:</w:t>
      </w:r>
      <w:r>
        <w:t xml:space="preserve"> Causes of the Russian-Ukrainian Conflict and its Impact on Security in Europe — https://doi.org/10.2478/kbo-2023-0004</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r>
        <w:rPr>
          <w:b/>
        </w:rPr>
        <w:t>POSSIBLE 2023:</w:t>
      </w:r>
      <w:r>
        <w:t xml:space="preserve"> Introduction to Work and Employment Relations in Southern Europe — https://doi.org/10.4337/9781789909548.00006</w:t>
      </w:r>
    </w:p>
    <w:p>
      <w:pPr/>
      <w:r>
        <w:rPr>
          <w:b/>
        </w:rPr>
        <w:t>Shared claim-specific concepts:</w:t>
      </w:r>
      <w:r>
        <w:t xml:space="preserve"> outlines, industrial, relations; EU scope visible. This is a provisional connection, not an outcome finding.</w:t>
      </w:r>
    </w:p>
    <w:p>
      <w:pPr>
        <w:pStyle w:val="SourceNote"/>
      </w:pPr>
      <w:r>
        <w:rPr>
          <w:b/>
        </w:rPr>
        <w:t>Available abstract (not full text):</w:t>
      </w:r>
      <w:r>
        <w:t xml:space="preserve"> This chapter serves as an introduction to the book and outlines the background, context and nature of industrial relations and forms of de-regulation related to recent economic developments. The chapter outlines key aspects of the debates related to the nature of Southern European industrial relations in general but focusing on Greece, Italy, Portugal and Spain as the case studies. The chapter concentrates on the way that the states and public policy in such contexts have developed around competing political agendas and imperatives. The argument outlines how de-regulation has occurred, as well as how there have been responses to it, and alternative forms of politics and policies have been developed. It points to the way that broader politics and a set of initiatives regarding worker rights and collective processes have re-emerged, although it reiterates the existence of the problem with how marketization and neoliberalism continue to frame the overall politics and language of re-regulation.</w:t>
      </w:r>
    </w:p>
    <w:p>
      <w:pPr/>
      <w:r>
        <w:rPr>
          <w:b/>
        </w:rPr>
        <w:t>POSSIBLE 2021:</w:t>
      </w:r>
      <w:r>
        <w:t xml:space="preserve"> The evolution of life cycle assessment in European policies over three decades — https://doi.org/10.1007/s11367-021-01893-2</w:t>
      </w:r>
    </w:p>
    <w:p>
      <w:pPr/>
      <w:r>
        <w:rPr>
          <w:b/>
        </w:rPr>
        <w:t>Shared claim-specific concepts:</w:t>
      </w:r>
      <w:r>
        <w:t xml:space="preserve"> three, according; EU scope visible. This is a provisional connection, not an outcome finding.</w:t>
      </w:r>
    </w:p>
    <w:p>
      <w:pPr>
        <w:pStyle w:val="SourceNote"/>
      </w:pPr>
      <w:r>
        <w:rPr>
          <w:b/>
        </w:rPr>
        <w:t>Available abstract (not full text):</w:t>
      </w:r>
      <w:r>
        <w:t xml:space="preserve"> Abstract Purpose Life cycle thinking (LCT) and life cycle assessment (LCA) are increasingly considered pivotal concept and method for supporting sustainable transitions. LCA plays a relevant role in decision support, for the ambition of a holistic coverage of environmental dimensions and for the identification of hotspots, possible trade-offs, and burden shifting among life cycle stages or impact categories. These features are also relevant when the decision support is needed in policy domain. With a focus on EU policies, the present study explores the evolution and implementation of life cycle concepts and approaches over three decades. Methods Adopting an historical perspective, a review of current European Union (EU) legal acts and communications explicitly mentioning LCT, LCA, life cycle costing (LCC), and environmental footprint (the European Product and Organisation Environmental Footprint PEF/OEF) is performed, considering the timeframe from 1990 to 2020. The documents are categorised by year and according to their types (e.g. regulations, directives, communications) and based on the covered sectors (e.g. waste, energy, buildings). Documents for which life cycle concepts and approaches had a crucial role are identified, and a shortlist of these legal acts and communications is derived. Results and discussion Over the years, LCT and life cycle approaches have been increas</w:t>
      </w:r>
    </w:p>
    <w:p>
      <w:pPr/>
      <w:r>
        <w:rPr>
          <w:b/>
        </w:rPr>
        <w:t>POSSIBLE 2021:</w:t>
      </w:r>
      <w:r>
        <w:t xml:space="preserve"> The European Commission’s Role in EU–Turkey Relations — https://doi.org/10.1007/978-3-030-70890-0_9</w:t>
      </w:r>
    </w:p>
    <w:p>
      <w:pPr/>
      <w:r>
        <w:rPr>
          <w:b/>
        </w:rPr>
        <w:t>Shared claim-specific concepts:</w:t>
      </w:r>
      <w:r>
        <w:t xml:space="preserve"> relations, second; EU scope visible. This is a provisional connection, not an outcome finding.</w:t>
      </w:r>
    </w:p>
    <w:p>
      <w:pPr>
        <w:pStyle w:val="SourceNote"/>
      </w:pPr>
      <w:r>
        <w:rPr>
          <w:b/>
        </w:rPr>
        <w:t>Available abstract (not full text):</w:t>
      </w:r>
      <w:r>
        <w:t xml:space="preserve"> Abstract Based on a review of the relations between the European Commission (EC) and Turkey across a selection of policy areas, this chapter illustrates two aspects of EC influence in EU–Turkey relations. First, as a defender of the rules of the (enlargement) game, the Commission has rebuffed attempts by some member states to undermine Turkey’s membership prospects. The EC’s influence in the debate on the most appropriate approach to Turkey underlines its autonomous role within the EU system and the relevance of its norm-based argumentation. However, due to Turkey’s current alienation from the EU’s normative standards, norm-based arguments in favor of Turkey’s membership have lost much of their weight even within the Commission. Second, the EC has been an important ‘agent of change’ in Turkish domestic politics, even in times of deteriorating political relations with the EU. Because of its contributions to regular interactions, in particular, in the framework of projects financed by the EU’s Instrument for Pre-Accession Assistance, the EC has continued to increase administrative capacity and policy learning processes within Turkey’s bureaucracy, which, in turn, contributed to Ankara’s continued harmonization with the EUacquisin some sectors, despite the waning relevance of the EU’s conditionality strategy.</w:t>
      </w:r>
    </w:p>
    <w:p>
      <w:pPr/>
      <w:r>
        <w:rPr>
          <w:b/>
        </w:rPr>
        <w:t>POSSIBLE 2021:</w:t>
      </w:r>
      <w:r>
        <w:t xml:space="preserve"> Europeanization and EU–Turkey Relations: Three Domains, Four Periods — https://doi.org/10.1007/978-3-030-70890-0_5</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Abstract Europeanization is deservedly one of the most popular yet most volatile buzzwords for Turkish politics and EU–Turkey relations. This chapter takes stock of the Europeanization literature and examines the EU–Turkey relationship by referring to particular mechanisms and variants of Europeanization. The main argument is that Europeanization is a versatile and complex process covering vast areas of policy, politics, and polity, intertwined with larger domestic, regional, and global processes, which is not limited to Turkey’s EU accession. The analysis refers to particular mechanisms and variants of Europeanization in four different phases between 1963 and early 2020: In the first period, ‘Europeanization as rapprochement’, Turkey’s age-old Westernization project was consolidated through Europeanization. In the second period, ‘Europeanization as democratic conditionality’, there has been strong interest in the impact of Europeanization on particular aspects of domestic issues through conditionality and the EU’s role as a ‘democratization anchor’. In the third period, ‘Europeanization as retrenchment’, and the fourth period, ‘Europeanization as denial’, ‘Europe’ was no longer the lingua franca in the Turkish political landscape, a trend that is also associated with a ‘de-Europeanization’ turn in the literature. This does not mean that ‘Europe’ completely disappeared from dom</w:t>
      </w:r>
    </w:p>
    <w:p>
      <w:pPr>
        <w:pStyle w:val="Heading2"/>
      </w:pPr>
      <w:r>
        <w:t>897.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2026:</w:t>
      </w:r>
      <w:r>
        <w:t xml:space="preserve"> Reaction of European bank and non-bank financial equities to physical climate risk: Evidence from quantile dependence and time-varying predictability — https://doi.org/10.55214/2576-8484.v10i2.12260</w:t>
      </w:r>
    </w:p>
    <w:p>
      <w:pPr/>
      <w:r>
        <w:rPr>
          <w:b/>
        </w:rPr>
        <w:t>Shared claim-specific concepts:</w:t>
      </w:r>
      <w:r>
        <w:t xml:space="preserve"> banks, particularly, impacts, coverage; EU scope visible. This is a provisional connection, not an outcome finding.</w:t>
      </w:r>
    </w:p>
    <w:p>
      <w:pPr>
        <w:pStyle w:val="SourceNote"/>
      </w:pPr>
      <w:r>
        <w:rPr>
          <w:b/>
        </w:rPr>
        <w:t>Available abstract (not full text):</w:t>
      </w:r>
      <w:r>
        <w:t xml:space="preserve"> This study analyses the pricing of physical climate risk in European financial equity markets by looking at the differentiated responses of banks and non-bank financial institutions. Daily data from December 2012 to December 2023 are used to study the predictive, causal, and distributional effects of physical climate risk on sectoral equity returns. The measurement of physical climate hazard is through a new text-based Physical Climate Risk Index, created from coverage in European financial media, which captures real-time investor attention to climate-related hazards. In terms of methodology, it employs an extensive econometric framework that integrates the wild-bootstrap likelihood ratio test for assessing return predictability, time-varying causal changes, and cross-quantilograms for studying asymmetric quantile-dependent dependencies at short, medium, and long-run horizons. The results provide strong evidence that physical climate risk has a statistically significant adverse predictive effect on both banking and non-bank financial equity returns, with more pronounced impacts for non-bank institutions. Time-varying causality intensifies in periods of heightened climate stress, particularly around major heat waves, droughts, and wildfire episodes within Europe. Further cross-quantilogram results reveal substantial asymmetries, stronger downside effects in the short run, and ev</w:t>
      </w:r>
    </w:p>
    <w:p>
      <w:pPr/>
      <w:r>
        <w:rPr>
          <w:b/>
        </w:rPr>
        <w:t>POSSIBLE 2025:</w:t>
      </w:r>
      <w:r>
        <w:t xml:space="preserve"> Willingness, Motivators and Barriers to Time Bank Participation: A Scoping Review — https://doi.org/10.1101/2025.03.30.25324913</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1 Abstract Objective This scoping review systematically identifies the extent and nature of evidence regarding willingness, motivators, and barriers influencing community participation in time bank systems, with a focus on older adults. Introduction Time bank is recognized as an effective tool for enhancing social cohesion and reducing isolation, particularly among older adults. However, specific factors such as barriers and motivators driving participation remain underexplored. Design Scoping review. Methods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Results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willingess to participate across different populatio</w:t>
      </w:r>
    </w:p>
    <w:p>
      <w:pPr/>
      <w:r>
        <w:rPr>
          <w:b/>
        </w:rPr>
        <w:t>POSSIBLE 2025:</w:t>
      </w:r>
      <w:r>
        <w:t xml:space="preserve"> Analysis of Guangzhou time bank pilot policy — https://doi.org/10.54254/2977-5701/2025.27781</w:t>
      </w:r>
    </w:p>
    <w:p>
      <w:pPr/>
      <w:r>
        <w:rPr>
          <w:b/>
        </w:rPr>
        <w:t>Shared claim-specific concepts:</w:t>
      </w:r>
      <w:r>
        <w:t xml:space="preserve"> time, banks, not, actual; EU scope not established. This is a provisional connection, not an outcome finding.</w:t>
      </w:r>
    </w:p>
    <w:p>
      <w:pPr>
        <w:pStyle w:val="SourceNote"/>
      </w:pPr>
      <w:r>
        <w:rPr>
          <w:b/>
        </w:rPr>
        <w:t>Available abstract (not full text):</w:t>
      </w:r>
      <w:r>
        <w:t xml:space="preserve"> Over the past two decades, against the backdrop of a rapidly growing elderly population in China, eldercare issues have gained increasing attention and become a highly debated topic in society. Research indicates that the actual needs of the elderly lie not in financial resources, but rather in care and companionship. However, with modern youth frequently working overtime and having little time for companionship, how can the needs of the elderly be met? The emergence of the "Time Bank"a novel elderly care service platformaddresses this by establishing a community-based model to fulfill the diverse needs of the elderly. This paper introduces the Nansha Time Bank platform in Guangzhou, showcasing the promising development prospects of public welfare organizations and the localized implementation of the imported concept of time banks within contemporary Chinese society. By analyzing the strengths and weaknesses of time banks and summarizing the motivations and influencing factors that encourage service providers to participate, the following conclusions are drawn: First, time banks possess three key advantages: mobilizing public enthusiasm, addressing the shortage of service providers for the elderly, and alleviating the supply-demand imbalance. Second, this paper examines potential risks from three perspectives: developmental sustainability, activity accessibility, and participat</w:t>
      </w:r>
    </w:p>
    <w:p>
      <w:pPr/>
      <w:r>
        <w:rPr>
          <w:b/>
        </w:rPr>
        <w:t>POSSIBLE 2024:</w:t>
      </w:r>
      <w:r>
        <w:t xml:space="preserve"> Scope and challenges in the implementation of Time Bank in India: a qualitative study — https://doi.org/10.1007/s44282-024-00040-0</w:t>
      </w:r>
    </w:p>
    <w:p>
      <w:pPr/>
      <w:r>
        <w:rPr>
          <w:b/>
        </w:rPr>
        <w:t>Shared claim-specific concepts:</w:t>
      </w:r>
      <w:r>
        <w:t xml:space="preserve"> time, services, different, people; EU scope not established. This is a provisional connection, not an outcome finding.</w:t>
      </w:r>
    </w:p>
    <w:p>
      <w:pPr>
        <w:pStyle w:val="SourceNote"/>
      </w:pPr>
      <w:r>
        <w:rPr>
          <w:b/>
        </w:rPr>
        <w:t>Available abstract (not full text):</w:t>
      </w:r>
      <w:r>
        <w:t xml:space="preserve"> Abstract This paper explores the scope of services and challenges in implementing Time Bank in India. This community-based initiative allows people to exchange skills and services without the involvement of money. A qualitative study was conducted using semi-structured telephone interviews with 20 participants aged 18 to 35. Thematic analysis revealed four major themes: Services, Challenges and Limitations of Time Bank, Factors Affecting Help-Seeking Behavior, and Community and Gender Dynamics. Participants expressed interest in offering a wide range of services, from household tasks to professional services. However, challenges and limitations were also identified, such as a lack of awareness and understanding of the concept, social stigma, and concerns about trust, privacy, and safety issues. The study underscores the need to consider cultural and social factors while implementing community-based initiatives. Despite these challenges, participants believed Time Bank could be a valuable platform for building social connections and community support. The study's implications highlight the need for further research on the impact of Time Bank on social capital and the sustainability of the initiative in different cultural contexts.</w:t>
      </w:r>
    </w:p>
    <w:p>
      <w:pPr/>
      <w:r>
        <w:rPr>
          <w:b/>
        </w:rPr>
        <w:t>POSSIBLE 2024:</w:t>
      </w:r>
      <w:r>
        <w:t xml:space="preserve"> DEVELOPMENT OF REMOTE BANKING SERVICES OF COMMERCIAL BANKS IS A REQUIREMENT OF THE TIME — https://doi.org/10.5281/zenodo.21413961</w:t>
      </w:r>
    </w:p>
    <w:p>
      <w:pPr/>
      <w:r>
        <w:rPr>
          <w:b/>
        </w:rPr>
        <w:t>Shared claim-specific concepts:</w:t>
      </w:r>
      <w:r>
        <w:t xml:space="preserve"> time, banks, services; EU scope not established. This is a provisional connection, not an outcome finding.</w:t>
      </w:r>
    </w:p>
    <w:p>
      <w:pPr>
        <w:pStyle w:val="SourceNote"/>
      </w:pPr>
      <w:r>
        <w:rPr>
          <w:b/>
        </w:rPr>
        <w:t>Available abstract (not full text):</w:t>
      </w:r>
      <w:r>
        <w:t xml:space="preserve"> The article examines the increase in capital of commercial banks and the factors influencing it on the basis of theoretical and practical data. Also, based on the study of foreign experience, it is argued that the increase in asset quality in banks will directly improve the quality of credit services provided by banks, reduce problem loans and the use of credit scoring system. A number of specific aspects of the use of credit scoring system in improving the quality of assets of commercial banks have been studied in detail on the basis of theoretical and practical data, scientific proposals and practical recommendations have been developed on the basis of author’s approaches.</w:t>
      </w:r>
    </w:p>
    <w:p>
      <w:pPr/>
      <w:r>
        <w:rPr>
          <w:b/>
        </w:rPr>
        <w:t>POSSIBLE 2024:</w:t>
      </w:r>
      <w:r>
        <w:t xml:space="preserve"> Study on the Application of "Time Bank" to College Students' Volunteer Service System in the Context of Rural Revitalization — https://doi.org/10.54097/pbf0y096</w:t>
      </w:r>
    </w:p>
    <w:p>
      <w:pPr/>
      <w:r>
        <w:rPr>
          <w:b/>
        </w:rPr>
        <w:t>Shared claim-specific concepts:</w:t>
      </w:r>
      <w:r>
        <w:t xml:space="preserve"> time, services, they, not; EU scope not established. This is a provisional connection, not an outcome finding.</w:t>
      </w:r>
    </w:p>
    <w:p>
      <w:pPr>
        <w:pStyle w:val="SourceNote"/>
      </w:pPr>
      <w:r>
        <w:rPr>
          <w:b/>
        </w:rPr>
        <w:t>Available abstract (not full text):</w:t>
      </w:r>
      <w:r>
        <w:t xml:space="preserve"> With the idea of inclusiveness gradually penetrating into the philosophy of governance of colleges and universities, college students' volunteer activities are gradually enriched, and college students have become the most energetic group in youth volunteer activities. Student organizations and associations at the college or school level have become the main field and position for college students to carry out volunteer service activities in various colleges and universities. They arouse students' interest and achieve the purpose of recruiting college students' volunteers by means of credit awards, personal enhancement, and outings, etc., and then carry out volunteer service activities on the basis of which they provide various services for others or the society to promote the development and progress of China's society. According to the survey, college student volunteers have reached 83.1% of the total number of volunteers, college students have been the main force in the body. However, from the current situation, the conditions of volunteer service are still lacking, the contemporary university volunteer group students do not have a comprehensive understanding of volunteer service, awareness is weak, and volunteer activities are mostly top-down type of promotion, passive volunteer service also deviates from the original intention of the spirit of volunteerism. Therefore, with </w:t>
      </w:r>
    </w:p>
    <w:p>
      <w:pPr/>
      <w:r>
        <w:rPr>
          <w:b/>
        </w:rPr>
        <w:t>POSSIBLE 2024:</w:t>
      </w:r>
      <w:r>
        <w:t xml:space="preserve"> Tracing Bank Runs in Real Time — https://doi.org/10.59576/sr.1104</w:t>
      </w:r>
    </w:p>
    <w:p>
      <w:pPr/>
      <w:r>
        <w:rPr>
          <w:b/>
        </w:rPr>
        <w:t>Shared claim-specific concepts:</w:t>
      </w:r>
      <w:r>
        <w:t xml:space="preserve"> time, banks, not; EU scope not established. This is a provisional connection, not an outcome finding.</w:t>
      </w:r>
    </w:p>
    <w:p>
      <w:pPr>
        <w:pStyle w:val="SourceNote"/>
      </w:pPr>
      <w:r>
        <w:rPr>
          <w:b/>
        </w:rPr>
        <w:t>Available abstract (not full text):</w:t>
      </w:r>
      <w:r>
        <w:t xml:space="preserve"> We use high-frequency interbank payments data to trace deposit flows in March 2023 and identify twenty-two banks that suffered a run—significantly more than the two that failed but fewer than the number that experienced large negative stock returns. The runs were driven by large (institutional) depositors, rather than many small (retail) depositors. While the runs were related to weak fundamentals, we find evidence for the importance of coordination because run banks were disproportionately publicly traded and many banks with similarly bad fundamentals did not suffer a run. Banks that survived a run did so by borrowing new funds and then raising deposit rates—not by selling liquid securities.</w:t>
      </w:r>
    </w:p>
    <w:p>
      <w:pPr/>
      <w:r>
        <w:rPr>
          <w:b/>
        </w:rPr>
        <w:t>POSSIBLE 2024:</w:t>
      </w:r>
      <w:r>
        <w:t xml:space="preserve"> Inequality In Banks — https://doi.org/10.36948/ijfmr.2024.v06i02.15138</w:t>
      </w:r>
    </w:p>
    <w:p>
      <w:pPr/>
      <w:r>
        <w:rPr>
          <w:b/>
        </w:rPr>
        <w:t>Shared claim-specific concepts:</w:t>
      </w:r>
      <w:r>
        <w:t xml:space="preserve"> time, banks, particularly, services, all, value; EU scope not established. This is a provisional connection, not an outcome finding.</w:t>
      </w:r>
    </w:p>
    <w:p>
      <w:pPr>
        <w:pStyle w:val="SourceNote"/>
      </w:pPr>
      <w:r>
        <w:rPr>
          <w:b/>
        </w:rPr>
        <w:t>Available abstract (not full text):</w:t>
      </w:r>
      <w:r>
        <w:t xml:space="preserve"> This research paper delves into the challenges people, regardless of their age, face when dealing with money, especially in the context of banks where financial security should be paramount. Money plays a critical role in today's economy as a medium of exchange, unit of account, and store of value, impacting financial planning and security. However, the shift towards online banking has resulted in various errors, financial losses, and data breaches due to user inexperience. The paper suggests that allowing traditional banking as a secondary option could prevent these issues. Traditional banking, with its physical branches and face-to-face interactions, offers benefits such as in-person services, enhanced financial security, and reliable access to loans, making it a preferable choice for many. The research paper aims to shed light on the persistent issues surrounding net banking, or alternatively, the idea of internet banking in general. This may manifest as the person making irrevocable errors or as dishonest behaviour on the part of other parties. Reversal mechanisms, which need to be in place from the beginning, are missing, particularly when it comes to financial matters. When all of the foregoing is fully understood, most consumers would naturally choose a traditional banking option. To save time and money on operating expenses, the banks do not offer this option. The price</w:t>
      </w:r>
    </w:p>
    <w:p>
      <w:pPr/>
      <w:r>
        <w:rPr>
          <w:b/>
        </w:rPr>
        <w:t>POSSIBLE 2023:</w:t>
      </w:r>
      <w:r>
        <w:t xml:space="preserve"> Examining the Role of Motivation Cues from Narratives in Online Time Bank Participating Decisions — https://doi.org/10.21203/rs.3.rs-2694840/v1</w:t>
      </w:r>
    </w:p>
    <w:p>
      <w:pPr/>
      <w:r>
        <w:rPr>
          <w:b/>
        </w:rPr>
        <w:t>Shared claim-specific concepts:</w:t>
      </w:r>
      <w:r>
        <w:t xml:space="preserve"> time, banks, value; EU scope not established. This is a provisional connection, not an outcome finding.</w:t>
      </w:r>
    </w:p>
    <w:p>
      <w:pPr>
        <w:pStyle w:val="SourceNote"/>
      </w:pPr>
      <w:r>
        <w:rPr>
          <w:b/>
        </w:rPr>
        <w:t>Available abstract (not full text):</w:t>
      </w:r>
      <w:r>
        <w:t xml:space="preserve"> Abstract Time bank known as “Community/Neighborhood Pension”, provides a new solution to fulfill the unmet service needs of community members with idle community resources. The operation of time banks relies on the active participation of community members. Therefore, in this study we investigate the motivation of members to participate in web-based time banks from a service requirement narrative perspective. Drawing on grounded theory and self-determination theory, we built a model to assess how intrinsic and extrinsic cues underlying service requirement narratives affect time bank participation decisions of service providers. To test our hypotheses, we conducted a regression analysis of 12339 projects from the “Nansha Time Bank” (a web-based time bank) platform in China. We find that participants respond positively to time coin returns and narratives highlighting social connection and value fulfillment but respond negatively to service hour costs and empathy-altruism cues.</w:t>
      </w:r>
    </w:p>
    <w:p>
      <w:pPr>
        <w:pStyle w:val="Heading2"/>
      </w:pPr>
      <w:r>
        <w:t>898.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2025:</w:t>
      </w:r>
      <w:r>
        <w:t xml:space="preserve"> LEGAL ASPECTS OF INDUSTRIAL SYMBIOSIS IN THE TRANSPORT SECTOR — https://openalex.org/W7131341140</w:t>
      </w:r>
    </w:p>
    <w:p>
      <w:pPr/>
      <w:r>
        <w:rPr>
          <w:b/>
        </w:rPr>
        <w:t>Shared claim-specific concepts:</w:t>
      </w:r>
      <w:r>
        <w:t xml:space="preserve"> transport, sector, like, very, related, industrial; EU scope visible. This is a provisional connection, not an outcome finding.</w:t>
      </w:r>
    </w:p>
    <w:p>
      <w:pPr>
        <w:pStyle w:val="SourceNote"/>
      </w:pPr>
      <w:r>
        <w:rPr>
          <w:b/>
        </w:rPr>
        <w:t>Available abstract (not full text):</w:t>
      </w:r>
      <w:r>
        <w:t xml:space="preserve"> Transport has a significant harmful impact on the environment, contributing to air, water and soil pollution, greenhouse gas emissions, and climate change. Burning fossil fuels in transportation means releases large amounts of CO₂ and other pollutants, degrading air quality and contributing to global warming. Transport also causes noise pollution and habitat destruction due to infrastructure development like roads and highways. On the other hand, sustainable transport seeks to minimise these negative effects by promoting cleaner technologies, such as electric and hydrogen-powered vehicles, and improving fuel efficiency. Industrial symbiosis in the transport sector refers to collaborative efforts between companies to optimise resources, reduce waste, and improve energy efficiency. Industrial symbiosis in the transport sector can include recycling vehicles and their parts, using alternative fuels, sharing infrastructure, etc. There are several successful practical examples of industrial symbiosis in the transport sector. While no single legal framework is dedicated solely to industrial symbiosis in transport, the legal aspects of this concept are covered through broader regulations related to sustainability, the circular economy, and emissions reduction. These legal frameworks include European Union directives and Member States' national laws as well as international treaties and</w:t>
      </w:r>
    </w:p>
    <w:p>
      <w:pPr/>
      <w:r>
        <w:rPr>
          <w:b/>
        </w:rPr>
        <w:t>POSSIBLE 2025:</w:t>
      </w:r>
      <w:r>
        <w:t xml:space="preserve"> Evaluating the European transportation sector via energy and climate change mitigation perspectives — https://doi.org/10.1016/j.sftr.2025.100652</w:t>
      </w:r>
    </w:p>
    <w:p>
      <w:pPr/>
      <w:r>
        <w:rPr>
          <w:b/>
        </w:rPr>
        <w:t>Shared claim-specific concepts:</w:t>
      </w:r>
      <w:r>
        <w:t xml:space="preserve"> transport, sector, decision; EU scope visible. This is a provisional connection, not an outcome finding.</w:t>
      </w:r>
    </w:p>
    <w:p>
      <w:pPr>
        <w:pStyle w:val="SourceNote"/>
      </w:pPr>
      <w:r>
        <w:rPr>
          <w:b/>
        </w:rPr>
        <w:t>Available abstract (not full text):</w:t>
      </w:r>
      <w:r>
        <w:t xml:space="preserve"> Transportation is essential to a country's economic growth. However, it is one of the most energy-intensive processes, and its negative environmental consequences are expected to worsen with time. Without successful climate change mitigation measures, it is predicted that transportation's negative environmental consequences will worsen, accelerating global warming. Enhancing energy efficiency and fostering sustainable practices in transportation have become urgent priorities to mitigate climate change. It is essential to evaluate to what extent European Union (EU) countries perform efficiently in terms of transport sustainability. Hence, we use Multi-Criteria Decision Making (MCDM) and slack-based Data Envelopment Analysis (DEA) tto evaluate the energy performance in the transportation sector of the EU. As per the analysis results, those countries with high Gross Domestic Product (GDP) levels, such as Germany, France, and Italy have performed better in both MCDM and DEA. Further, the outcomes of our study suggest that the EU members still have an opportunity for efficiency growth. To the best of our knowledge, this is one of the rare studies that comparatively focus on the performance of the EU transport sector.</w:t>
      </w:r>
    </w:p>
    <w:p>
      <w:pPr/>
      <w:r>
        <w:rPr>
          <w:b/>
        </w:rPr>
        <w:t>POSSIBLE 2024:</w:t>
      </w:r>
      <w:r>
        <w:t xml:space="preserve"> Analyzing Labor Costs in The Transport and Storage Sector in European Countries Through Trend and Cluster Analysis:2007-2022 — https://doi.org/10.19168/jyasar.1345236</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Trends in the transport and storage industry's labor markets in Europe have significantly impacted changes in labor costs. Technological advancements, increased privatization and deregulation, and changes in global capital flows are among the key reasons that have resulted in significant changes in labor costs in the logistics sector during the last few decades, especially in Europe. The amount of remuneration for logistics personnel and its pace of change over time are essential aspects influencing not just capital investment choices but also country competitiveness. The clusters of countries with similar wage increases over time are also impacted by their economic, social, and ecological problems to a similar extent. The existence of probable trends in labor costs in transport and storage on a country level, as well as cluster analysis over the countries where the trend is found, will aid in revealing significant similarities and contrasts concerning the sector and the countries involved in the research. The Labor Cost Index (LCI), according to NACE Rev. 2 Activity-nominal value, quarterly data released by Eurostat was utilized for this research. Sixty-four quarterly periods have been covered between the first quarter of 2007 and the fourth quarter of 2022. The research was based on data collected from 23 different European countries. The Mann-Kendall trend test and Sen's slo</w:t>
      </w:r>
    </w:p>
    <w:p>
      <w:pPr/>
      <w:r>
        <w:rPr>
          <w:b/>
        </w:rPr>
        <w:t>POSSIBLE 2023:</w:t>
      </w:r>
      <w:r>
        <w:t xml:space="preserve"> Negative externalities in the transport sector: European efforts to align transport prices with external costs through market-based instruments — https://doi.org/10.4337/9781035317844.00022</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A clear paradigm shift is needed to implement the polluter pays principle and foster a sustainable transition in the transport sector. Among others, market-based instruments are an economically attractive means of reducing the negative externalities generated by transport. In fact, by influencing the prices, they can encourage behavioural change in transport use by supporting more sustainable transport options, making them economically more attractive to users. Various policy options are under scrutiny at European level to revise the transport sector. On one hand, the revision of the Energy Taxation Directive and of the Emissions Trading System are at the top of the EU political agenda and they affect different transport sectors. On the other hand, the revision of the Eurovignette Directive on the charging of heavy-goods vehicles for the use of certain infrastructures and the reform of vehicle taxation are also under discussion. This chapter aims to analyse the EU efforts to align transport prices with external costs, if they are coordinate and compliant with EU objectives, and what scenarios are opening up for the future of vehicle taxation.</w:t>
      </w:r>
    </w:p>
    <w:p>
      <w:pPr/>
      <w:r>
        <w:rPr>
          <w:b/>
        </w:rPr>
        <w:t>POSSIBLE 2023:</w:t>
      </w:r>
      <w:r>
        <w:t xml:space="preserve"> Driving towards a sustainable future: Transport sector innovation, climate change and social welfare — https://doi.org/10.1016/j.jclepro.2023.139250</w:t>
      </w:r>
    </w:p>
    <w:p>
      <w:pPr/>
      <w:r>
        <w:rPr>
          <w:b/>
        </w:rPr>
        <w:t>Shared claim-specific concepts:</w:t>
      </w:r>
      <w:r>
        <w:t xml:space="preserve"> transport, sector;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Adapting for Inertia — https://openalex.org/W7137589190</w:t>
      </w:r>
    </w:p>
    <w:p>
      <w:pPr/>
      <w:r>
        <w:rPr>
          <w:b/>
        </w:rPr>
        <w:t>Shared claim-specific concepts:</w:t>
      </w:r>
      <w:r>
        <w:t xml:space="preserve"> inertia, look; EU scope not established. This is a provisional connection, not an outcome finding.</w:t>
      </w:r>
    </w:p>
    <w:p>
      <w:pPr>
        <w:pStyle w:val="SourceNote"/>
      </w:pPr>
      <w:r>
        <w:rPr>
          <w:b/>
        </w:rPr>
        <w:t>Available abstract (not full text):</w:t>
      </w:r>
      <w:r>
        <w:t xml:space="preserve"> Despite much learning and research over many decades, large ICT software projects have continued to experience poor outcomes or fallen short of original expectations—some spectacularly so. This is the case in the Australian and New Zealand public sectors, even though these projects operate within historically developed institutional frameworks that provide the rules, guidelines and controls, and aim to consistently improve outcomes. Something is amiss. In Adapting for Inertia, Grant Douglas questions the effectiveness of these institutional frameworks in governing large ICT software projects in the Australian and New Zealand public sectors. He also gauges the perspectives of a large number of actors in projects in both sectors and examines two case studies in detail. The main narrative to emerge is that the institutional frameworks are in a state of inertia: they are failing to adapt, owing to various institutional factors—all of which have public policy implications. Sadly, Douglas finds, this inertia is likely to continue. If there is difficulty in changing the capacity to govern, he proposes, policymakers should look to change the nature of what is to be governed.</w:t>
      </w:r>
    </w:p>
    <w:p>
      <w:pPr/>
      <w:r>
        <w:rPr>
          <w:b/>
        </w:rPr>
        <w:t>POSSIBLE 2023:</w:t>
      </w:r>
      <w:r>
        <w:t xml:space="preserve"> Effects of Digitalization on Labor Market Development in Transport Sector in Post- Covid Environment — https://doi.org/10.37075/2023.4/ea.2023.4.05</w:t>
      </w:r>
    </w:p>
    <w:p>
      <w:pPr/>
      <w:r>
        <w:rPr>
          <w:b/>
        </w:rPr>
        <w:t>Shared claim-specific concepts:</w:t>
      </w:r>
      <w:r>
        <w:t xml:space="preserve"> transport, sector, like, related; EU scope visible. This is a provisional connection, not an outcome finding.</w:t>
      </w:r>
    </w:p>
    <w:p>
      <w:pPr>
        <w:pStyle w:val="SourceNote"/>
      </w:pPr>
      <w:r>
        <w:rPr>
          <w:b/>
        </w:rPr>
        <w:t>Available abstract (not full text):</w:t>
      </w:r>
      <w:r>
        <w:t xml:space="preserve"> The development of digitalization processes in a post-pandemic environment has the potential to seriously affect the labor market in the transport sector in South- Eastern European countries, which sector is not prepared for such a transformation. An increasing number of transport companies will face the dilemma of keeping their workforce or replacing it with digital devices and robots. The consequences of the COVID-19 pandemic, which led to many small and medium-sized enterprises bankruptcies in the sector, will make it even more difficult for transport companies to remain competitive both on the national and European transport market. Based on statistical and descriptive analysis, the article aims to forecast the emerging trends in the sector and to give recommendations for a smooth transition, considering the specifics of the transport sector in terms of social and technological sustainability. The study identifies the problems, related to the digitalization of the transport sector and reveals the possibilities for their overcoming in regard to road passenger carriages in intercity lines in developing countries with transition economies like Bulgaria.</w:t>
      </w:r>
    </w:p>
    <w:p>
      <w:pPr/>
      <w:r>
        <w:rPr>
          <w:b/>
        </w:rPr>
        <w:t>POSSIBLE 2023:</w:t>
      </w:r>
      <w:r>
        <w:t xml:space="preserve"> Decarbonising Transport in the European Union — https://doi.org/10.30722/anzjes.vol15.iss1.17371</w:t>
      </w:r>
    </w:p>
    <w:p>
      <w:pPr/>
      <w:r>
        <w:rPr>
          <w:b/>
        </w:rPr>
        <w:t>Shared claim-specific concepts:</w:t>
      </w:r>
      <w:r>
        <w:t xml:space="preserve"> transport, sector, aiming; EU scope visible. This is a provisional connection, not an outcome finding.</w:t>
      </w:r>
    </w:p>
    <w:p>
      <w:pPr>
        <w:pStyle w:val="SourceNote"/>
      </w:pPr>
      <w:r>
        <w:rPr>
          <w:b/>
        </w:rPr>
        <w:t>Available abstract (not full text):</w:t>
      </w:r>
      <w:r>
        <w:t xml:space="preserve"> In its emerging role as a climate leader, the European Union is aiming to become the first carbon neutral continent by 2050 (European Commission, 2019). This involves ambitious measures to decarbonise by i.a. reducing emissions in the transport sector. However while other EU sectors have decreased emissions since 1990, transport has experienced an increase. It seems unlikely that reduction rates will be reachd with the currently proposed solutions. Further action and policy change will be required to achieve these aims.</w:t>
      </w:r>
    </w:p>
    <w:p>
      <w:pPr/>
      <w:r>
        <w:rPr>
          <w:b/>
        </w:rPr>
        <w:t>POSSIBLE 2022:</w:t>
      </w:r>
      <w:r>
        <w:t xml:space="preserve"> Institutional and organisational change in the German rail transport sector. Working paper 3 of the study LowCarb-RFC - European Rail Freight Corridors going Carbon Neutral — https://doi.org/10.24406/publica-fhg-299027</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The paper asks how the modal shift from road to rail in the freight sector is sup-ported by institutional change. Following North (1990), institutions are understood as the "rules of the game" in the rail freight sector. Based on the literature on institutional change, four different perspectives and mechanisms can be dis-cerned: institutional design, collective action, institutional adaptation, and institu-tional diffusion. Each of these perspectives examines the situation in the German rail freight sector from a different angle. Based on this analysis, processes of institutional change and their potential impact on modal shift are discussed. Fol-lowing the railway reform, new domestic and foreign competitors of DB Cargo have entered the rail freight market with business models tailored to promising segments. At the same time, this competition has triggered a transformative or-ganisational change initiative at DB Cargo, which is currently in the process of implementation. Even though the success of this initiatives is highly uncertain, in total, the described changes are likely to result in a higher competitiveness of the sector and a stronger orientation to customer needs. Furthermore, the road freight sector has increasingly come under political pressure due to its rising GHG emissions and rail transport is increasingly seen as a viable alternative. In this respect, the rece</w:t>
      </w:r>
    </w:p>
    <w:p>
      <w:pPr/>
      <w:r>
        <w:rPr>
          <w:b/>
        </w:rPr>
        <w:t>POSSIBLE 2022:</w:t>
      </w:r>
      <w:r>
        <w:t xml:space="preserve"> A review on Rail Transport in Europe and Italy — https://doi.org/10.1109/eeeic/icpseurope54979.2022.9854799</w:t>
      </w:r>
    </w:p>
    <w:p>
      <w:pPr/>
      <w:r>
        <w:rPr>
          <w:b/>
        </w:rPr>
        <w:t>Shared claim-specific concepts:</w:t>
      </w:r>
      <w:r>
        <w:t xml:space="preserve"> transport, sector, evolution; EU scope visible. This is a provisional connection, not an outcome finding.</w:t>
      </w:r>
    </w:p>
    <w:p>
      <w:pPr>
        <w:pStyle w:val="SourceNote"/>
      </w:pPr>
      <w:r>
        <w:rPr>
          <w:b/>
        </w:rPr>
        <w:t>Available abstract (not full text):</w:t>
      </w:r>
      <w:r>
        <w:t xml:space="preserve"> The paper describes the state of the art of passenger and freight rail transport in Italy and Europe taken into account market demand, consumption, emissions and costs. Present and future scenarios are analyzed (projections towards 2030 and 2050) to observe the evolution of rail transport and to evaluate how the demand for mobility will change and how the new development frontiers will impact pollution and economic management. Summarizing, the paper identifies the policies implemented to promote the railway sector and the existing limits to its development.</w:t>
      </w:r>
    </w:p>
    <w:p>
      <w:pPr>
        <w:pStyle w:val="Heading2"/>
      </w:pPr>
      <w:r>
        <w:t>899.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2022:</w:t>
      </w:r>
      <w:r>
        <w:t xml:space="preserve"> Effect of Response Cards on Academic Outcomes — https://doi.org/10.57709/2058654</w:t>
      </w:r>
    </w:p>
    <w:p>
      <w:pPr/>
      <w:r>
        <w:rPr>
          <w:b/>
        </w:rPr>
        <w:t>Shared claim-specific concepts:</w:t>
      </w:r>
      <w:r>
        <w:t xml:space="preserve"> cards, high, time; EU scope not established. This is a provisional connection, not an outcome finding.</w:t>
      </w:r>
    </w:p>
    <w:p>
      <w:pPr>
        <w:pStyle w:val="SourceNote"/>
      </w:pPr>
      <w:r>
        <w:rPr>
          <w:b/>
        </w:rPr>
        <w:t>Available abstract (not full text):</w:t>
      </w:r>
      <w:r>
        <w:t xml:space="preserve"> Response cards (RC) support effective teaching strategies such as maintaining a brisk pace of instruction, increased opportunities to respond, immediate and frequent corrective feedback, and high rates of behavior specific praise statements; all of which have been effective in increasing student engagement for students with and without emotional and behavioral disorders (E/BD) (Emmer &amp; Stough, 2001; Simonsen et al., 2008; Sutherland, Wehby, &amp; Copeland, 2000). RC during academic instruction are successful in decreasing disruptive behavior, increasing student participation, and increasing academic achievement from the elementary school level to the university level. This study examined teacher implementation of RC at the high school level for students without disabilities and students with disabilities with a history of challenging behaviors (i.e., students with a disability and a behavior intervention plan) in general education classes required for high school graduation. The purpose of this study was to evaluate the effect of RC compared to hand raising (HR) in inclusive general education classrooms. An alternating treatment design was implemented to examine the potential functional relation between the use of RC, student engagement, and academic achievement. RC (i.e., 8? x 11? laminated write -on cards) were randomly alternated with the more traditional method of HR which allo</w:t>
      </w:r>
    </w:p>
    <w:p>
      <w:pPr/>
      <w:r>
        <w:rPr>
          <w:b/>
        </w:rPr>
        <w:t>POSSIBLE 2022:</w:t>
      </w:r>
      <w:r>
        <w:t xml:space="preserve"> Developing disruptive mobility scenarios for rural areas. Participatory mobility scenario building in a Belgian village for the year 2050 — https://doi.org/10.1186/s12544-022-00555-0</w:t>
      </w:r>
    </w:p>
    <w:p>
      <w:pPr/>
      <w:r>
        <w:rPr>
          <w:b/>
        </w:rPr>
        <w:t>Shared claim-specific concepts:</w:t>
      </w:r>
      <w:r>
        <w:t xml:space="preserve"> wild, cards, high; EU scope not established. This is a provisional connection, not an outcome finding.</w:t>
      </w:r>
    </w:p>
    <w:p>
      <w:pPr>
        <w:pStyle w:val="SourceNote"/>
      </w:pPr>
      <w:r>
        <w:rPr>
          <w:b/>
        </w:rPr>
        <w:t>Available abstract (not full text):</w:t>
      </w:r>
      <w:r>
        <w:t xml:space="preserve"> Background: Historically, quantitative forecasting methods have been used in transport planning. As forecasts can be unreliable to plan for the medium- and long-term, scenario building has recently been increasingly used. However, scenario building methods often fail to take disruptions and wild cards into account, i.e., low probability but high impact events. When unaccounted for, wild card events, like the COVID-19 pandemic, lower the efficacy of scenario building in policy making, as these events may completely disturb the developed scenarios of the future. Methods: In this paper, we develop and apply a creative and participatory methodology to develop visions and disrupted scenarios for rural mobility. Our research was carried out in the Belgian village of Oetingen, where inhabitants developed more resilient views of the future by creating disrupted mobility scenarios and a preferred mobility vision for their village for the year 2050 in a participatory scenario building exercise. Wild cards related to mobility were collected from mobility experts and inhabitants in three workshops. Inhabitants were engaged to define their mobility vision on a postcard that was distributed to all houses in the village as well as on a project website. Respondents were invited for a follow-up interview in which their preferred mobility vision was subjected to the wild cards, and participants </w:t>
      </w:r>
    </w:p>
    <w:p>
      <w:pPr/>
      <w:r>
        <w:rPr>
          <w:b/>
        </w:rPr>
        <w:t>POSSIBLE 2022:</w:t>
      </w:r>
      <w:r>
        <w:t xml:space="preserve"> Estimation of the Wild Boar Population in Southern Italian Apennines by Pellet Count Group Technic: A Preliminary Study — https://doi.org/10.9734/bpi/ecees/v2/1807a</w:t>
      </w:r>
    </w:p>
    <w:p>
      <w:pPr/>
      <w:r>
        <w:rPr>
          <w:b/>
        </w:rPr>
        <w:t>Shared claim-specific concepts:</w:t>
      </w:r>
      <w:r>
        <w:t xml:space="preserve"> several, wild, cards; EU scope visible. This is a provisional connection, not an outcome finding.</w:t>
      </w:r>
    </w:p>
    <w:p>
      <w:pPr>
        <w:pStyle w:val="SourceNote"/>
      </w:pPr>
      <w:r>
        <w:rPr>
          <w:b/>
        </w:rPr>
        <w:t>Available abstract (not full text):</w:t>
      </w:r>
      <w:r>
        <w:t xml:space="preserve"> Today the development of wild ungulates represents one of the most relevant changes of the Italian wildlife in the last decades. The occurrence of damages by wild boars raised dramatically in the last decades and amounts to hundreds of thousands of Euros per year in several European countries. Knowledge of distribution, abundance and population dynamics is essential for their correct management, especially for the Wild boar (Sus scrofa) considering its impact on the natural and agricultural ecosystem. This paper proposes an estimate of the wild boar population in a study area, located in the south / south-eastern part of the Italian Apennines. The census technique was planned through field inspections and cartographic elaborations using GiS software and the Pellet Count Group technic. The data of the Pellet Group discovery were marked on special field cards. 7.010 linear meters and 14.020 m2 were crossed; 12 Pellets Group were found. From this database and knowing the extent of each specific habitat it was detected the presence of about 7/8 animals per 100 ha. These densities, projected by the number of hectares of each analyzed habitat, indicate a presence of animals ranging between 187 and 164. Considering that, the optimal density for the study area would be about 47 animals per 100 ha, this means that the real density exceeds considerably these values. Therefore, the popula</w:t>
      </w:r>
    </w:p>
    <w:p>
      <w:pPr/>
      <w:r>
        <w:rPr>
          <w:b/>
        </w:rPr>
        <w:t>POSSIBLE 2021:</w:t>
      </w:r>
      <w:r>
        <w:t xml:space="preserve"> Animal Behavior Cards — https://doi.org/10.4324/9781003235828-33</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Name: _____________________________________________ Date: _________________ Meerkats Meerkats are small mammals that are members of the mongoose family. They are the only members of the mongoose family that do not have bushy tails. They use their strong tails to help them balance when they are standing up. These squirrel-sized animals live in deserts and grasslands in Southern Africa. Meerkats live in burrows that they dig with their claws. Their claws are long and strong, which make them good for digging. They have a special membrane over their eyes that protect them as they dig. These cute and furry animals are very social and live in groups of up to 40 that are called “mobs,” “gangs,” or “clans.” Because meerkats live primarily underground, they can stay safe from predators. Their burrows are as deep as 15 feet and have different entrances, tunnels, and rooms. Meerkats sleep in their burrows, but as the sun rises, they emerge and look for food. As some meerkats search for food, others stand guard watching out for predators. If the meerkat on guard sees a predator, it loudly barks to warn the others. They have different barks and whistles for different types of threats. Meerkats have good eyesight and sense of smell, which guides them in looking for spiders, caterpillars, scorpions, and the other small critters that they eat. As some meerkats are hunting and looking out for p</w:t>
      </w:r>
    </w:p>
    <w:p>
      <w:pPr/>
      <w:r>
        <w:rPr>
          <w:b/>
        </w:rPr>
        <w:t>POSSIBLE 2021:</w:t>
      </w:r>
      <w:r>
        <w:t xml:space="preserve"> The unresolved question on COVID‐19 virus origin: The three cards game? — https://doi.org/10.1002/jmv.27519</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The ongoing discussion about the real origin of the severe acute respiratory syndrome coronavirus 2 (SARS-CoV-2) feeds acrimonious debates. Where did SARS-CoV-2 come from? Was SARS-CoV-2 transmitted in the wild from an animal to a person before exploding in Wuhan or was it an engineered virus that escaped from research or a laboratory in Wuhan? Right now, we still don't know enough whether SARS-CoV-2 is human-made or not, and lab-leak theories remain essentially speculative. Many recent studies have pointed out several plausible scenarios. Anyhow, currently, even if suspicions by some about the possibility of lab-leak hypothesis still remain, the consensus view is that the pandemic probably started from a natural source and, to determine the real origin of the SARS-CoV-2 virus, further research is needed.</w:t>
      </w:r>
    </w:p>
    <w:p>
      <w:pPr/>
      <w:r>
        <w:rPr>
          <w:b/>
        </w:rPr>
        <w:t>POSSIBLE 2021:</w:t>
      </w:r>
      <w:r>
        <w:t xml:space="preserve"> Long-Term Motor Learning in the “Wild” With High Volume Video Game Data — https://doi.org/10.3389/fnhum.2021.777779</w:t>
      </w:r>
    </w:p>
    <w:p>
      <w:pPr/>
      <w:r>
        <w:rPr>
          <w:b/>
        </w:rPr>
        <w:t>Shared claim-specific concepts:</w:t>
      </w:r>
      <w:r>
        <w:t xml:space="preserve"> several, wild, high, time; EU scope not established. This is a provisional connection, not an outcome finding.</w:t>
      </w:r>
    </w:p>
    <w:p>
      <w:pPr>
        <w:pStyle w:val="SourceNote"/>
      </w:pPr>
      <w:r>
        <w:rPr>
          <w:b/>
        </w:rPr>
        <w:t>Available abstract (not full text):</w:t>
      </w:r>
      <w:r>
        <w:t xml:space="preserve"> Abstract Motor learning occurs over long periods of practice during which motor acuity – the ability to execute actions more accurately, precisely, and within a shorter amount of time – improves. Laboratory-based motor learning studies are typically limited to a small number of participants and a time frame of minutes to several hours per participant. Thus, there is a need to assess the generalizability of theories and findings from lab-based motor learning studies on much larger samples across longer time scales. In addition, laboratory-based studies of motor learning use relatively simple motor tasks which participants are unlikely to be intrinsically motivated to learn, limiting the interpretation of their findings in more ecologically valid settings. We studied the acquisition and longitudinal refinement of a complex sensorimotor skill embodied in a first-person shooter video game scenario, with a large sample size (N = 7174 participants, 682,564 repeats of the 60 sec game) over a period of months. Participants voluntarily practiced the gaming scenario for as much as several hours per day up to 100 days. We found improvement in performance accuracy (quantified as hit rate) was modest over time but motor acuity (quantified as hits per second) improved considerably, with 40-60% retention from one day to the next. We observed steady improvements in motor acuity across multiple</w:t>
      </w:r>
    </w:p>
    <w:p>
      <w:pPr>
        <w:pStyle w:val="Heading2"/>
      </w:pPr>
      <w:r>
        <w:t>900.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2025:</w:t>
      </w:r>
      <w:r>
        <w:t xml:space="preserve"> Trade-offs in the collaborative design of a B2B eco-label for the European railway sector — https://doi.org/10.1016/j.procir.2025.08.025</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As the European railway sector is committed to improving its sustainability, a consortium of railway organizations for the European Union is working on the development of an eco-label for the sector. This paper explores the design choices that present themselves during the co-design of this label, which aims to track improvements, communicate and share, and push suppliers to improve with respect to the three indicators: GHG/CO2 emissions, circularity, and energy efficiency. The findings highlight the inherent trade-offs in the design of an eco-label and discuss ways to improve the intuitive understanding of these trade-offs within the context of co-design.</w:t>
      </w:r>
    </w:p>
    <w:p>
      <w:pPr/>
      <w:r>
        <w:rPr>
          <w:b/>
        </w:rPr>
        <w:t>POSSIBLE 2025:</w:t>
      </w:r>
      <w:r>
        <w:t xml:space="preserve"> Law by design obligations: The future of regulating digital technologies in Europe? — https://doi.org/10.1016/j.clsr.2025.106232</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Law by design obligations refer to a growing, dynamic approach in European technology law. This article examines this trend by establishing a definition of law by design obligations based on three key elements: their focus on the creation and development of technologies throughout the lifecycle, their aim to incorporate and achieve legal goals in these processes, and the discretion they afford in complying with such obligations. The study shows an evolving practice with legal roots in 1970s data protection. Initially focused on data protection and security, such obligations have expanded to 45 design goals in European legislation. This growth in breadth and depth indicates their increased importance, which has not been previously examined. The analysis of regulatory practice uncovers significant choices that shape how these obligations function: this includes the legal scope defining applicability through various limitations and thresholds; goals establishing how principles serve as aims with different levels of detail and potential conflicts; procedural dimensions organizing iterative processes of assessment, measures, and proportionality; collective dimensions of knowledge governance enabling learning within and across organizations; and accountability dimensions ensuring compliance through documentation, specialized roles, and enforcement mechanisms. These choices demonstrat</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design, three, changing;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2024:</w:t>
      </w:r>
      <w:r>
        <w:t xml:space="preserve"> Exposure of Pharmacists and Pharmacy Technicians to Violence in Community Pharmacies in Southeast Europe: Frequency and Ethical Considerations — https://doi.org/10.3390/pharmacy12030088</w:t>
      </w:r>
    </w:p>
    <w:p>
      <w:pPr/>
      <w:r>
        <w:rPr>
          <w:b/>
        </w:rPr>
        <w:t>Shared claim-specific concepts:</w:t>
      </w:r>
      <w:r>
        <w:t xml:space="preserve"> aims, community, pharmacists, health, all; EU scope visible. This is a provisional connection, not an outcome finding.</w:t>
      </w:r>
    </w:p>
    <w:p>
      <w:pPr>
        <w:pStyle w:val="SourceNote"/>
      </w:pPr>
      <w:r>
        <w:rPr>
          <w:b/>
        </w:rPr>
        <w:t>Available abstract (not full text):</w:t>
      </w:r>
      <w:r>
        <w:t xml:space="preserve"> Pharmacists and pharmacy technicians working in community pharmacies are exposed to the risk of violence in their workplaces. Studies have shown that workplace violence is affecting their job satisfaction, productivity, and mental health. This study aims to identify the frequency of different types of violence, as well as the common perpetrators that community pharmacy staff in SEE (Southeast Europe) are dealing with. A cross-sectional study was conducted using an online questionnaire created for this purpose. Selected community pharmacies in Croatia, Serbia, Bosnia and Herzegovina, and Montenegro participated in this study. In total, 732 responses were collected from 24 pharmacy chains or independent pharmacies including all community pharmacy staff. More than 80% of pharmacists and pharmacy technicians reported having been exposed to verbal violence at the workplace, while more than 20% of them reported physical and sexual violence in the preceding 12 months. There were no statistically significant differences between pharmacists and pharmacy technicians, gender, age groups, or countries in relation to exposure to physical, verbal, and sexual violence. The most common perpetrators were identified as patients/clients. More than 90% of pharmacy staff reported they did not receive any kind of support from their employer nor any other help after experiencing a robbery. There is a</w:t>
      </w:r>
    </w:p>
    <w:p>
      <w:pPr/>
      <w:r>
        <w:rPr>
          <w:b/>
        </w:rPr>
        <w:t>POSSIBLE 2024:</w:t>
      </w:r>
      <w:r>
        <w:t xml:space="preserve"> Three pathways for standardisation and ethical disclosure by default under the European union artificial intelligence act — https://doi.org/10.1016/j.clsr.2024.105957</w:t>
      </w:r>
    </w:p>
    <w:p>
      <w:pPr/>
      <w:r>
        <w:rPr>
          <w:b/>
        </w:rPr>
        <w:t>Shared claim-specific concepts:</w:t>
      </w:r>
      <w:r>
        <w:t xml:space="preserve"> aims, design, three, develop, services; EU scope visible. This is a provisional connection, not an outcome finding.</w:t>
      </w:r>
    </w:p>
    <w:p>
      <w:pPr>
        <w:pStyle w:val="SourceNote"/>
      </w:pPr>
      <w:r>
        <w:rPr>
          <w:b/>
        </w:rPr>
        <w:t>Available abstract (not full text):</w:t>
      </w:r>
      <w:r>
        <w:t xml:space="preserve"> Under its proposed Artificial Intelligence Act (‘AIA’), the European Union seeks to develop harmonised standards involving abstract normative concepts such transparency, fairness, and accountability. Applying such concepts inevitably requires answering hard normative questions. Considering this challenge, we argue that there are three possible pathways for future standardisation under the AIA. First, European standard-setting organisations (‘SSOs’) could answer hard normative questions themselves. This approach would raise concerns about its democratic legitimacy. Standardisation is a technical discourse and tends to exclude non-expert stakeholders and the public at large. Second, instead of passing their own normative judgments, SSOs could track the normative consensus they find available. By analysing the standard-setting history of one major SSO, we show that such consensus tracking has historically been its pathway of choice. If standardisation under the AIA took the same route, we demonstrate how this would lead to a false sense of safety as the process is not infallible. Consensus tracking would furthermore push the need to solve unavoidable normative problems down the line. Instead of regulators, AI developers and/or users could define what, for example, fairness requires. By the institutional design of its AIA, the European Commission would have essentially kicked the ‘</w:t>
      </w:r>
    </w:p>
    <w:p>
      <w:pPr/>
      <w:r>
        <w:rPr>
          <w:b/>
        </w:rPr>
        <w:t>POSSIBLE 2024:</w:t>
      </w:r>
      <w:r>
        <w:t xml:space="preserve"> EUROPEAN PRINCIPLES OF UNIVERSAL DESIGN AND THEIR APPLICATION IN THE ARCHITECTURE OF UKRAINIAN CITIES — https://doi.org/10.31650/2786-6696-2024-9-41-47</w:t>
      </w:r>
    </w:p>
    <w:p>
      <w:pPr/>
      <w:r>
        <w:rPr>
          <w:b/>
        </w:rPr>
        <w:t>Shared claim-specific concepts:</w:t>
      </w:r>
      <w:r>
        <w:t xml:space="preserve"> design, three, system, all; EU scope visible. This is a provisional connection, not an outcome finding.</w:t>
      </w:r>
    </w:p>
    <w:p>
      <w:pPr>
        <w:pStyle w:val="SourceNote"/>
      </w:pPr>
      <w:r>
        <w:rPr>
          <w:b/>
        </w:rPr>
        <w:t>Available abstract (not full text):</w:t>
      </w:r>
      <w:r>
        <w:t xml:space="preserve"> The values of a solidary and democratic society, based on the principles of equality, significantly influenced the conceptual and practical principles of design throughout the Modern era. To a large extent, the formative base of modernism – the leading worldview trend that defined the architecture of the 20th and early 21st centuries – is connected with them. One of the important stages in the development of this process was the spread since the 1980s "universal design" concept that aimed at creating a more inclusive space, avoiding various forms of isolation and inequality depending on the physical abilities of a person. Currently, theoretical and practical achievements in this area make it possible to talk about a holistic system of views on design, which, however, still remains largely unrealized to the extent that the goals of universal design can be considered generally achieved. Nevertheless, thanks to the implementation of a number of initiatives and programs, inclusive and friendly environments for different groups have begun to emerge in many European cities, which testify to the benefits of the "design for all" concept. In addition to the purely humanistic aspect, it also gives cities advantages in terms of a more complete use of human potential, maintaining a high economic and social attractiveness, which ultimately increases the competitive indicators of the city. T</w:t>
      </w:r>
    </w:p>
    <w:p>
      <w:pPr/>
      <w:r>
        <w:rPr>
          <w:b/>
        </w:rPr>
        <w:t>POSSIBLE 2023:</w:t>
      </w:r>
      <w:r>
        <w:t xml:space="preserve"> European bee diversity: Taxonomic and phylogenetic patterns — https://doi.org/10.1111/jbi.14614</w:t>
      </w:r>
    </w:p>
    <w:p>
      <w:pPr/>
      <w:r>
        <w:rPr>
          <w:b/>
        </w:rPr>
        <w:t>Shared claim-specific concepts:</w:t>
      </w:r>
      <w:r>
        <w:t xml:space="preserve"> aims, design, three, develop, conclusions, clear; EU scope visible. This is a provisional connection, not an outcome finding.</w:t>
      </w:r>
    </w:p>
    <w:p>
      <w:pPr>
        <w:pStyle w:val="SourceNote"/>
      </w:pPr>
      <w:r>
        <w:rPr>
          <w:b/>
        </w:rPr>
        <w:t>Available abstract (not full text):</w:t>
      </w:r>
      <w:r>
        <w:t xml:space="preserve"> Abstract Aim Wild bees still face striking shortfalls in knowledge of biodiversity in key regions of the world. This includes Europe, where despite a long tradition of data gathering, the continental scale distribution patterns of wild bees have not been systematically analysed to date. This study aims to characterise large‐scale biodiversity patterns to: (i) understand spatial–temporal heterogeneity in large‐scale databases, (ii) locate genuine diversity hotspots and their relationship with biogeographical patterns or habitats of interests and (iii) identify understudied species and areas to further design conservation actions for most at risk species in key regions. Location Europe. Taxon Bees. Methods We present a continental and standardised study of bee taxonomic and phylogenetic diversity patterns in Europe, using a large compilation of occurrence records of nearly three million validated occurrence records for 1515 wild bee species. Results Southern and eastern Europe suffer from the largest gaps in data availability while northern and western regions benefit from better historical coverage. Our models show that higher wild bee diversity in Europe is hosted in xeric, warm areas, as highlighted by a clear latitudinal gradient. However, phylogenetic diversity is predicted to be more homogenous across Europe than taxonomic diversity, suggesting that policies and strategies </w:t>
      </w:r>
    </w:p>
    <w:p>
      <w:pPr/>
      <w:r>
        <w:rPr>
          <w:b/>
        </w:rPr>
        <w:t>POSSIBLE 2023:</w:t>
      </w:r>
      <w:r>
        <w:t xml:space="preserve"> Institutionalised distrust and human oversight of artificial intelligence: towards a democratic design of AI governance under the European Union AI Act — https://doi.org/10.1007/s00146-023-01777-z</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Human oversight has become a key mechanism for the governance of artificial intelligence ("AI"). Human overseers are supposed to increase the accuracy and safety of AI systems, uphold human values, and build trust in the technology. Empirical research suggests, however, that humans are not reliable in fulfilling their oversight tasks. They may be lacking in competence or be harmfully incentivised. This creates a challenge for human oversight to be effective. In addressing this challenge, this article aims to make three contributions. First, it surveys the emerging laws of oversight, most importantly the European Union's Artificial Intelligence Act ("AIA"). It will be shown that while the AIA is concerned with the competence of human overseers, it does not provide much guidance on how to achieve effective oversight and leaves oversight obligations for AI developers underdefined. Second, this article presents a novel taxonomy of human oversight roles, differentiated along whether human intervention is constitutive to, or corrective of a decision made or supported by an AI. The taxonomy allows to propose suggestions for improving effectiveness tailored to the type of oversight in question. Third, drawing on scholarship within democratic theory, this article formulates six normative principles which institutionalise distrust in human oversight of AI. The institutionalisation of dis</w:t>
      </w:r>
    </w:p>
    <w:p>
      <w:pPr>
        <w:pStyle w:val="Heading2"/>
      </w:pPr>
      <w:r>
        <w:t>901.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2026:</w:t>
      </w:r>
      <w:r>
        <w:t xml:space="preserve"> A Critical Assessment of the EU’s Digital Omnibus Regulation Proposal and its Impact on the GDPR — https://doi.org/10.1163/15718093-bja10181</w:t>
      </w:r>
    </w:p>
    <w:p>
      <w:pPr/>
      <w:r>
        <w:rPr>
          <w:b/>
        </w:rPr>
        <w:t>Shared claim-specific concepts:</w:t>
      </w:r>
      <w:r>
        <w:t xml:space="preserve"> hope, affect, union, commission; EU scope visible. This is a provisional connection, not an outcome finding.</w:t>
      </w:r>
    </w:p>
    <w:p>
      <w:pPr>
        <w:pStyle w:val="SourceNote"/>
      </w:pPr>
      <w:r>
        <w:rPr>
          <w:b/>
        </w:rPr>
        <w:t>Available abstract (not full text):</w:t>
      </w:r>
      <w:r>
        <w:t xml:space="preserve"> Abstract In this article we assess the European Commission’s recent proposal for a Digital Omnibus Regulation, which seeks to encourage economic growth and innovation in the EU while simultaneously protecting the fundamental rights of Europeans, including promotion of data protection, safety, and fairness. We focus on the proposal insofar as it seeks to ‘simplify existing rules’ of the EU’s General Data Protection Regulation ( GDPR ), and in particular aspects that we think are problematic in light of our expertise in the areas of health and scientific research. We find that many of changes proposed to the GDPR within in the Digital Omnibus Regulation proposal are a retrograde step in fundamental rights protection and, as currently drafted, they will fail to boost research and innovation in the health and medical sectors in the EU. We argue that several propositions in fact substantially change the GDPR , including aspects of which appear to deviate from or misinterpret judgments of the Court of Justice of the European Union, and these changes therefore materially affect the level of protection afforded to data subjects. We express hope that as the Digital Omnibus Regulation is considered during the ‘trilogue’ negotiations at the Council and Parliamentary levels, these limitations will be addressed and aspects of the GDPR that do genuinely need reform are taken up, but with a c</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2024:</w:t>
      </w:r>
      <w:r>
        <w:t xml:space="preserve"> Language as Hope — https://doi.org/10.1017/9781009306508</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Although it feels like we live in a time of seeming hopelessness, this pioneering book illustrates what language can teach us about the practice, logic, and feasibility of hope in the twenty-ﬁrst century. Silva and Lee highlight how people living in Brazilian urban peripheries, who have grown accustomed to unrelenting prejudice and violence on an everyday basis, use language to survive and imagine futures that are worth aspiring to. In so doing, this book foregrounds how language becomes a matter of survival for these communities. It provides a thorough theorization of how language can produce conditions of hope, moving away from the idea of language merely as a tool of communication and toward something that can meaningfully impact social realities. Innovative and engaging, it is essential reading for researchers and students in applied linguistics, sociolinguistics and linguistic anthropology. This title is also available as open access on Cambridge Core.</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2023:</w:t>
      </w:r>
      <w:r>
        <w:t xml:space="preserve"> A Perceptual Theory of Hope — https://doi.org/10.32920/24624681</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 We argue that shortcomings in recent theories of hope have methodological roots in that they proceed with little regard for the rich body of literature on the emotions. Taking insights from work in the philosophy of emotions, we argue that hope involves a kind of normative perception. We then develop a strategy for determining the content of this perception, arguing that hope is a perception of practical reasons. Our proposal stands in contrast with familiar views on which hope is fundamentally about the good. We conclude by considering the increasingly popular idea that some hopes are non-intentional and thus, by implication, non-perceptual. We reply by arguing that our perceptual theory plausibly generalizes to these instances of hope.</w:t>
      </w:r>
    </w:p>
    <w:p>
      <w:pPr/>
      <w:r>
        <w:rPr>
          <w:b/>
        </w:rPr>
        <w:t>POSSIBLE 2023:</w:t>
      </w:r>
      <w:r>
        <w:t xml:space="preserve"> Mitigating the adverse effects of AI with the European Union's artificial intelligence act: Hype or hope? — https://doi.org/10.1002/joe.22238</w:t>
      </w:r>
    </w:p>
    <w:p>
      <w:pPr/>
      <w:r>
        <w:rPr>
          <w:b/>
        </w:rPr>
        <w:t>Shared claim-specific concepts:</w:t>
      </w:r>
      <w:r>
        <w:t xml:space="preserve"> hope, about, union; EU scope visible. This is a provisional connection, not an outcome finding.</w:t>
      </w:r>
    </w:p>
    <w:p>
      <w:pPr>
        <w:pStyle w:val="SourceNote"/>
      </w:pPr>
      <w:r>
        <w:rPr>
          <w:b/>
        </w:rPr>
        <w:t>Available abstract (not full text):</w:t>
      </w:r>
      <w:r>
        <w:t xml:space="preserve"> Abstract In light of the rise of generative AI and recent debates about the socio‐political implications of large‐language models, chatbots, and the like, this paper analyzes the E.U.’s Artificial Intelligence Act (AIA), the world's first comprehensive attempt by a government body to address and mitigate the potentially negative impacts of AI technologies. The paper critically analyzes the AIA from a business and computer ethics point of view—a perspective currently lacking in the academic (e.g., GBOE‐related) literature. It evaluates, in particular, the AIA's strengths and weaknesses and proposes reform measures that could help to strengthen the AIA. Among the AIA's strengths are its legally binding character, extra‐territoriality, ability to address data quality and discrimination risks, and institutional innovations such as the AI Board and publicly accessible logs and database for AI systems. Among its main weaknesses are its lack of effective enforcement, oversight, and control, absence of procedural rights and remedy mechanisms, inadequate worker protection, institutional ambiguities, insufficient funding and staffing, and inadequate consideration of sustainability issues. Reform suggestions include establishing independent conformity assessment procedures, strengthening democratic accountability and judicial oversight, introducing redress and complaint mechanisms, ensuri</w:t>
      </w:r>
    </w:p>
    <w:p>
      <w:pPr/>
      <w:r>
        <w:rPr>
          <w:b/>
        </w:rPr>
        <w:t>POSSIBLE 2022:</w:t>
      </w:r>
      <w:r>
        <w:t xml:space="preserve"> The Focus Theory of Hope — https://doi.org/10.1093/pq/pqac010</w:t>
      </w:r>
    </w:p>
    <w:p>
      <w:pPr/>
      <w:r>
        <w:rPr>
          <w:b/>
        </w:rPr>
        <w:t>Shared claim-specific concepts:</w:t>
      </w:r>
      <w:r>
        <w:t xml:space="preserve"> hope, debate, about; EU scope not established. This is a provisional connection, not an outcome finding.</w:t>
      </w:r>
    </w:p>
    <w:p>
      <w:pPr>
        <w:pStyle w:val="SourceNote"/>
      </w:pPr>
      <w:r>
        <w:rPr>
          <w:b/>
        </w:rPr>
        <w:t>Available abstract (not full text):</w:t>
      </w:r>
      <w:r>
        <w:t xml:space="preserve"> Abstract Most elpistologists now agree that hope for a specific outcome involves more than just desire plus the presupposition that the outcome is possible. This paper argues that the additional element of hope is a disposition to focus on the desired outcome in a certain way. I first survey the debate about the nature of hope in the recent literature, offer objections to some important competing accounts, and describe and defend the view that hope involves a kind of focus or attention. I then suggest that this account makes sense of the intuitive thought that there are moral and pragmatic norms on hope that go beyond the norms on desires and modal presuppositions. I conclude by considering some key questions.</w:t>
      </w:r>
    </w:p>
    <w:p>
      <w:pPr/>
      <w:r>
        <w:rPr>
          <w:b/>
        </w:rPr>
        <w:t>POSSIBLE 2021:</w:t>
      </w:r>
      <w:r>
        <w:t xml:space="preserve"> Circular economy: advancement of European Union countries — https://doi.org/10.1186/s12302-021-00549-0</w:t>
      </w:r>
    </w:p>
    <w:p>
      <w:pPr/>
      <w:r>
        <w:rPr>
          <w:b/>
        </w:rPr>
        <w:t>Shared claim-specific concepts:</w:t>
      </w:r>
      <w:r>
        <w:t xml:space="preserve"> union, also, commission; EU scope visible. This is a provisional connection, not an outcome finding.</w:t>
      </w:r>
    </w:p>
    <w:p>
      <w:pPr>
        <w:pStyle w:val="SourceNote"/>
      </w:pPr>
      <w:r>
        <w:rPr>
          <w:b/>
        </w:rPr>
        <w:t>Available abstract (not full text):</w:t>
      </w:r>
      <w:r>
        <w:t xml:space="preserve"> Abstract Background Circular economy (CE) is a development priority of the European Union and it is part of the EU industrial strategy. The transition to a more circular economy is an essential contribution to the EU’s efforts to develop a sustainable, low carbon, resource-efficient and competitive economy. The author focuses her CE-related reflections and research in this paper on the macro-level (research subjects: 28 EU countries), the level which is least represented in scholarly publications addressing CE (as follows from the analysis of literature in the Scopus database). This study aims to fill this gap partially. The aim of this paper is to identify and group the EU-28 countries according to their advancement towards circular economy. CE indicators proposed by the European Commission were used for the analysis. Given the research subjects and after an analysis of the literature they were concluded to be the most adequate. The theoretical part was based on an analysis of the literature, whereas the empirical work used the principal components analysis, hierarchical and k-means clustering and a grade correspondence-cluster analysis. Results On the basis of the research, the existence of a “two-speed Europe” was identified in terms of EU countries’ advancement towards CE. Leading countries, those most advanced in pursuing operation according to CE principles, include Germa</w:t>
      </w:r>
    </w:p>
    <w:p>
      <w:pPr/>
      <w:r>
        <w:rPr>
          <w:b/>
        </w:rPr>
        <w:t>POSSIBLE 2019:</w:t>
      </w:r>
      <w:r>
        <w:t xml:space="preserve"> Exploring the Exuberant Abundance of Seeing-Knowing, Hoping, and Doing: A Proposal for a Social Trinitarian Praxis — https://openalex.org/W7132983194</w:t>
      </w:r>
    </w:p>
    <w:p>
      <w:pPr/>
      <w:r>
        <w:rPr>
          <w:b/>
        </w:rPr>
        <w:t>Shared claim-specific concepts:</w:t>
      </w:r>
      <w:r>
        <w:t xml:space="preserve"> hope, affect, about; EU scope not established. This is a provisional connection, not an outcome finding.</w:t>
      </w:r>
    </w:p>
    <w:p>
      <w:pPr>
        <w:pStyle w:val="SourceNote"/>
      </w:pPr>
      <w:r>
        <w:rPr>
          <w:b/>
        </w:rPr>
        <w:t>Available abstract (not full text):</w:t>
      </w:r>
      <w:r>
        <w:t xml:space="preserve"> The Continuing violence in the contemporary world prompts a re-focus on the importance of the way we see-know and hope in or with the other/s and how that might affect our doing with or for the other/s. This study’s thesis statement takes up these introductory ideas from Jürgen Moltmann’s The Way of Jesus Christ where he writes, The resurrection of Christ is historically understood in the fullest sense only in ‘the unity of knowing, hoping, and doing. …. Anyone who talks about Christ’s resurrection from the dead and who believes in the power of God to raise the dead is talking in a single breath about the foundation, the future, and the praxis of the liberation of human beings and the redemption of the world. This means that what we can know historically about Christ’s resurrection must not be abstracted from the questions: what can we hope from it? and what must we do in its name? Given the implications of these statements and questions, the three central chapters of this study explore the effect of ‘exuberant abundance’ (or ‘surplus’) in the cross and resurrection event. These chapters examine this effect through an open, ongoing process of discerning the ‘tensioned-struggled’ turn to the other/s in three core ‘journeys’ of seeing-knowing (chapter 2), hoping (chapter 3), and doing (chapter 4) in humanity and creation. This study’s explorative journeys search for interanimativ</w:t>
      </w:r>
    </w:p>
    <w:p>
      <w:pPr/>
      <w:r>
        <w:rPr>
          <w:b/>
        </w:rPr>
        <w:t>POSSIBLE 2019:</w:t>
      </w:r>
      <w:r>
        <w:t xml:space="preserve"> Public opinion on basic income: Mapping European support for a radical alternative for welfare provision — https://doi.org/10.1177/0958928719882827</w:t>
      </w:r>
    </w:p>
    <w:p>
      <w:pPr/>
      <w:r>
        <w:rPr>
          <w:b/>
        </w:rPr>
        <w:t>Shared claim-specific concepts:</w:t>
      </w:r>
      <w:r>
        <w:t xml:space="preserve"> hope, affect, about, also; EU scope visible. This is a provisional connection, not an outcome finding.</w:t>
      </w:r>
    </w:p>
    <w:p>
      <w:pPr>
        <w:pStyle w:val="SourceNote"/>
      </w:pPr>
      <w:r>
        <w:rPr>
          <w:b/>
        </w:rPr>
        <w:t>Available abstract (not full text):</w:t>
      </w:r>
      <w:r>
        <w:t xml:space="preserve"> The idea of a universal basic income (BI) is both radical and simple. Obtaining a sufficient citizenship-based income without work obligations is fundamentally opposing the foundations of the welfare systems that are in place nowadays. As BI has gained increasing attention in public debates and among policymakers, questions arise about its social legitimacy. This study is the first to analyse a broad range of explanatory individual and contextual factors that may affect popular support for BI. In addition, we study how BI support is related to support of current welfare provisions, to analyse how radically different people perceive a BI to be. We use a unique survey question – available for 23 European countries, from the recent release of the European Social Survey (2016) –that introduces BI with an extended definition, emphasizing its universal and unconditional character and that it will replace other benefits and services and is paid for by taxes. Results show relatively high, but varying levels of support among European countries and social groups. People who are in a more vulnerable socio-economic position support BI more, as well as political left-wingers, egalitarianists and people who support targeting benefits at the poor. Also, a BI is more supported in countries with higher levels of material deprivation. This pattern of relations on both the individual and contextu</w:t>
      </w:r>
    </w:p>
    <w:p>
      <w:pPr>
        <w:pStyle w:val="Heading2"/>
      </w:pPr>
      <w:r>
        <w:t>902.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2026:</w:t>
      </w:r>
      <w:r>
        <w:t xml:space="preserve"> MAPPING SOIL MOISTURE AND CARBON HOTSPOTS IN A MONTADO ECOSYSTEM: A CASE STUDY IN COMPANHIA DAS LEZÍRIAS, PORTUGAL — https://doi.org/10.26471/cjees/2026/021/382</w:t>
      </w:r>
    </w:p>
    <w:p>
      <w:pPr/>
      <w:r>
        <w:rPr>
          <w:b/>
        </w:rPr>
        <w:t>Shared claim-specific concepts:</w:t>
      </w:r>
      <w:r>
        <w:t xml:space="preserve"> montado, case, resilience; EU scope visible. This is a provisional connection, not an outcome finding.</w:t>
      </w:r>
    </w:p>
    <w:p>
      <w:pPr>
        <w:pStyle w:val="SourceNote"/>
      </w:pPr>
      <w:r>
        <w:rPr>
          <w:b/>
        </w:rPr>
        <w:t>Available abstract (not full text):</w:t>
      </w:r>
      <w:r>
        <w:t xml:space="preserve"> Montado landscapes in Portugal are high-nature-value agro-silvo-pastoral systems that provide multiple ecosystem services. These systems face increasing pressures from climate change, land-use transformations, and declining tree regeneration. Soil health plays a central role in ecosystem resilience and carbon storage. This study investigates the spatial and temporal relationships between soil moisture and carbon stocks in the Companhia das Lezírias eLTER site using Landsat-8-derived Soil Moisture Index (SMI) for the period 2017–2024 and field soil sampling across three depths (0–10, 10–20, 20–30 cm) in 13 plots. The objective of the study is to quantify drought-related changes in the soil system, focusing on carbon stocks, and associate them with information derived from remote sensing data by mapping moisture regimes and detecting soil hotspots. Results reveal persistent soil moisture patterns, with distinct carbon-rich and carbon-poor zones. Pearson correlation connecting carbon stocks to summer soil moisture suggests that wetter areas in the montado system accumulate more carbon. Spatial patterns of soil carbon, mapped using kriging interpolation, align with persistent moisture regimes, identifying drought-prone hotspots. The findings underscore the importance of hydrological drivers for carbon dynamics in montado ecosystems and suggest that integrated monitoring using remot</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2025:</w:t>
      </w:r>
      <w:r>
        <w:t xml:space="preserve"> Pasture Floristic Composition as an Indicator of Soil pH Correction and Sheep Stocking Rate in Montado Ecosystem — https://doi.org/10.3390/environments12100385</w:t>
      </w:r>
    </w:p>
    <w:p>
      <w:pPr/>
      <w:r>
        <w:rPr>
          <w:b/>
        </w:rPr>
        <w:t>Shared claim-specific concepts:</w:t>
      </w:r>
      <w:r>
        <w:t xml:space="preserve"> show, area, montado, significantly, but; EU scope visible. This is a provisional connection, not an outcome finding.</w:t>
      </w:r>
    </w:p>
    <w:p>
      <w:pPr>
        <w:pStyle w:val="SourceNote"/>
      </w:pPr>
      <w:r>
        <w:rPr>
          <w:b/>
        </w:rPr>
        <w:t>Available abstract (not full text):</w:t>
      </w:r>
      <w:r>
        <w:t xml:space="preserve"> The application of dolomitic limestone is a recommended practice for improving pastures established on acidic soils. On the other hand, pasture availability should determine the adjustment of the biotic load. The aim of this study is to evaluate the potential of pasture plant community composition as an indicator to assess the effects of intensification strategies in the Montado ecosystem, specifically soil pH correction and/or increasing animal stocking rate. Forty-eight sampling areas of a biodiverse pasture were monitored on a 4-ha plot located at the Mitra farm (Évora district; southern Portugal). The experimental design included four treatments: with and without limestone application (respectively, DL and WDL) × traditional low stocking rate (LSR, 7 sheep ha−1) and high stocking rate (HSR, 18 sheep ha−1). Floristic composition, structural parameters, and diversity metrics were recorded and analyzed using multivariate statistical tools. Pasture diversity was assessed through the computation of richness indices, with plant species identified as ecological indicators representative of each study area. The results showed Rumex pulcher, Trifolium subterraneum, Plantago lanceolata, and Lolium rigidum as botanical indicators of the four treatments of this study, respectively, LSR in untreated soil, HSR in untreated soil, HSR in treated soil, and LSR in treated soil. The results a</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Perspective Chapter: Sustainability of the Extensive Livestock Production – The Role of Precision Agriculture in Mediterranean Montado Ecosystem — https://doi.org/10.5772/intechopen.114169</w:t>
      </w:r>
    </w:p>
    <w:p>
      <w:pPr/>
      <w:r>
        <w:rPr>
          <w:b/>
        </w:rPr>
        <w:t>Shared claim-specific concepts:</w:t>
      </w:r>
      <w:r>
        <w:t xml:space="preserve"> montado, land, use, case, resilience; EU scope not established. This is a provisional connection, not an outcome finding.</w:t>
      </w:r>
    </w:p>
    <w:p>
      <w:pPr>
        <w:pStyle w:val="SourceNote"/>
      </w:pPr>
      <w:r>
        <w:rPr>
          <w:b/>
        </w:rPr>
        <w:t>Available abstract (not full text):</w:t>
      </w:r>
      <w:r>
        <w:t xml:space="preserve"> Grassland ecosystems are one of the most common land use types worldwide. The sustainability of extensive livestock production systems requires the optimization of soil management, pasture production and animal grazing. Montado is an agro-silvo-pastoral system characterized by a high complexity as a result of the interactions between climate, soil, pasture, trees and animals. It is in this highly unpredictable context that dynamic management decisions have to be made, for example with respect to soil fertilization or pH correction, grazing or animal supplementation. This study shows, through case studies, the potential of the application of Precision Agriculture (PA) strategies and technologies for monitoring indicators of the Mediterranean Montado multifunctional ecosystem, specific environmental results, namely on soil health and functionality or pasture productivity, quality, or biodiversity, in a holistic and sustainable approach. The use, calibration and validation of soil and pasture proximal sensors, animal GPS (global positioning system) receivers and satellite images opens perspectives to explore new solutions to respond to the new economic and environmental challenges and ensures the resilience of this ecosystem.</w:t>
      </w:r>
    </w:p>
    <w:p>
      <w:pPr/>
      <w:r>
        <w:rPr>
          <w:b/>
        </w:rPr>
        <w:t>POSSIBLE 2024:</w:t>
      </w:r>
      <w:r>
        <w:t xml:space="preserve"> RETRO-INNOVACIÓN, SOSTENIBILIDAD Y VIABILIDAD DE LA DEHESA ESPAÑOLA Y EL MONTADO PORTUGUÉS — https://doi.org/10.3232/ubr.2024.v21.n2.02</w:t>
      </w:r>
    </w:p>
    <w:p>
      <w:pPr/>
      <w:r>
        <w:rPr>
          <w:b/>
        </w:rPr>
        <w:t>Shared claim-specific concepts:</w:t>
      </w:r>
      <w:r>
        <w:t xml:space="preserve"> montado, use, case; EU scope not established. This is a provisional connection, not an outcome finding.</w:t>
      </w:r>
    </w:p>
    <w:p>
      <w:pPr>
        <w:pStyle w:val="SourceNote"/>
      </w:pPr>
      <w:r>
        <w:rPr>
          <w:b/>
        </w:rPr>
        <w:t>Available abstract (not full text):</w:t>
      </w:r>
      <w:r>
        <w:t xml:space="preserve"> Retro-innovation consists of the reintroduction of traditional techniques and processes to conserve the environment and exploit it economically in a sustainable manner. In the case of the dehesas of Extremadura and the portuguese montados, there are precedents of rational and sustainable exploitation, carried out by the hieronymite monks of the Monastery of Guadalupe between 1389 and 1835. By applying their techniques and processes in some of the current extremaduran dehesas, it has been possible to make their sustainable economic use viable. Key words: Retro-innovation; Extremaduran dehesa; Agricultural management; Sustainability; Economic viability. JEL CODES: N54, O39, Q15, Q57.</w:t>
      </w:r>
    </w:p>
    <w:p>
      <w:pPr/>
      <w:r>
        <w:rPr>
          <w:b/>
        </w:rPr>
        <w:t>POSSIBLE 2024:</w:t>
      </w:r>
      <w:r>
        <w:t xml:space="preserve"> Assessment of transdisciplinarity by its participants: the case of Tertúlias do Montado, Alentejo, Portugal — https://doi.org/10.1007/s11625-023-01451-9</w:t>
      </w:r>
    </w:p>
    <w:p>
      <w:pPr/>
      <w:r>
        <w:rPr>
          <w:b/>
        </w:rPr>
        <w:t>Shared claim-specific concepts:</w:t>
      </w:r>
      <w:r>
        <w:t xml:space="preserve"> area, montado, case, indicating; EU scope visible. This is a provisional connection, not an outcome finding.</w:t>
      </w:r>
    </w:p>
    <w:p>
      <w:pPr>
        <w:pStyle w:val="SourceNote"/>
      </w:pPr>
      <w:r>
        <w:rPr>
          <w:b/>
        </w:rPr>
        <w:t>Available abstract (not full text):</w:t>
      </w:r>
      <w:r>
        <w:t xml:space="preserve"> Abstract Evaluation plays a pivotal role in transdisciplinary (TD) research, often discussed during funding stages or when assessing project impacts. A few studies delve into the participant perspective when examining the quality of transdisciplinarity. Our work contributes to this area of assessment. Rather than providing a definitive definition of transdisciplinarity, we developed a questionnaire to evaluate a set of TD principles within a specific TD initiative. We collected insights from 100 individuals out of a pool of 200 participants engaged in a TD initiative since 2016. Given the long-term nature of the case study, our sample included both frequent and occasional participants. Using non-parametric statistical, we concluded that frequent participants express higher satisfaction with their involvement, identify more outcomes stemming from their participation, and assign greater importance to TD principles. These findings highlight the significant impact of investing in long-term TD initiatives. Additionally, our questionnaires featured open-ended questions to capture participants’ individual definition of the initiative, along with their perceived benefits and drawbacks. Through content analysis, we identified two distinct discourses: positivism and postpositivism. The positivist discourse predominantly features male participants over 60 years of age, primarily from the </w:t>
      </w:r>
    </w:p>
    <w:p>
      <w:pPr/>
      <w:r>
        <w:rPr>
          <w:b/>
        </w:rPr>
        <w:t>POSSIBLE 2024:</w:t>
      </w:r>
      <w:r>
        <w:t xml:space="preserve"> Sustainable Intensification of the Montado Ecosystem: Evaluation of Sheep Grazing Systems and Soil Amendment — https://doi.org/10.20944/preprints202403.1294.v1</w:t>
      </w:r>
    </w:p>
    <w:p>
      <w:pPr/>
      <w:r>
        <w:rPr>
          <w:b/>
        </w:rPr>
        <w:t>Shared claim-specific concepts:</w:t>
      </w:r>
      <w:r>
        <w:t xml:space="preserve"> show, montado; EU scope not established. This is a provisional connection, not an outcome finding.</w:t>
      </w:r>
    </w:p>
    <w:p>
      <w:pPr>
        <w:pStyle w:val="SourceNote"/>
      </w:pPr>
      <w:r>
        <w:rPr>
          <w:b/>
        </w:rPr>
        <w:t>Available abstract (not full text):</w:t>
      </w:r>
      <w:r>
        <w:t xml:space="preserve"> The objective of this study was to determine how application with dolomitic limestone and grazing type (continuous or deferred) affect sheep grazing location and feed preference when the pasture growth rate is maximum. A 4ha field was divided into 4 plots: P1 and P2- without application of dolomitic limestone, continuous (CG) and deferred grazing (DG), respectively; P3 and P4- with application of dolomitic limestone, DG (1AUE), and CG (2.4 AUE), respectively. In DG, animals were placed and removed from the plots depending on the height of the pasture. In each plot, 12 georeferenced sampling points were identified. Throughout the pasture's vegetative cycle (autumn, winter, spring, and early summer) several measurements of pasture height and cut were carried out. From the beginning of March to the beginning of June, animal behavior was observed, by trained observers, through binoculars on six dates. Animals' activity grazing and location was recorded. The results show that: (i) the application of dolomitic limestone combined with CG provided higher values of pasture height; (ii) there were no significant differences in pasture quality between treatments; (iii) Deferred grazing led to 50% more sheep grazing days than continuous grazing; (iv) there were no significant differences in soil compaction between CG and DG; (v) the type of grazing and the treatment with dolomitic limeston</w:t>
      </w:r>
    </w:p>
    <w:p>
      <w:pPr/>
      <w:r>
        <w:rPr>
          <w:b/>
        </w:rPr>
        <w:t>POSSIBLE 2023:</w:t>
      </w:r>
      <w:r>
        <w:t xml:space="preserve"> Reduced grazing and changes in the area of agroforestry in Europe — https://doi.org/10.3389/fenvs.2023.1258697</w:t>
      </w:r>
    </w:p>
    <w:p>
      <w:pPr/>
      <w:r>
        <w:rPr>
          <w:b/>
        </w:rPr>
        <w:t>Shared claim-specific concepts:</w:t>
      </w:r>
      <w:r>
        <w:t xml:space="preserve"> show, area, but, land, use;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pStyle w:val="Heading2"/>
      </w:pPr>
      <w:r>
        <w:t>903.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2026:</w:t>
      </w:r>
      <w:r>
        <w:t xml:space="preserve"> Policy levers and technological opportunities to achieve decarbonisation in Europe at minimal cost — https://doi.org/10.7488/era/7048</w:t>
      </w:r>
    </w:p>
    <w:p>
      <w:pPr/>
      <w:r>
        <w:rPr>
          <w:b/>
        </w:rPr>
        <w:t>Shared claim-specific concepts:</w:t>
      </w:r>
      <w:r>
        <w:t xml:space="preserve"> egs, enhanced, geothermal, systems, economically, different; EU scope visible. This is a provisional connection, not an outcome finding.</w:t>
      </w:r>
    </w:p>
    <w:p>
      <w:pPr>
        <w:pStyle w:val="SourceNote"/>
      </w:pPr>
      <w:r>
        <w:rPr>
          <w:b/>
        </w:rPr>
        <w:t>Available abstract (not full text):</w:t>
      </w:r>
      <w:r>
        <w:t xml:space="preserve"> Energy systems must shift their supply from fossil fuels to carbon-neutral technologies. At the same time, they are subject to substantial economic pressure, as only minimal to moderate consumer cost increases can erode most of the energy transition’s political support. Rapid cost reductions in solar photovoltaics and wind generators have rendered them the transition’s backbone, pulling electrification into transport and heating, but also increasing system complexity through inter-sectoral energy flows and non-dispatchable generators. Therefore, whole-system energy research, focused on minimising transition costs, also faces new complexities through the interplay of heterogeneous technologies, intermittency, and spatial constraints, all in the context of evolving policy frameworks. Models that can address these problems are essential for high-level decisions because technology competitiveness, infrastructure roll-out, and market designs may need, or are already undergoing, a fundamental overhaul as a result of the changing nature of energy supply. Such energy-system research is sometimes conducted with proprietary, GUI-oriented software and associated workflows, which can be less well suited to large-scale, reproducible analysis. Two aspects are particularly relevant. First, these workflows do not always take full advantage of the highly optimised, programmatic tooling that has</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2025:</w:t>
      </w:r>
      <w:r>
        <w:t xml:space="preserve"> Numerical Modeling of Potential CO2-Fed Enhanced Geothermal System (CO2-EGS) in the Gorzów Block, Poland — https://doi.org/10.3390/en18184825</w:t>
      </w:r>
    </w:p>
    <w:p>
      <w:pPr/>
      <w:r>
        <w:rPr>
          <w:b/>
        </w:rPr>
        <w:t>Shared claim-specific concepts:</w:t>
      </w:r>
      <w:r>
        <w:t xml:space="preserve"> egs, enhanced, geothermal; EU scope visible. This is a provisional connection, not an outcome finding.</w:t>
      </w:r>
    </w:p>
    <w:p>
      <w:pPr>
        <w:pStyle w:val="SourceNote"/>
      </w:pPr>
      <w:r>
        <w:rPr>
          <w:b/>
        </w:rPr>
        <w:t>Available abstract (not full text):</w:t>
      </w:r>
      <w:r>
        <w:t xml:space="preserve"> This article presents the results of numerical modeling for a hypothetical CO2-EGS system in the volcanic rocks of the Gorzów Block, Poland. Modeling was carried out in the following stages: in phase 0, modeling of the fracturing process was performed, as a result of which the permeability distribution for the newly created fractured zone was obtained. Next, the process of saturating the EGS reservoir with CO2 was modeled until pure CO2 could enter the production well (phase 1). Then, a multi-variant simulation of heat production was performed (phase 2). The obtained results allowed for drawing interesting conclusions: (1) the duration of phase 1 may take several years unless a sufficiently high injection rate of CO2 is supplied, (2) the higher the injection rate of CO2, the lower the cumulative storage ratio of CO2, and (3) most of the CO2 storage in the formation takes place in phase 1, while even 92% of the CO2 injected in phase 2 can be recovered via the production well. Despite the environmental benefits connected with structural trapping of CO2, the Gorzów Block has probably too low formation temperature (145 °C) and too low stimulated volume (~0.1 km3) to deliver satisfactory and stable thermal output.</w:t>
      </w:r>
    </w:p>
    <w:p>
      <w:pPr/>
      <w:r>
        <w:rPr>
          <w:b/>
        </w:rPr>
        <w:t>POSSIBLE 2024:</w:t>
      </w:r>
      <w:r>
        <w:t xml:space="preserve"> Using Particle Swarm Optimization with Backpropagation Neural Networks and Analytic Hierarchy Process to Optimize the Power Generation Performance of Enhanced Geothermal System (EGS) — https://doi.org/10.3390/w16030509</w:t>
      </w:r>
    </w:p>
    <w:p>
      <w:pPr/>
      <w:r>
        <w:rPr>
          <w:b/>
        </w:rPr>
        <w:t>Shared claim-specific concepts:</w:t>
      </w:r>
      <w:r>
        <w:t xml:space="preserve"> egs, enhanced, geothermal, systems, different; EU scope not established. This is a provisional connection, not an outcome finding.</w:t>
      </w:r>
    </w:p>
    <w:p>
      <w:pPr>
        <w:pStyle w:val="SourceNote"/>
      </w:pPr>
      <w:r>
        <w:rPr>
          <w:b/>
        </w:rPr>
        <w:t>Available abstract (not full text):</w:t>
      </w:r>
      <w:r>
        <w:t xml:space="preserve"> The optimization of the production scheme for enhanced geothermal systems (EGS) in geothermal fields is crucial for enhancing heat production efficiency and prolonging the lifespan of thermal reservoirs. In this study, the 4100–4300 m granite diorite stratum in the Zhacang geothermal field was taken as the target stratum to establish a numerical model of water-heat coupling of three vertical wells. However, relying solely on numerical simulation for optimization is time-consuming and challenging for the determination of the globally optimal production plan. The present study proposes a comprehensive evaluation method for optimizing the performance of EGS power generation based on the integration of particle swarm optimization with backpropagation neural network (PSO-BPNN) and analytic hierarchy process (AHP). Five different PSO-BPNN models were constructed based on the numerical simulation data to predict different EGS power generation performance indexes, including the production temperature, the injection pressure, the total electricity generation, the electric energy efficiency and the levelized cost of electricity. Based on these PSO-BPNN models, the weights of various thermal development evaluation indexes were calculated by AHP to conduct a comprehensive evaluation of the power generation performance of the three vertical wells EGS. The results show that the PSO-BPNN mode</w:t>
      </w:r>
    </w:p>
    <w:p>
      <w:pPr/>
      <w:r>
        <w:rPr>
          <w:b/>
        </w:rPr>
        <w:t>POSSIBLE 2023:</w:t>
      </w:r>
      <w:r>
        <w:t xml:space="preserve"> EGS development in Europe based on operational geothermal projects — https://doi.org/10.1201/9781003271475-2</w:t>
      </w:r>
    </w:p>
    <w:p>
      <w:pPr/>
      <w:r>
        <w:rPr>
          <w:b/>
        </w:rPr>
        <w:t>Shared claim-specific concepts:</w:t>
      </w:r>
      <w:r>
        <w:t xml:space="preserve"> resource, egs, enhanced, geothermal, systems; EU scope visible. This is a provisional connection, not an outcome finding.</w:t>
      </w:r>
    </w:p>
    <w:p>
      <w:pPr>
        <w:pStyle w:val="SourceNote"/>
      </w:pPr>
      <w:r>
        <w:rPr>
          <w:b/>
        </w:rPr>
        <w:t>Available abstract (not full text):</w:t>
      </w:r>
      <w:r>
        <w:t xml:space="preserve"> Enhanced geothermal systems (EGS) appear as a tangible solution for developing decarbonized electricity production and/or renewable heat at high temperatures for industry in Europe. Based on operational geothermal plants (Soultz-sous-Forêts, Rittershoffen) located in the Upper Rhine Graben (URG), it turns out that thermo-hydro or chemical stimulation techniques could be applied to naturally fractured reservoirs to enhance the hydraulic performance of the geothermal wells. However, the main challenge for EGS is the potential occurrence of induced seismicity related to post-drilling hydraulic stimulation or done during sustainable geothermal exploitation, which could generate severe societal concerns. Moreover, after several years of geothermal exploitation in the URG, there is a very low environmental impact characterized by negligible carbon dioxide emissions. As the exploited geothermal resource trapped in the fractured crystalline reservoirs is a Li-rich brine, it is likely in the near future that geothermal lithium for batteries could be produced with a neutral carbon footprint.</w:t>
      </w:r>
    </w:p>
    <w:p>
      <w:pPr/>
      <w:r>
        <w:rPr>
          <w:b/>
        </w:rPr>
        <w:t>POSSIBLE 2023:</w:t>
      </w:r>
      <w:r>
        <w:t xml:space="preserve"> Geothermal Resources of European Continent: A Regional Assessment — https://doi.org/10.31214/ijthfa.v6i1.98</w:t>
      </w:r>
    </w:p>
    <w:p>
      <w:pPr/>
      <w:r>
        <w:rPr>
          <w:b/>
        </w:rPr>
        <w:t>Shared claim-specific concepts:</w:t>
      </w:r>
      <w:r>
        <w:t xml:space="preserve"> resource, base, geothermal; EU scope visible. This is a provisional connection, not an outcome finding.</w:t>
      </w:r>
    </w:p>
    <w:p>
      <w:pPr>
        <w:pStyle w:val="SourceNote"/>
      </w:pPr>
      <w:r>
        <w:rPr>
          <w:b/>
        </w:rPr>
        <w:t>Available abstract (not full text):</w:t>
      </w:r>
      <w:r>
        <w:t xml:space="preserve"> A regional assessment of geothermal resources of the continental region of Europe is attempted in the present work. It is based on results of observational data on heat transfer by conduction as well as hydrothermal and magmatic processes in the upper crust and makes use of geothermal data reported at the website of IHFC and also estimates based on available information on occurrences thermal springs and volcanic events. The resource assessment has been carried out for 8109 sites distributed in 39 countries. These datasets were reevaluated and spatially gridded using kigrid interpolation to construction of regional distribution maps of geothermal resources and interpreted on the basis of available information on tectonic setting and geological characteristics. The estimates for volcanic areas are based on a modified method of magmatic heat budget (MHB). has been employed in deriving estimates of geothermal resources in areas of recent volcanic activity. According to results obtained the total resource base (RB) at 6km on depth is estimated to be 8.653.306 ± 7 GJ. The mean resource base per unit area (RBUA) is ~ 985 GJ. The prominent features in geothermal maps are the presence of localities with significantly high values of resource base greater than 2000 GJ in countries such as Russia, Italy, Iceland, and west Norway. In addition, vertical distributions of temperatures were ca</w:t>
      </w:r>
    </w:p>
    <w:p>
      <w:pPr/>
      <w:r>
        <w:rPr>
          <w:b/>
        </w:rPr>
        <w:t>POSSIBLE 2023:</w:t>
      </w:r>
      <w:r>
        <w:t xml:space="preserve"> Study on permeability evolution and damage mechanism along the EGS fracture in heat mining stage under thermal stress/cracking — https://doi.org/10.1186/s40517-023-00274-2</w:t>
      </w:r>
    </w:p>
    <w:p>
      <w:pPr/>
      <w:r>
        <w:rPr>
          <w:b/>
        </w:rPr>
        <w:t>Shared claim-specific concepts:</w:t>
      </w:r>
      <w:r>
        <w:t xml:space="preserve"> egs, enhanced, geothermal; EU scope not established. This is a provisional connection, not an outcome finding.</w:t>
      </w:r>
    </w:p>
    <w:p>
      <w:pPr>
        <w:pStyle w:val="SourceNote"/>
      </w:pPr>
      <w:r>
        <w:rPr>
          <w:b/>
        </w:rPr>
        <w:t>Available abstract (not full text):</w:t>
      </w:r>
      <w:r>
        <w:t xml:space="preserve"> Abstract As main heat exchange channel in enhanced geothermal system, the evolution of hydraulic conductivity in fracture is significance for efficient heat mining. For the thermal stress or thermal cracking spontaneously induced by the temperature difference between low-temperature fluid and hot rock in heat mining stage, it is necessary to explore the damage mechanism along EGS fracture and the corresponding permeability evolution. Firstly, the long-term permeability tests under high temperature (50–200 ℃) were conducted by the self-developed high temperature seepage experimental device. Then, a coupled THM-D model was constructed to describe the damage distribution along fracture. Combined with experimental and simulation results, relationship between the thermal stress/cracking and the evolution of fracture permeability is revealed. The results indicate that during high-temperature (200 ℃) experiments, the fracture permeability first increases rapidly under the low-temperature induced thermal stress/cracking, then decreases due to the blockage effect induced by the debris particles generated in thermal cracking along fracture. The enhancement of injection velocity and heterogeneity are all conducive to the emergence of thermal cracking in matrix along fracture. Simultaneously, high confining pressure has a negative effect on the migration of debris particles of thermal crac</w:t>
      </w:r>
    </w:p>
    <w:p>
      <w:pPr>
        <w:pStyle w:val="Heading2"/>
      </w:pPr>
      <w:r>
        <w:t>904.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ensemble, regional, climate, temperature, precipitation;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New gridded large multi-model ensembles of empirical-statistical downscaling results — https://doi.org/10.5194/ems2026-443</w:t>
      </w:r>
    </w:p>
    <w:p>
      <w:pPr/>
      <w:r>
        <w:rPr>
          <w:b/>
        </w:rPr>
        <w:t>Shared claim-specific concepts:</w:t>
      </w:r>
      <w:r>
        <w:t xml:space="preserve"> multi-model, ensemble, regional, climate, terms, temperature; EU scope visible. This is a provisional connection, not an outcome finding.</w:t>
      </w:r>
    </w:p>
    <w:p>
      <w:pPr>
        <w:pStyle w:val="SourceNote"/>
      </w:pPr>
      <w:r>
        <w:rPr>
          <w:b/>
        </w:rPr>
        <w:t>Available abstract (not full text):</w:t>
      </w:r>
      <w:r>
        <w:t xml:space="preserve"> Downscaled multi-model ensemble mean and standard deviation through empirical-statistical downscaling have been gridded to a 5 arc-minute spatial resolution (~5km) for key seasonal temperature and precipitation statistics for the Barents Sea region, the Nordic countries, Europe, and other parts of the world. The downscaling has made use of a common EOF basis for ensuring a good representation of the predictors in terms of their spatio-temporal covariance structure, and for facilitating a quality control of the predictors. The downscaled key statistical parameters provide information about daily variables, such as the number of days with heavy precipitation. One objective has been to derive robust and reliable data, and ensemble sizes of hundreds of runs based on multiple global climate models provide a basis for robust estimates, since the addition of exclusion of a few runs don’t change the results significantly. The downscaled results also provide reliable information on temperature and precipitation, and the reliability of the results is tested against ensemble spread properties as well as the consistency between the ensemble members and the observed evolution for a common historical period. Three diagnostics are included in the netCDF files which indicate how close the ensemble spread is to being normal, how similar the historical trends are, and how the observed interannua</w:t>
      </w:r>
    </w:p>
    <w:p>
      <w:pPr/>
      <w:r>
        <w:rPr>
          <w:b/>
        </w:rPr>
        <w:t>POSSIBLE 2026:</w:t>
      </w:r>
      <w:r>
        <w:t xml:space="preserve"> The PROMES Regional Climate Model: Three Decades of Development and Contributions to Regional Climate Ensemble Research — https://doi.org/10.3390/geosciences16100423</w:t>
      </w:r>
    </w:p>
    <w:p>
      <w:pPr/>
      <w:r>
        <w:rPr>
          <w:b/>
        </w:rPr>
        <w:t>Shared claim-specific concepts:</w:t>
      </w:r>
      <w:r>
        <w:t xml:space="preserve"> multi-model, ensemble, regional, climate, projections, signal; EU scope visible. This is a provisional connection, not an outcome finding.</w:t>
      </w:r>
    </w:p>
    <w:p>
      <w:pPr>
        <w:pStyle w:val="SourceNote"/>
      </w:pPr>
      <w:r>
        <w:rPr>
          <w:b/>
        </w:rPr>
        <w:t>Available abstract (not full text):</w:t>
      </w:r>
      <w:r>
        <w:t xml:space="preserve"> Regional climate models (RCMs) have become established as essential dynamical downscaling tools, providing physically consistent, high-resolution climate information where global climate models (GCMs) are unable to resolve. Added value is obtained over heterogeneous vegetation, coastal, urban or orographically complex zones. Temperature, precipitation or wind benefit whenever fine-scale processes govern the climate signal, as with extreme events. CORDEX initiative (since 2009) has further consolidated RCM research with coordinated multi-model ensembles covering all continental regions, enabling systematic uncertainty quantification of regional climate projections. PROMES RCM has been an active scientific contributor across three decades to the modelling community ensemble. This review synthesizes and documents PROMES’s development, performance across Europe, West Africa and South America, and assesses its scientific contributions. This includes climate change projections features, extreme events (droughts, heat waves, or Mediterranean tropical-like cyclones) or land surface–atmosphere studies. Its behaviour within the more relevant international multi-model ensembles (from PRUDENCE to EuroCORDEX), with structurally independent characteristics, represents a scientific asset for uncertainty characterization beyond the model’s individual results, offering a legacy argument for pre</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2024:</w:t>
      </w:r>
      <w:r>
        <w:t xml:space="preserve"> Multi-model ensembles for regional and national wheat yield forecasts in Argentina — https://doi.org/10.1088/1748-9326/ad627c</w:t>
      </w:r>
    </w:p>
    <w:p>
      <w:pPr/>
      <w:r>
        <w:rPr>
          <w:b/>
        </w:rPr>
        <w:t>Shared claim-specific concepts:</w:t>
      </w:r>
      <w:r>
        <w:t xml:space="preserve"> multi-model, regional, climate, used, temperature, precipitation; EU scope visible. This is a provisional connection, not an outcome finding.</w:t>
      </w:r>
    </w:p>
    <w:p>
      <w:pPr>
        <w:pStyle w:val="SourceNote"/>
      </w:pPr>
      <w:r>
        <w:rPr>
          <w:b/>
        </w:rPr>
        <w:t>Available abstract (not full text):</w:t>
      </w:r>
      <w:r>
        <w:t xml:space="preserve"> Abstract While multi-model ensembles (MMEs) of seasonal climate models (SCMs) have been used for crop yield forecasting, there has not been a systematic attempt to select the most skillful SCMs to optimize the performance of a MME and improve in-season yield forecasts. Here, we propose a statistical model to forecast regional and national wheat yield variability from 1993–2016 over the main wheat production area in Argentina. Monthly mean temperature and precipitation from the four months (August–November) before harvest were used as features. The model was validated for end-of-season estimation in December using reanalysis data (ERA) from the European Centre for Medium-Range Weather Forecasts (ECMWF) as well as for in-season forecasts from June to November using a MME of three SCMs from 10 SCMs analyzed. A benchmark model for end-of-season yield estimation using ERA data achieved a R 2 of 0.33, a root-mean-square error (RMSE) of 9.8% and a receiver operating characteristic (ROC) score of 0.8 on national level. On regional level, the model demonstrated the best estimation accuracy in the northern sub-humid Pampas with a R 2 of 0.5, a RMSE of 12.6% and a ROC score of 0.9. Across all months of initialization, SCMs from the National Centers for Environmental Prediction, the National Center for Atmospheric Research and the Geophysical Fluid Dynamics Laboratory had the highest mean </w:t>
      </w:r>
    </w:p>
    <w:p>
      <w:pPr/>
      <w:r>
        <w:rPr>
          <w:b/>
        </w:rPr>
        <w:t>POSSIBLE 2023:</w:t>
      </w:r>
      <w:r>
        <w:t xml:space="preserve"> Partitioning model uncertainty in multi-model ensemble river flow projections — https://doi.org/10.1007/s10584-023-03621-1</w:t>
      </w:r>
    </w:p>
    <w:p>
      <w:pPr/>
      <w:r>
        <w:rPr>
          <w:b/>
        </w:rPr>
        <w:t>Shared claim-specific concepts:</w:t>
      </w:r>
      <w:r>
        <w:t xml:space="preserve"> multi-model, ensemble, regional, climate, projections, used; EU scope not established. This is a provisional connection, not an outcome finding.</w:t>
      </w:r>
    </w:p>
    <w:p>
      <w:pPr>
        <w:pStyle w:val="SourceNote"/>
      </w:pPr>
      <w:r>
        <w:rPr>
          <w:b/>
        </w:rPr>
        <w:t>Available abstract (not full text):</w:t>
      </w:r>
      <w:r>
        <w:t xml:space="preserve"> Abstract Floods are the largest natural disaster currently facing the UK, whilst the incidents of droughts have increased in recent years. Floods and droughts can have devastating consequences on society, resulting in significant financial damage to the economy. Climate models suggest that precipitation and temperature changes will exacerbate future hydrological extremes (i.e., floods and droughts). Such events are likely to become more frequent and intense in the future; thus to develop adaptation plans climate model projections feed hydrological models to provide future water resource projections. ‘eFLaG’ is one set of future river flow projections produced for the UK driven by UKCP18 climate projections from the UK Met Office. The UKCP18-derived eFLaG dataset provides state-of-the-art projections for a single GCM driven by RCP 8.5 across the entire UK. A QE-ANOVA approach has been used to partition contributing sources of uncertainty for two flow quantiles (Q5 high flows and Q95 low flows), at near and far future time scales, for each of the 186 GB catchments in the eFLaG dataset. Results suggest a larger hydrological model uncertainty associated with low flows and greater regional climate model uncertainty for high flows which remains stationary between flow indicators. Total uncertainty increases from near to far future and highly uncertain catchments have been identified </w:t>
      </w:r>
    </w:p>
    <w:p>
      <w:pPr/>
      <w:r>
        <w:rPr>
          <w:b/>
        </w:rPr>
        <w:t>POSSIBLE 2023:</w:t>
      </w:r>
      <w:r>
        <w:t xml:space="preserve"> Predictive performance of multi-model ensemble forecasts of COVID-19 across European nations — https://doi.org/10.7554/elife.81916</w:t>
      </w:r>
    </w:p>
    <w:p>
      <w:pPr/>
      <w:r>
        <w:rPr>
          <w:b/>
        </w:rPr>
        <w:t>Shared claim-specific concepts:</w:t>
      </w:r>
      <w:r>
        <w:t xml:space="preserve"> multi-model, ensemble, used, content; EU scope visible. This is a provisional connection, not an outcome finding.</w:t>
      </w:r>
    </w:p>
    <w:p>
      <w:pPr>
        <w:pStyle w:val="SourceNote"/>
      </w:pPr>
      <w:r>
        <w:rPr>
          <w:b/>
        </w:rPr>
        <w:t>Available abstract (not full text):</w:t>
      </w:r>
      <w:r>
        <w:t xml:space="preserve">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by a standardised source for 32 countries over the next 1-4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f</w:t>
      </w:r>
    </w:p>
    <w:p>
      <w:pPr/>
      <w:r>
        <w:rPr>
          <w:b/>
        </w:rPr>
        <w:t>POSSIBLE 2022:</w:t>
      </w:r>
      <w:r>
        <w:t xml:space="preserve"> Downscaling multi-model climate projection ensembles with deep learning (DeepESD): contribution to CORDEX EUR-44 — https://doi.org/10.5194/gmd-15-6747-2022</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Abstract. Deep Learning (DL) has recently emerged as an innovative tool to downscale climate variables from large-scale atmospheric fields under the perfect prognosis (PP) approach. Different Convolutional Neural Networks (CNN) have been applied under present-day conditions with promising results, but little is known about their suitability for extrapolating future climate change conditions. Here, we analyze this problem from a multi-model perspective, developing and evaluating an ensemble of CNN-based downscaled projections (DeepESD) for temperature and precipitation over the European EUR-44i (0.5º) domain, based on eight GCMs from the Coupled Model Intercomparison Project Phase 5 (CMIP5). To our knowledge, this is the first time that CNNs have been used to produce multi-model ensembles of downscaled projections, allowing to quantify inter-model uncertainty in climate change signals. The results are compared with those corresponding to an EUR-44 ensemble of regional climate models (RCMs) showing that DeepESD reduces distributional biases in the historical period. Moreover, the resulting climate change signals are broadly comparable to those obtained with the RCMs, with similar spatial structures. As for the uncertainty of the climate change signal (measured on the basis of inter-model spread), DeepESD yields a smaller uncertainty for precipitation, but a similar uncertainty fo</w:t>
      </w:r>
    </w:p>
    <w:p>
      <w:pPr/>
      <w:r>
        <w:rPr>
          <w:b/>
        </w:rPr>
        <w:t>POSSIBLE 2022:</w:t>
      </w:r>
      <w:r>
        <w:t xml:space="preserve"> Ensemble Evaluation and Member Selection of Regional Climate Models for Impact Models Assessment — https://doi.org/10.3390/w14233967</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Climate change increasingly is affecting every aspect of human life on the earth. Many regional climate models (RCMs) have so far been developed to carefully assess this important phenomenon on specific regions. In this study, ten RCMs captured from the European Coordinated Downscaling Experiment (EURO CORDEX) platform are evaluated on the river Chiese catchment located in the northeast of Italy. The models’ ensembles are assessed in terms of the uncertainty and error calculated through different statistical and error indices. The uncertainties are investigated in terms of signal (increase, decrease, or neutral changes in the variables) and value uncertainties. Together with the spatial analysis of the data over the catchment, the weighted averaged values are used for the models’ evaluations and data projections. Using weighted catchment variables, climate change impacts are assessed on 10 different hydro-climatological variables showing the changes in the temperature, precipitation, rainfall events’ features, and the hydrological variables of the Chiese catchment between historical (1991–2000) and future (2071–2080) decades under RCP (Representative Concentration Path for increasing greenhouse gas emissions) scenario 4.5. The results show that, even though the multi-model ensemble mean (MMEM) could cover the outputs’ uncertainty of the models, it increases the error of the out</w:t>
      </w:r>
    </w:p>
    <w:p>
      <w:pPr/>
      <w:r>
        <w:rPr>
          <w:b/>
        </w:rPr>
        <w:t>POSSIBLE 2021:</w:t>
      </w:r>
      <w:r>
        <w:t xml:space="preserve"> The first multi-model ensemble of regional climate simulations at kilometer-scale resolution, part I: evaluation of precipitation — https://doi.org/10.1007/s00382-021-05708-w</w:t>
      </w:r>
    </w:p>
    <w:p>
      <w:pPr/>
      <w:r>
        <w:rPr>
          <w:b/>
        </w:rPr>
        <w:t>Shared claim-specific concepts:</w:t>
      </w:r>
      <w:r>
        <w:t xml:space="preserve"> multi-model, ensemble, regional, climate, precipitation; EU scope visible. This is a provisional connection, not an outcome finding.</w:t>
      </w:r>
    </w:p>
    <w:p>
      <w:pPr>
        <w:pStyle w:val="SourceNote"/>
      </w:pPr>
      <w:r>
        <w:rPr>
          <w:b/>
        </w:rPr>
        <w:t>Available abstract (not full text):</w:t>
      </w:r>
      <w:r>
        <w:t xml:space="preserve"> Abstract Here we present the first multi-model ensemble of regional climate simulations at kilometer-scale horizontal grid spacing over a decade long period. A total of 23 simulations run with a horizontal grid spacing of $$\sim $$ ∼ 3 km, driven by ERA-Interim reanalysis, and performed by 22 European research groups are analysed. Six different regional climate models (RCMs) are represented in the ensemble. The simulations are compared against available high-resolution precipitation observations and coarse resolution ( $$\sim $$ ∼ 12 km) RCMs with parameterized convection. The model simulations and observations are compared with respect to mean precipitation, precipitation intensity and frequency, and heavy precipitation on daily and hourly timescales in different seasons. The results show that kilometer-scale models produce a more realistic representation of precipitation than the coarse resolution RCMs. The most significant improvements are found for heavy precipitation and precipitation frequency on both daily and hourly time scales in the summer season. In general, kilometer-scale models tend to produce more intense precipitation and reduced wet-hour frequency compared to coarse resolution models. On average, the multi-model mean shows a reduction of bias from $$\sim \,$$ ∼ −40% at 12 km to $$\sim \,$$ ∼ −3% at 3 km for heavy hourly precipitation in summer. Furthermore, the</w:t>
      </w:r>
    </w:p>
    <w:p>
      <w:pPr/>
      <w:r>
        <w:rPr>
          <w:b/>
        </w:rPr>
        <w:t>POSSIBLE 2021:</w:t>
      </w:r>
      <w:r>
        <w:t xml:space="preserve"> The first multi-model ensemble of regional climate simulations at kilometer-scale resolution part 2: historical and future simulations of precipitation — https://doi.org/10.1007/s00382-021-05657-4</w:t>
      </w:r>
    </w:p>
    <w:p>
      <w:pPr/>
      <w:r>
        <w:rPr>
          <w:b/>
        </w:rPr>
        <w:t>Shared claim-specific concepts:</w:t>
      </w:r>
      <w:r>
        <w:t xml:space="preserve"> multi-model, ensemble, regional, climate, precipitation;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Projections of regional climate change in Ukraine based on multi-model ensembles of Euro-CORDEX — https://doi.org/10.5194/egusphere-egu21-13821</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Climate change is one of the major challenges for future development in every country including Ukraine where actual warming already has impacted many sectors, population, and ecosystems. Recently, the International Initiative of Coordinated Downscaling Experiment for Europe (Euro-CORDEX) has provided RCM data for 0.1o grid. This detailed RCM projection dataset is an excellent basis for estimation of exposure and vulnerability to climate change of different objects and for updating projections for a new National Communication of Ukraine to UNFCCC as well as for Strategy of Ecological Safety and Adaptation to Climate Change in Ukraine. The study is focused on the estimation of the essential and special climatic characteristics and their changes in the near future (2021-2040) as well as to the middle (2041-2050) and end (2081-2100) of the century over the base period 1991-2010 for three scenarios: RCP2.6, RCP4.5, and RCP8.5. We used bias-adjusted RCM data for daily maximum, mean, and minimum temperature and precipitation provided via ESGF web-portal. We applied a multi-model ensemble approach with further bias-correction by delta-method for multi-year monthly values of the essential characteristics as well as calculated climatic indices using a gridded observational dataset of E-Obs v.20.0e. Ensembles for RCP4.5 and RCP8.5 consisted of 34 RCMs while for RCP2.6 only data of 3 RCMs</w:t>
      </w:r>
    </w:p>
    <w:p>
      <w:pPr>
        <w:pStyle w:val="Heading2"/>
      </w:pPr>
      <w:r>
        <w:t>905.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2025:</w:t>
      </w:r>
      <w:r>
        <w:t xml:space="preserve"> Plural Values of Culture in Europe — https://openalex.org/W7137507789</w:t>
      </w:r>
    </w:p>
    <w:p>
      <w:pPr/>
      <w:r>
        <w:rPr>
          <w:b/>
        </w:rPr>
        <w:t>Shared claim-specific concepts:</w:t>
      </w:r>
      <w:r>
        <w:t xml:space="preserve"> applying, three, decades, current;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2023:</w:t>
      </w:r>
      <w:r>
        <w:t xml:space="preserve"> Comparative analysis of photovoltaic configurations for agrivoltaic systems in Europe — https://doi.org/10.1002/pip.3727</w:t>
      </w:r>
    </w:p>
    <w:p>
      <w:pPr/>
      <w:r>
        <w:rPr>
          <w:b/>
        </w:rPr>
        <w:t>Shared claim-specific concepts:</w:t>
      </w:r>
      <w:r>
        <w:t xml:space="preserve"> three, current, use; EU scope visible. This is a provisional connection, not an outcome finding.</w:t>
      </w:r>
    </w:p>
    <w:p>
      <w:pPr>
        <w:pStyle w:val="SourceNote"/>
      </w:pPr>
      <w:r>
        <w:rPr>
          <w:b/>
        </w:rPr>
        <w:t>Available abstract (not full text):</w:t>
      </w:r>
      <w:r>
        <w:t xml:space="preserve"> Abstract Agrivoltaics is the dual use of land by combining agricultural crop production and photovoltaic (PV) systems. In this work, we have analyzed three different agrivoltaic configurations: static with optimal tilt, vertically mounted bifacial, and single‐axis horizontal tracking. A model is developed to calculate the shadowing losses on the PV panels along with the reduced solar irradiation reaching the area under them for different PV capacity densities. First, we investigate the trade‐offs using a location in Denmark as a case study and second, we extrapolate the analysis to the rest of Europe. We find that the vertical and single‐axis tracking produce more uniform irradiance on the ground, and a capacity density of around 30 W/m 2 is suitable for agrivoltaic systems. Based on our model and a 100‐m‐resolution land cover database, we calculate the potential for agrivoltaic in every region within the European Union. The potential for agrivoltaic is enormous as the electricity generated by agrivoltaic systems could produce 25 times the current electricity demand in Europe. Overall, the potential capacity for agrivoltaic in Europe is 51 TW, which would result in an electricity yield of 71,500 TWh/year.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current;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Forest-based climate change mitigation and adaptation in Europe — https://doi.org/10.36333/fs14</w:t>
      </w:r>
    </w:p>
    <w:p>
      <w:pPr/>
      <w:r>
        <w:rPr>
          <w:b/>
        </w:rPr>
        <w:t>Shared claim-specific concepts:</w:t>
      </w:r>
      <w:r>
        <w:t xml:space="preserve"> climate, over, use;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climate, trends;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2021:</w:t>
      </w:r>
      <w:r>
        <w:t xml:space="preserve"> Aviation Contrail Cirrus and Radiative Forcing Over Europe During 6 Months of COVID‐19 — https://doi.org/10.1029/2021gl092771</w:t>
      </w:r>
    </w:p>
    <w:p>
      <w:pPr/>
      <w:r>
        <w:rPr>
          <w:b/>
        </w:rPr>
        <w:t>Shared claim-specific concepts:</w:t>
      </w:r>
      <w:r>
        <w:t xml:space="preserve"> partially, observed, over; EU scope visible. This is a provisional connection, not an outcome finding.</w:t>
      </w:r>
    </w:p>
    <w:p>
      <w:pPr>
        <w:pStyle w:val="SourceNote"/>
      </w:pPr>
      <w:r>
        <w:rPr>
          <w:b/>
        </w:rPr>
        <w:t>Available abstract (not full text):</w:t>
      </w:r>
      <w:r>
        <w:t xml:space="preserve"> Abstract The COVID‐19 pandemic led to a 72% reduction of air traffic over Europe in March–August 2020 compared to 2019. Modeled contrail cover declined similarly, and computed mean instantaneous radiative contrail forcing dropped regionally by up to 0.7 W m−2. Here, model predictions of cirrus optical thickness and the top‐of‐atmosphere outgoing longwave and reflected shortwave irradiances are tested by comparison to Meteosat‐SEVIRI‐derived data. The agreement between observations and modeled data is slightly better when modeled contrail cirrus contributions are included. The spatial distributions and diurnal cycles of the differences in these data between 2019 and 2020 are partially caused by differences in atmospheric and surface conditions, particularly for solar radiation in the spring of 2020. Aviation signals become discernible in the observed differences of these data between 2019 and 2020 when subtracting numerical weather prediction model results that approximate the atmosphere and surface conditions without contrails.</w:t>
      </w:r>
    </w:p>
    <w:p>
      <w:pPr/>
      <w:r>
        <w:rPr>
          <w:b/>
        </w:rPr>
        <w:t>POSSIBLE 2020:</w:t>
      </w:r>
      <w:r>
        <w:t xml:space="preserve"> Differing Trends in United States and European Severe Thunderstorm Environments in a Warming Climate — https://doi.org/10.1175/bams-d-20-0004.1</w:t>
      </w:r>
    </w:p>
    <w:p>
      <w:pPr/>
      <w:r>
        <w:rPr>
          <w:b/>
        </w:rPr>
        <w:t>Shared claim-specific concepts:</w:t>
      </w:r>
      <w:r>
        <w:t xml:space="preserve"> partially, climate, trends, observed, over, central; EU scope visible. This is a provisional connection, not an outcome finding.</w:t>
      </w:r>
    </w:p>
    <w:p>
      <w:pPr>
        <w:pStyle w:val="SourceNote"/>
      </w:pPr>
      <w:r>
        <w:rPr>
          <w:b/>
        </w:rPr>
        <w:t>Available abstract (not full text):</w:t>
      </w:r>
      <w:r>
        <w:t xml:space="preserve">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pPr/>
      <w:r>
        <w:rPr>
          <w:b/>
        </w:rPr>
        <w:t>POSSIBLE 2020:</w:t>
      </w:r>
      <w:r>
        <w:t xml:space="preserve"> Climate and society in European history — https://doi.org/10.1002/wcc.691</w:t>
      </w:r>
    </w:p>
    <w:p>
      <w:pPr/>
      <w:r>
        <w:rPr>
          <w:b/>
        </w:rPr>
        <w:t>Shared claim-specific concepts:</w:t>
      </w:r>
      <w:r>
        <w:t xml:space="preserve"> conclude, climate; EU scope visible. This is a provisional connection, not an outcome finding.</w:t>
      </w:r>
    </w:p>
    <w:p>
      <w:pPr>
        <w:pStyle w:val="SourceNote"/>
      </w:pPr>
      <w:r>
        <w:rPr>
          <w:b/>
        </w:rPr>
        <w:t>Available abstract (not full text):</w:t>
      </w:r>
      <w:r>
        <w:t xml:space="preserve"> Abstract This article evaluates 165 studies from various disciplines, published between 2000 and 2019, which in different ways link past climate variability and change to human history in medieval and early modern Europe (here, c . 700–1815 CE). Within this review, we focus on the identification and interpretation of causal links between changes in climate and in human societies. A revised climate–society impact order model of historical climate–society interactions is presented and applied to structure the findings of the past 20 years' scholarship. Despite considerable progress in research about past climate–society relations, partly expedited by new palaeoclimate data, we identify limitations to knowledge, including geographical biases, a disproportional attention to extremely cold periods, and a focus on crises. Furthermore, recent scholarship shows that the limitations with particular disciplinary approaches can be successfully overcome through interdisciplinary collaborations. We conclude the article by proposing recommendations for future directions of research in the climatic change–human history nexus. This article is categorized under: Climate, History, Society, Culture &gt; Ideas and Knowledge</w:t>
      </w:r>
    </w:p>
    <w:p>
      <w:pPr/>
      <w:r>
        <w:rPr>
          <w:b/>
        </w:rPr>
        <w:t>POSSIBLE 2020:</w:t>
      </w:r>
      <w:r>
        <w:t xml:space="preserve"> Causal networks for climate model evaluation and constrained projections — https://doi.org/10.1038/s41467-020-15195-y</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Global climate models are central tools for understanding past and future climate change. The assessment of model skill, in turn, can benefit from modern data science approaches. Here we apply causal discovery algorithms to sea level pressure data from a large set of climate model simulations and, as a proxy for observations, meteorological reanalyses. We demonstrate how the resulting causal networks (fingerprints) offer an objective pathway for process-oriented model evaluation. Models with fingerprints closer to observations better reproduce important precipitation patterns over highly populated areas such as the Indian subcontinent, Africa, East Asia, Europe and North America. We further identify expected model interdependencies due to shared development backgrounds. Finally, our network metrics provide stronger relationships for constraining precipitation projections under climate change as compared to traditional evaluation metrics for storm tracks or precipitation itself. Such emergent relationships highlight the potential of causal networks to constrain longstanding uncertainties in climate change projections.</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climate, trends, over;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r>
        <w:rPr>
          <w:b/>
        </w:rPr>
        <w:t>POSSIBLE 2020:</w:t>
      </w:r>
      <w:r>
        <w:t xml:space="preserve"> ClimateEU, scale-free climate normals, historical time series, and future projections for Europe — https://doi.org/10.1038/s41597-020-00763-0</w:t>
      </w:r>
    </w:p>
    <w:p>
      <w:pPr/>
      <w:r>
        <w:rPr>
          <w:b/>
        </w:rPr>
        <w:t>Shared claim-specific concepts:</w:t>
      </w:r>
      <w:r>
        <w:t xml:space="preserve"> conclude, climate, last; EU scope visible. This is a provisional connection, not an outcome finding.</w:t>
      </w:r>
    </w:p>
    <w:p>
      <w:pPr>
        <w:pStyle w:val="SourceNote"/>
      </w:pPr>
      <w:r>
        <w:rPr>
          <w:b/>
        </w:rPr>
        <w:t>Available abstract (not full text):</w:t>
      </w:r>
      <w:r>
        <w:t xml:space="preserve"> Abstract Interpolated climate data have become essential for regional or local climate change impact assessments and the development of climate change adaptation strategies. Here, we contribute an accessible, comprehensive database of interpolated climate data for Europe that includes monthly, annual, decadal, and 30-year normal climate data for the last 119 years (1901 to 2019) as well as multi-model CMIP5 climate change projections for the 21 st century. The database also includes variables relevant for ecological research and infrastructure planning, comprising more than 20,000 climate grids that can be queried with a provided ClimateEU software package. In addition, 1 km and 2.5 km resolution gridded data generated by the software are available for download. The quality of ClimateEU estimates was evaluated against weather station data for a representative subset of climate variables. Dynamic environmental lapse rate algorithms employed by the software to generate scale-free climate variables for specific locations lead to improvements of 10 to 50% in accuracy compared to gridded data. We conclude with a discussion of applications and limitations of this database.</w:t>
      </w:r>
    </w:p>
    <w:p>
      <w:pPr>
        <w:pStyle w:val="Heading2"/>
      </w:pPr>
      <w:r>
        <w:t>906.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2026:</w:t>
      </w:r>
      <w:r>
        <w:t xml:space="preserve"> Ecosystem service trade-offs of upstream afforestation: an integrated hydrological-economic assessment in the Sorraia basin, Portugal — https://doi.org/10.3389/fenvs.2026.1838037</w:t>
      </w:r>
    </w:p>
    <w:p>
      <w:pPr/>
      <w:r>
        <w:rPr>
          <w:b/>
        </w:rPr>
        <w:t>Shared claim-specific concepts:</w:t>
      </w:r>
      <w:r>
        <w:t xml:space="preserve"> hydrological, climate, water, use, streamflow; EU scope visible. This is a provisional connection, not an outcome finding.</w:t>
      </w:r>
    </w:p>
    <w:p>
      <w:pPr>
        <w:pStyle w:val="SourceNote"/>
      </w:pPr>
      <w:r>
        <w:rPr>
          <w:b/>
        </w:rPr>
        <w:t>Available abstract (not full text):</w:t>
      </w:r>
      <w:r>
        <w:t xml:space="preserve"> Introduction Across Europe, river basins face growing pressures from pollution, hydrological alteration, water abstraction and climate change, with many failing to achieve good ecological status. Southern Europe is particularly vulnerable due to seasonal water scarcity, erosion-prone soils and intensive land use. Upstream afforestation can improve ecosystem functioning, although outcomes depend on species choice and management, and resulting environmental and economic trade-offs are poorly understood. Methods Using the Sorraia basin (Portugal) as a case study, this study presents a hydrological–economic assessment of upstream afforestation scenarios: expanding eucalyptus plantations (EUCINT) versus restoring native cork-oak forests (RESTOAK) under current and mid-century climate conditions, focusing on streamflow, sediment and phosphorus loads (modelled using SWAT) and related ecosystem services, including agricultural production, reservoir sediment management, water purification and recreation, alongside direct economic returns associated with land-use change. Results The results show that afforestation has limited effects on streamflow (+1% under RESTOAK; up to −9% under EUCINT) compared to projected climate change impacts, but substantially influences sediment and nutrient dynamics. Sediment loads into reservoirs increase by 85–185% under EUCINT but decrease by 36–75% under </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2025:</w:t>
      </w:r>
      <w:r>
        <w:t xml:space="preserve"> Hydrological and landscape controls on dissolved organic matter dynamics in European wetlands — https://doi.org/10.31223/x5vv0s</w:t>
      </w:r>
    </w:p>
    <w:p>
      <w:pPr/>
      <w:r>
        <w:rPr>
          <w:b/>
        </w:rPr>
        <w:t>Shared claim-specific concepts:</w:t>
      </w:r>
      <w:r>
        <w:t xml:space="preserve"> hydrological, climate, first; EU scope visible. This is a provisional connection, not an outcome finding.</w:t>
      </w:r>
    </w:p>
    <w:p>
      <w:pPr>
        <w:pStyle w:val="SourceNote"/>
      </w:pPr>
      <w:r>
        <w:rPr>
          <w:b/>
        </w:rPr>
        <w:t>Available abstract (not full text):</w:t>
      </w:r>
      <w:r>
        <w:t xml:space="preserve"> Dissolved organic matter (DOM) is a key component in aquatic ecosystems, representing the main source of energy for microbial metabolism and playing a crucial role in C sequestration and export. Its optical properties (absorption and fluorescence) provide integrated information on its quality (average molecular weight and aromaticity degree, main sources, presence of protein like and humic-like substances). This paper provides an assessment of the impact of catchment characteristics, seasonality and ecological conditions (altered, restored, well-preserved) on DOM dynamics across six European coastal wetlands of contrasting ecological types. DOM concentration and optical properties show inter-wetland differences, with the highest concentrations of DOC in evaporation-driven Mediterranean systems and the lowest ones in Atlantic daily tidally-flushed wetlands. Water-isotope data and optical properties indicate that hydrological confinement, water-residence time and catchment inputs primarily control DOM accumulation and composition, while microbial and photochemical processing modulate its removal within sites. Wetland restoration effects on DOM are evident where hydrological modification reduced eutrophic stress. In evaporation-driven Mediterranean systems, the recovery of more natural flooding regimes limits connectivity and promotes the accumulation of recalcitrant DOM, potentia</w:t>
      </w:r>
    </w:p>
    <w:p>
      <w:pPr/>
      <w:r>
        <w:rPr>
          <w:b/>
        </w:rPr>
        <w:t>POSSIBLE 2024:</w:t>
      </w:r>
      <w:r>
        <w:t xml:space="preserve"> Coupling Deep Learning and Physically Based Hydrological Models for Monthly Streamflow Predictions — https://doi.org/10.1029/2023wr035618</w:t>
      </w:r>
    </w:p>
    <w:p>
      <w:pPr/>
      <w:r>
        <w:rPr>
          <w:b/>
        </w:rPr>
        <w:t>Shared claim-specific concepts:</w:t>
      </w:r>
      <w:r>
        <w:t xml:space="preserve"> coupling, hydrological, first, streamflow; EU scope not established. This is a provisional connection, not an outcome finding.</w:t>
      </w:r>
    </w:p>
    <w:p>
      <w:pPr>
        <w:pStyle w:val="SourceNote"/>
      </w:pPr>
      <w:r>
        <w:rPr>
          <w:b/>
        </w:rPr>
        <w:t>Available abstract (not full text):</w:t>
      </w:r>
      <w:r>
        <w:t xml:space="preserve"> Abstract This study proposes a new hybrid model for monthly streamflow predictions by coupling a physically based distributed hydrological model with a deep learning (DL) model. Specifically, a simplified hydrological model is first developed by optimally selecting grid cells from a distributed hydrological model according to their soil moisture characteristics. It is then driven by bias corrected general circulation model (GCM) predictions to generate soil moistures for the forecasting months. Finally, model‐simulated soil moisture along with other predictors from multiple sources are used as inputs of the DL model to predict future monthly streamflows. The proposed hybrid model, using the simplified Variable Infiltration Capacity (VIC) as the hydrological model and the combination of Convolutional Neural Network and Gated Recurrent Unit (CNN‐GRU) as the DL model, is applied to predict 1‐, 3‐, and 6‐month ahead reservoir inflows for the Danjiangkou Reservoir in China. The results show that the hybrid model consistently performs better than VIC and CNN‐GRU models with great improvement in Kling‐Gupta efficiency (KGE) values for lead times up to 6 months. Additional tests indicate that hybrid models based on CNN‐GRU outperform those based on LASSO, XGBoost, CNN, and GRU models. Moreover, compared with the distributed hydrological model, the hybrid model greatly reduces the compu</w:t>
      </w:r>
    </w:p>
    <w:p>
      <w:pPr/>
      <w:r>
        <w:rPr>
          <w:b/>
        </w:rPr>
        <w:t>POSSIBLE 2024:</w:t>
      </w:r>
      <w:r>
        <w:t xml:space="preserve"> Coupling hydrological and sanitation datasets to simulate wastewater-derived contamination in European rivers: Model development and calibration — https://doi.org/10.1016/j.envsoft.2024.106049</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Wastewater treatment plant (WWTP) discharges of microcontaminants have been shown to have negative impacts on freshwater streams, highlighting the need for accurate mapping of wastewater-derived contamination in water bodies across Europe (EU). In this study, we present a fast and open-source code for a microcontaminants fate and transport (MFT) model, capable of simulating contamination at a high resolution (15 arc second scale) across the EU in just 25 seconds. The model was developed using the best publicly available hydrological (HydroSHEDS) and sanitation (UWWTD) datasets and was rigorously calibrated, with a goodness of fit ([[EQUATION]] of 77.5%) that is the largest reported in the literature for MFT models. Importantly, the model demonstrated the ability to predict wastewater-derived contamination in water bodies, making it a valuable tool for planning the upgrade of WWTPs and improving the ecological condition of freshwater streams in the EU.</w:t>
      </w:r>
    </w:p>
    <w:p>
      <w:pPr/>
      <w:r>
        <w:rPr>
          <w:b/>
        </w:rPr>
        <w:t>POSSIBLE 2024:</w:t>
      </w:r>
      <w:r>
        <w:t xml:space="preserve"> Coupling Hydrological and Economic Model for the Analysis of Staged Growth in Water Management Systems — https://doi.org/10.3390/w16233437</w:t>
      </w:r>
    </w:p>
    <w:p>
      <w:pPr/>
      <w:r>
        <w:rPr>
          <w:b/>
        </w:rPr>
        <w:t>Shared claim-specific concepts:</w:t>
      </w:r>
      <w:r>
        <w:t xml:space="preserve"> coupling, hydrological, water; EU scope not established. This is a provisional connection, not an outcome finding.</w:t>
      </w:r>
    </w:p>
    <w:p>
      <w:pPr>
        <w:pStyle w:val="SourceNote"/>
      </w:pPr>
      <w:r>
        <w:rPr>
          <w:b/>
        </w:rPr>
        <w:t>Available abstract (not full text):</w:t>
      </w:r>
      <w:r>
        <w:t xml:space="preserve"> Planning and managing water resource systems with multipurpose surface reservoirs demand the careful consideration of several critical factors, including system longevity, multiple uses, phased development, substantial financial investments, complex management requirements, uncertainties in predicting future hydrological inputs, and the estimation of economic parameters. Despite the importance of these factors, recent research and software development efforts for water resource system planning and management have predominantly focused on hydrological models. Economic models that describe the phased growth of such systems are often either absent or not fully integrated into decision-making software. Well-established network-based decision support tools, such as MODSIM, AcquaNet, and SIMYLD-II, provide robust hydrological modeling but lack explicit economic sub-models to address the evolving nature of water resource systems over time. This paper introduces a novel approach that combines optimization and simulation techniques to evaluate the multi-year performance of a growing water resource system. By conducting multiple model runs for each phase of system development—each characterized by unique topologies, demand patterns, hydrological conditions, and water delivery preferences—economic analyses are suggested to complete the global evaluation of the system. This comprehensive a</w:t>
      </w:r>
    </w:p>
    <w:p>
      <w:pPr/>
      <w:r>
        <w:rPr>
          <w:b/>
        </w:rPr>
        <w:t>POSSIBLE 2024:</w:t>
      </w:r>
      <w:r>
        <w:t xml:space="preserve"> Enhanced Regional Ocean Ensemble Data Assimilation Through Atmospheric Coupling in the SKRIPS Model — https://doi.org/10.1016/j.ocemod.2024.102424</w:t>
      </w:r>
    </w:p>
    <w:p>
      <w:pPr/>
      <w:r>
        <w:rPr>
          <w:b/>
        </w:rPr>
        <w:t>Shared claim-specific concepts:</w:t>
      </w:r>
      <w:r>
        <w:t xml:space="preserve"> coupling, ensemble; EU scope not established. This is a provisional connection, not an outcome finding.</w:t>
      </w:r>
    </w:p>
    <w:p>
      <w:pPr>
        <w:pStyle w:val="SourceNote"/>
      </w:pPr>
      <w:r>
        <w:rPr>
          <w:b/>
        </w:rPr>
        <w:t>Available abstract (not full text):</w:t>
      </w:r>
      <w:r>
        <w:t xml:space="preserve"> We investigate the impact of ocean data assimilation using the Ensemble Adjustment Kalman Filter (EAKF) from the Data Assimilation Research Testbed (DART) on the oceanic and atmospheric states of the Red Sea. Our study extends the ocean data assimilation experiment performed by Sanikommu et al. (2020) by utilizing the SKRIPS model coupling the MITgcm ocean model and the Weather Research and Forecasting (WRF) atmosphere model. Using a 50-member ensemble, we assimilate satellite-derived sea surface temperature and height and in-situ temperature and salinity profiles every three days for one year, starting January 01 2011. Atmospheric data are not assimilated in the experiments. To improve the ensemble realism, perturbations are added to the WRF model using several physics options and the stochastic kinetic energy backscatter (SKEB) scheme. Compared with the control experiments using uncoupled MITgcm with ECMWF ensemble forcing, the EAKF ensemble mean oceanic states from the coupled model are better or insignificantly worse (root-mean-square-errors are 30% to -2% smaller), especially when the atmospheric model uncertainties are accounted for with stochastic perturbations. We hypothesize that the ensemble spreads of the air–sea fluxes are better represented in the downscaled WRF ensembles when uncertainties are well accounted for, leading to improved representation of the ensemble </w:t>
      </w:r>
    </w:p>
    <w:p>
      <w:pPr/>
      <w:r>
        <w:rPr>
          <w:b/>
        </w:rPr>
        <w:t>POSSIBLE 2024:</w:t>
      </w:r>
      <w:r>
        <w:t xml:space="preserve"> Coupling a large-scale glacier and hydrological model (OGGM v1.5.3 and CWatM V1.08) – towards an improved representation of mountain water resources in global assessments — https://doi.org/10.5194/gmd-17-5123-2024</w:t>
      </w:r>
    </w:p>
    <w:p>
      <w:pPr/>
      <w:r>
        <w:rPr>
          <w:b/>
        </w:rPr>
        <w:t>Shared claim-specific concepts:</w:t>
      </w:r>
      <w:r>
        <w:t xml:space="preserve"> coupling, hydrological, climate, simulations, water; EU scope not established. This is a provisional connection, not an outcome finding.</w:t>
      </w:r>
    </w:p>
    <w:p>
      <w:pPr>
        <w:pStyle w:val="SourceNote"/>
      </w:pPr>
      <w:r>
        <w:rPr>
          <w:b/>
        </w:rPr>
        <w:t>Available abstract (not full text):</w:t>
      </w:r>
      <w:r>
        <w:t xml:space="preserve"> Abstract. Glaciers are present in many large river basins, and due to climate change, they are undergoing considerable changes in terms of area, volume, runoff and seasonality. Although the spatial extent of glaciers is very limited in most large river basins, their role in hydrology can be substantial because glaciers store large amounts of water at varying time scales. Large-scale hydrological models are an important tool to assess climate change impacts on water resources in large river basins worldwide. Nevertheless, glaciers remain poorly represented in large-scale hydrological models. Here we present a coupling between the large-scale glacier model OGGM (v1.5.3) and the large-scale hydrological model CWatM (V1.08). We evaluated the improved glacier representation in the coupled model against the baseline hydrological model for selected river basins at 5 arcmin resolution and globally at 30 arcmin resolution, focusing on discharge projections under climate change scenarios. We find that increases in future discharge are attenuated, whereas decreases are exacerbated when glaciers are represented explicitly in the large-scale hydrological model simulations. This is explained by a projected decrease in glacier runoff in almost all basins. Calibration can compensate for lacking glacier representation in large-scale hydrological models in the past. Nevertheless, only an improve</w:t>
      </w:r>
    </w:p>
    <w:p>
      <w:pPr>
        <w:pStyle w:val="Heading2"/>
      </w:pPr>
      <w:r>
        <w:t>907.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2025:</w:t>
      </w:r>
      <w:r>
        <w:t xml:space="preserve"> Assessing human-caused wildfire ignition likelihood across Europe — https://doi.org/10.5194/nhess-25-4713-2025</w:t>
      </w:r>
    </w:p>
    <w:p>
      <w:pPr/>
      <w:r>
        <w:rPr>
          <w:b/>
        </w:rPr>
        <w:t>Shared claim-specific concepts:</w:t>
      </w:r>
      <w:r>
        <w:t xml:space="preserve"> land, set, relevant;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assess, climate, land;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Multifaceted Conscription: A Comparative Study of Six European Countries — https://doi.org/10.31374/sjms.166</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2024:</w:t>
      </w:r>
      <w:r>
        <w:t xml:space="preserve"> Assessing the Causal Impact of Culture on Socio-economic Variables in European Countries — https://doi.org/10.1177/02601079241232775</w:t>
      </w:r>
    </w:p>
    <w:p>
      <w:pPr/>
      <w:r>
        <w:rPr>
          <w:b/>
        </w:rPr>
        <w:t>Shared claim-specific concepts:</w:t>
      </w:r>
      <w:r>
        <w:t xml:space="preserve"> article, assess, set, indicators; EU scope visible. This is a provisional connection, not an outcome finding.</w:t>
      </w:r>
    </w:p>
    <w:p>
      <w:pPr>
        <w:pStyle w:val="SourceNote"/>
      </w:pPr>
      <w:r>
        <w:rPr>
          <w:b/>
        </w:rPr>
        <w:t>Available abstract (not full text):</w:t>
      </w:r>
      <w:r>
        <w:t xml:space="preserve"> Despite the growing attention to the impact of culture on socio-economic indicators, there is a lack of causality evidence. Scholars have noted that cultural values or norms, as well as, a vibrant cultural environment can have a positive impact on GDP growth, labour productivity, the attraction of human capital and the improvement of human well-being. However, the issue of endogeneity is not thoroughly debated. Not only can culture impact economic development, but socio-economic environment also affects the cultural indicators. Therefore, it is essential to identify the causal effects of culture. This article aims to assess whether culture has a causal impact on socio-economic variables. The Granger procedure is utilised to evaluate causal relationships, describing the cultural environment with a comprehensive set of 45 cultural indicators across 30 European countries. This enables the comparison of the relationship between culture and socio-economic variables using the same method across different countries. Additionally, cultural indices are constructed. The research is extended by employing a panel vector autoregression (VAR) model. The key finding of this article demonstrates a causal impact of culture on socio-economic indicators, confirmed by both the Granger procedure and panel VAR estimations. JEL Code: Z1</w:t>
      </w:r>
    </w:p>
    <w:p>
      <w:pPr/>
      <w:r>
        <w:rPr>
          <w:b/>
        </w:rPr>
        <w:t>POSSIBLE 2024:</w:t>
      </w:r>
      <w:r>
        <w:t xml:space="preserve"> Digital divide in the european union: assessing spatial disparities and neighborhood effects — https://doi.org/10.2298/ijgi2402181t</w:t>
      </w:r>
    </w:p>
    <w:p>
      <w:pPr/>
      <w:r>
        <w:rPr>
          <w:b/>
        </w:rPr>
        <w:t>Shared claim-specific concepts:</w:t>
      </w:r>
      <w:r>
        <w:t xml:space="preserve"> article, assess; EU scope visible. This is a provisional connection, not an outcome finding.</w:t>
      </w:r>
    </w:p>
    <w:p>
      <w:pPr>
        <w:pStyle w:val="SourceNote"/>
      </w:pPr>
      <w:r>
        <w:rPr>
          <w:b/>
        </w:rPr>
        <w:t>Available abstract (not full text):</w:t>
      </w:r>
      <w:r>
        <w:t xml:space="preserve"> This article aims to investigate whether the digital inequality within the European Union (EU) has been reduced in the period 2017-2022. The goal of the study is to measure the dynamics of EU digital inequality and assess the effectiveness of the EU supranational bodies in reducing digital disparities. The author seeks to determine if the dynamics of this divide have been influenced by the EU's supranational policy fostering digital transformation by juxtaposing EU financing of digital transformation and spatial disparities among EU members based on Digital Economy and Society Index (DESI) and its components. The study reveals that, despite the fact that the agenda of digital divide reduction has been in the focus of the European supranational bodies within the last 22 years, the funding of digital transformation was neither adequate in terms of volumes nor consistent. The main beneficiaries were the EU members located in Western and Southern Europe and the least supported area was the members in Eastern Europe. In addition, using spatial econometric analysis, the author proves that the spatial digital divide has decreased in the period 2017-2022 and coincides only partially with the conventional cleavage ?developed North &amp; West VS lagging South &amp; East?. However, as the correlation analysis shows, the EU financial support of digital transformation had a slight positive impact o</w:t>
      </w:r>
    </w:p>
    <w:p>
      <w:pPr/>
      <w:r>
        <w:rPr>
          <w:b/>
        </w:rPr>
        <w:t>POSSIBLE 2024:</w:t>
      </w:r>
      <w:r>
        <w:t xml:space="preserve"> The European Parliament as the voice of the European citizens? Examining the European Parliament’s role as a representative of the European citizens in the 2019 elections — https://doi.org/10.36253/qoe-15524</w:t>
      </w:r>
    </w:p>
    <w:p>
      <w:pPr/>
      <w:r>
        <w:rPr>
          <w:b/>
        </w:rPr>
        <w:t>Shared claim-specific concepts:</w:t>
      </w:r>
      <w:r>
        <w:t xml:space="preserve"> article, assess; EU scope visible. This is a provisional connection, not an outcome finding.</w:t>
      </w:r>
    </w:p>
    <w:p>
      <w:pPr>
        <w:pStyle w:val="SourceNote"/>
      </w:pPr>
      <w:r>
        <w:rPr>
          <w:b/>
        </w:rPr>
        <w:t>Available abstract (not full text):</w:t>
      </w:r>
      <w:r>
        <w:t xml:space="preserve"> The European Parliament is considered a solution to the democratic deficit because the citizens of the EU directly elect it. This article aims to examine the validity of this claim. Concerning representativeness, the focus is on the homogeneity of rules and procedures used for electing the members of the European Parliament (MEPs). This homogeneity is considered as necessary for the EP to represent the EU citizens. Thus, it aims to assess the impact of the United Kingdom's withdrawal from the European Union on the level of homogeneity of the rules used to conduct the 2019 European Parliament elections. This work claims that the European Parliament's role as representative of European Citizens is weakened by the consistent level of heterogeneity characterising the electoral rules used to elect it and that the withdrawal of the UK and the partial redistribution of seats simultaneously increased and decreased the level of homogeneity of the rules used to elect the MEPs.</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article, climate, use, environmental;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Foraging Practices and Sustainable Management of Wild Food Resources in Europe: A Systematic Review — https://doi.org/10.3390/land12071299</w:t>
      </w:r>
    </w:p>
    <w:p>
      <w:pPr/>
      <w:r>
        <w:rPr>
          <w:b/>
        </w:rPr>
        <w:t>Shared claim-specific concepts:</w:t>
      </w:r>
      <w:r>
        <w:t xml:space="preserve"> aim, article, land, use; EU scope visible. This is a provisional connection, not an outcome finding.</w:t>
      </w:r>
    </w:p>
    <w:p>
      <w:pPr>
        <w:pStyle w:val="SourceNote"/>
      </w:pPr>
      <w:r>
        <w:rPr>
          <w:b/>
        </w:rPr>
        <w:t>Available abstract (not full text):</w:t>
      </w:r>
      <w:r>
        <w:t xml:space="preserve"> Wild food gathering activities (i.e., foraging practices) played an important role in securing food in the past. Nowadays, these resources and the knowledge around their use are experiencing a process of erosion. This article aims to identify the factors explaining the abandonment or, on the other hand, the preservation of foraging practices in Europe. The second aim is to analyze how these practices contribute to the economic and social development of local communities and to the sustainability of land management. A systematic review of the literature on European foraging practices was performed to answer these research questions. Following this approach, 111 publications were selected and analyzed. The results highlight that the reasons for the abandonment of foraging practices are related to socio-economic changes as well as changes in the environment such as reduced availability and land-use change. On the other hand, heritagization processes of these resources, such as wild plants sold as traditional local products, in restaurants, or as eco-tourism experiences, are emerging. The sustainability of these practices has not been widely evaluated in the literature. Efficient management strategies of wild food resources could help foster all three dimensions of sustainability at the local level, as well as help preserve traditional knowledge. This systematic review thus contrib</w:t>
      </w:r>
    </w:p>
    <w:p>
      <w:pPr/>
      <w:r>
        <w:rPr>
          <w:b/>
        </w:rPr>
        <w:t>POSSIBLE 2023:</w:t>
      </w:r>
      <w:r>
        <w:t xml:space="preserve"> Review article: A European perspective on wind and storm damage – from the meteorological background to index-based approaches to assess impacts — https://doi.org/10.5194/nhess-23-2171-2023</w:t>
      </w:r>
    </w:p>
    <w:p>
      <w:pPr/>
      <w:r>
        <w:rPr>
          <w:b/>
        </w:rPr>
        <w:t>Shared claim-specific concepts:</w:t>
      </w:r>
      <w:r>
        <w:t xml:space="preserve"> article, assess, land; EU scope visible. This is a provisional connection, not an outcome finding.</w:t>
      </w:r>
    </w:p>
    <w:p>
      <w:pPr>
        <w:pStyle w:val="SourceNote"/>
      </w:pPr>
      <w:r>
        <w:rPr>
          <w:b/>
        </w:rPr>
        <w:t>Available abstract (not full text):</w:t>
      </w:r>
      <w:r>
        <w:t xml:space="preserve"> Abstract. Wind and windstorms cause severe damage to natural and human-made environments. Thus, wind-related risk assessment is vital for the preparation and mitigation of calamities. However, the cascade of events leading to damage depends on many factors that are environment-specific and the available methods to address wind-related damage often require sophisticated analysis and specialization. Fortunately, simple indices and thresholds are as effective as complex mechanistic models for many applications. Nonetheless, the multitude of indices and thresholds available requires a careful selection process according to the target environment. Here, we first provide a basic background on wind and storm formation and characteristics, followed by a comprehensive collection of both indices and thresholds that can be used to predict the occurrence and magnitude of wind and storm damage. We focused on five key environments: forests, urban, transport, agriculture, and wind-based energy production. For each environment we described indices and thresholds relating to physical properties such as topography and land cover but also to economic aspects (e.g. disruptions in transportation or energy production). In the face of increased climatic variability, the promotion of more effective analysis of wind and storm damage could reduce the impact on society and the environment.</w:t>
      </w:r>
    </w:p>
    <w:p>
      <w:pPr/>
      <w:r>
        <w:rPr>
          <w:b/>
        </w:rPr>
        <w:t>POSSIBLE 2022:</w:t>
      </w:r>
      <w:r>
        <w:t xml:space="preserve"> Governing artificial intelligence in China and the European Union: Comparing aims and promoting ethical outcomes — https://doi.org/10.1080/01972243.2022.2124565</w:t>
      </w:r>
    </w:p>
    <w:p>
      <w:pPr/>
      <w:r>
        <w:rPr>
          <w:b/>
        </w:rPr>
        <w:t>Shared claim-specific concepts:</w:t>
      </w:r>
      <w:r>
        <w:t xml:space="preserve"> aim, article, use; EU scope visible. This is a provisional connection, not an outcome finding.</w:t>
      </w:r>
    </w:p>
    <w:p>
      <w:pPr>
        <w:pStyle w:val="SourceNote"/>
      </w:pPr>
      <w:r>
        <w:rPr>
          <w:b/>
        </w:rPr>
        <w:t>Available abstract (not full text):</w:t>
      </w:r>
      <w:r>
        <w:t xml:space="preserve"> In this article, we compare the artificial intelligence strategies of China and the European Union, assessing the key similarities and differences regarding what the high-level aims of each governance strategy are, how the development and use of AI is promoted in the public and private sectors, and whom these policies are meant to benefit. We characterize China’s strategy by its primary focus on fostering innovation and a more recent emphasis on “common prosperity,” and the EU’s on promoting ethical outcomes through protecting fundamental rights. Building on this comparative analysis, we consider the areas where the EU and China could learn from and improve upon each other’s approaches to AI governance to promote more ethical outcomes. We outline policy recommendations for both European and Chinese policymakers that would support them in achieving this aim.</w:t>
      </w:r>
    </w:p>
    <w:p>
      <w:pPr>
        <w:pStyle w:val="Heading2"/>
      </w:pPr>
      <w:r>
        <w:t>908.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trends, purpose;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Effects of Circularity Interventions in the European Plastic Packaging Sector — https://doi.org/10.1021/acs.est.2c08202</w:t>
      </w:r>
    </w:p>
    <w:p>
      <w:pPr/>
      <w:r>
        <w:rPr>
          <w:b/>
        </w:rPr>
        <w:t>Shared claim-specific concepts:</w:t>
      </w:r>
      <w:r>
        <w:t xml:space="preserve"> potential, packaging, work, sector;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Chitosan with Natural Additives as a Potential Food Packaging — https://doi.org/10.3390/ma16041579</w:t>
      </w:r>
    </w:p>
    <w:p>
      <w:pPr/>
      <w:r>
        <w:rPr>
          <w:b/>
        </w:rPr>
        <w:t>Shared claim-specific concepts:</w:t>
      </w:r>
      <w:r>
        <w:t xml:space="preserve"> potential, packaging, common, further; EU scope not established. This is a provisional connection, not an outcome finding.</w:t>
      </w:r>
    </w:p>
    <w:p>
      <w:pPr>
        <w:pStyle w:val="SourceNote"/>
      </w:pPr>
      <w:r>
        <w:rPr>
          <w:b/>
        </w:rPr>
        <w:t>Available abstract (not full text):</w:t>
      </w:r>
      <w:r>
        <w:t xml:space="preserve"> Recently, the development of materials based on natural polymers have been observed. This is the result of increasing environmental degradation, as well as increased awareness and consumer expectations. Many industries, especially the packaging industry, face challenges resulting from legal regulations. Chitin is the most common biopolymer right after cellulose and is used to produce chitosan. Due to the properties of chitosan, such as non-toxicity, biocompatibility, as well as antimicrobial properties, chitosan-based materials are used in many industries. Many studies have been conducted to determine the suitability of chitosan materials as food packaging, and their advantages and limitations have been identified. Thanks to the possibility of modifying the chitosan matrix by using natural additives, it is possible to strengthen the antioxidant and antimicrobial activity of chitosan films, which means that, in the near future, chitosan-based materials will be a more environmentally friendly alternative to the plastic packaging used so far. The article presents literature data on the most commonly used natural additives, such as essential oils, plant extracts, or polysaccharides, and their effects on antimicrobial, antioxidant, mechanical, barrier, and optical properties. The application of chitosan as a natural biopolymer in food packaging extends the shelf-life of various food</w:t>
      </w:r>
    </w:p>
    <w:p>
      <w:pPr/>
      <w:r>
        <w:rPr>
          <w:b/>
        </w:rPr>
        <w:t>POSSIBLE 2023:</w:t>
      </w:r>
      <w:r>
        <w:t xml:space="preserve"> European forest sinks and climate targets: past trends, main drivers, and future forecasts — https://doi.org/10.1007/s10342-023-01587-4</w:t>
      </w:r>
    </w:p>
    <w:p>
      <w:pPr/>
      <w:r>
        <w:rPr>
          <w:b/>
        </w:rPr>
        <w:t>Shared claim-specific concepts:</w:t>
      </w:r>
      <w:r>
        <w:t xml:space="preserve"> trends, drivers, sector; EU scope visible. This is a provisional connection, not an outcome finding.</w:t>
      </w:r>
    </w:p>
    <w:p>
      <w:pPr>
        <w:pStyle w:val="SourceNote"/>
      </w:pPr>
      <w:r>
        <w:rPr>
          <w:b/>
        </w:rPr>
        <w:t>Available abstract (not full text):</w:t>
      </w:r>
      <w:r>
        <w:t xml:space="preserve"> Abstract We examine the evolution of European net sinks towards 2030 and the European Union’s (EU) climate neutrality target by 2050. The EU’s current land use policy for 2021–2030 is divided into two periods: 2021–2025 and 2026–2030. The national inventory data from several databases and statistical analyses are used to examine the trends and drivers and to forecast future forest sinks and the net sinks of the land use, land use change and forestry (LULUCF) sector. Our forecasts suggest that national forest sinks will be short of the agreed forest reference levels in most member states in 2021–2025, with a total of 128 MtCO 2 eq. For 2026–2030, the net sink for the whole EU LULUCF sector will be short of the EU target by 298 MtCO 2 eq. Thus, most member states must design more efficient LULUCF policies to fulfil their national targets. Furthermore, the decreasing trends in the LULUCF sinks also emphasize the need to reduce emissions and to increase the sinks in most member states so that the EU can achieve its climate neutrality goal by 2050.</w:t>
      </w:r>
    </w:p>
    <w:p>
      <w:pPr/>
      <w:r>
        <w:rPr>
          <w:b/>
        </w:rPr>
        <w:t>POSSIBLE 2023:</w:t>
      </w:r>
      <w:r>
        <w:t xml:space="preserve"> Population development as a driver of coastal risk: Current trends and future pathways — https://doi.org/10.1017/cft.2023.3</w:t>
      </w:r>
    </w:p>
    <w:p>
      <w:pPr/>
      <w:r>
        <w:rPr>
          <w:b/>
        </w:rPr>
        <w:t>Shared claim-specific concepts:</w:t>
      </w:r>
      <w:r>
        <w:t xml:space="preserve"> potential, trends, work; EU scope not established. This is a provisional connection, not an outcome finding.</w:t>
      </w:r>
    </w:p>
    <w:p>
      <w:pPr>
        <w:pStyle w:val="SourceNote"/>
      </w:pPr>
      <w:r>
        <w:rPr>
          <w:b/>
        </w:rPr>
        <w:t>Available abstract (not full text):</w:t>
      </w:r>
      <w:r>
        <w:t xml:space="preserve"> Abstract Coastal areas are subject to hazards that can result in severe impacts due to the high concentration of people and assets in exposed locations. While climate-induced sea-level rise will exacerbate these hazards in the course of the 21st century, future dynamics in socioeconomic development will play an important role in driving impacts – as well as adaptation responses – in particular in countries with rapid population growth in low-lying coastal areas. Here, we synthesize the current state of knowledge related to current and future population development in coastal locations and the underlying trends in socioeconomic development affecting coastal impacts at continental to global scales. Currently, 2.15 billion people live in the near-coastal zone and 898 million in the low-elevation coastal zone globally. These numbers could increase to 2.9 billion and 1.2 billion, respectively, depending on the socioeconomic scenario (i.e., Shared Socioeconomic Pathway [SSP]) considered. Nevertheless, although these numbers indicate a rapid increase in exposure of population and assets to coastal hazards, they bear limited information about the actual impacts as they do not include information on the vulnerability of coastal population. Based on these insights, we stress the need to account for dynamics in socioeconomic development in coastal risk assessments, including exposure as w</w:t>
      </w:r>
    </w:p>
    <w:p>
      <w:pPr/>
      <w:r>
        <w:rPr>
          <w:b/>
        </w:rPr>
        <w:t>POSSIBLE 2023:</w:t>
      </w:r>
      <w:r>
        <w:t xml:space="preserve"> The Mechanisms of Plastic Food-Packaging Monomers’ Migration into Food Matrix and the Implications on Human Health — https://doi.org/10.3390/foods12183364</w:t>
      </w:r>
    </w:p>
    <w:p>
      <w:pPr/>
      <w:r>
        <w:rPr>
          <w:b/>
        </w:rPr>
        <w:t>Shared claim-specific concepts:</w:t>
      </w:r>
      <w:r>
        <w:t xml:space="preserve"> potential, packaging, implications; EU scope not established. This is a provisional connection, not an outcome finding.</w:t>
      </w:r>
    </w:p>
    <w:p>
      <w:pPr>
        <w:pStyle w:val="SourceNote"/>
      </w:pPr>
      <w:r>
        <w:rPr>
          <w:b/>
        </w:rPr>
        <w:t>Available abstract (not full text):</w:t>
      </w:r>
      <w:r>
        <w:t xml:space="preserve"> The development of packaging technology has become a crucial part of the food industry in today's modern societies, which are characterized by technological advancements, industrialization, densely populated cities, and scientific advancements that have increased food production over the past 50 years despite the lack of agricultural land. Various types of food-packaging materials are utilized, with plastic being the most versatile. However, there are certain concerns with regards to the usage of plastic packaging because of unreacted monomers' potential migration from the polymer packaging to the food. The magnitude of monomer migration depends on numerous aspects, including the monomer chemistry, type of plastic packaging, physical-chemical parameters such as the temperature and pH, and food chemistry. The major concern for the presence of packaging monomers in food is that some monomers are endocrine-disrupting compounds (EDCs) with a capability to interfere with the functioning of vital hormonal systems in the human body. For this reason, different countries have resolved to enforce guidelines and regulations for packaging monomers in food. Additionally, many countries have introduced migration testing procedures and safe limits for packaging monomer migration into food. However, to date, several research studies have reported levels of monomer migration above the set migra</w:t>
      </w:r>
    </w:p>
    <w:p>
      <w:pPr/>
      <w:r>
        <w:rPr>
          <w:b/>
        </w:rPr>
        <w:t>POSSIBLE 2022:</w:t>
      </w:r>
      <w:r>
        <w:t xml:space="preserve"> An Overview of Packaging Waste Models in Some European Countries — https://doi.org/10.3390/recycling7030038</w:t>
      </w:r>
    </w:p>
    <w:p>
      <w:pPr/>
      <w:r>
        <w:rPr>
          <w:b/>
        </w:rPr>
        <w:t>Shared claim-specific concepts:</w:t>
      </w:r>
      <w:r>
        <w:t xml:space="preserve"> packaging, implications, provide, base; EU scope visible. This is a provisional connection, not an outcome finding.</w:t>
      </w:r>
    </w:p>
    <w:p>
      <w:pPr>
        <w:pStyle w:val="SourceNote"/>
      </w:pPr>
      <w:r>
        <w:rPr>
          <w:b/>
        </w:rPr>
        <w:t>Available abstract (not full text):</w:t>
      </w:r>
      <w:r>
        <w:t xml:space="preserve"> Efficient packaging waste management systems are essential considering recent revisions of the European legislation on packaging waste management that sets ambitious targets. European rules aim to deal with the increasing quantities of packaging waste, which cause environmental problems. Consequently, it is necessary to identify functional packaging waste management systems to achieve these targets effectively and efficiently. However, given the heterogeneity of the different packaging management systems, policymakers, scholars, and industry operators struggle to have a comparative view. The number of non-harmonized laws in force across countries, autonomous recycling targets, and constant updates are prominent problems that make it difficult to obtain comparable information for research, business, and policymaking. To fill this gap, our research question consists of assigning responsibilities for prevention, collection, recycling, and recovery and an overview of some models at a glance with respect to the general governance and functioning of the system. We base our research on a multiple-case design since more cases are examined using complementary data collection methods, analysis of the previous literature, reports, legislation, and business and institutional websites. Our results provide insights from the following cases: Germany, France, the United Kingdom, the Netherland</w:t>
      </w:r>
    </w:p>
    <w:p>
      <w:pPr>
        <w:pStyle w:val="Heading2"/>
      </w:pPr>
      <w:r>
        <w:t>909.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2025:</w:t>
      </w:r>
      <w:r>
        <w:t xml:space="preserve"> Driving factors behind Indonesia’s 2015 decision to cooperate with Malaysia in CPOPC: Economic, political, and environmental considerations — https://doi.org/10.33474/jisop.v7i2.23750</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Indonesia’s palm oil industry, a cornerstone of national economic growth and rural livelihoods, faced escalating trade barriers and sustainability demands, particularly from the European Union, from 2005 to 2015. This study investigates Driving factors behind Indonesia’s 2015 decision to cooperate with Malaysia in CPOPC: Economic, political, and environmental considerations, using employing Richard C. Snyder’s foreign policy decision-making framework to systematically analyze the interplay of internal and external factors. The research adopts a qualitative explanatory literature review, synthesizing data from peer-reviewed journals, policy documents, and credible news sources published from 2005 to 2015. The analysis reveals that Indonesia’s policy shift was driven by the convergence of domestic economic imperatives such as maintaining export revenues, supporting smallholders, and responding to industry lobbying, and mounting external pressures including discriminatory European Union regulations, NGO campaigns, and global market competition. The formation of CPOPC is shown to be a pragmatic diplomatic response, enhancing Indonesia’s bargaining power, promoting sustainable palm oil standards, and fostering collective action with Malaysia to counter external challenges. This research fills a gap in the literature by demonstrating how multi-level decision-making processes and tran</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r>
        <w:rPr>
          <w:b/>
        </w:rPr>
        <w:t>POSSIBLE 2023:</w:t>
      </w:r>
      <w:r>
        <w:t xml:space="preserve"> D8.2 - Market and stakeholder analysis — https://doi.org/10.5281/zenodo.7657634</w:t>
      </w:r>
    </w:p>
    <w:p>
      <w:pPr/>
      <w:r>
        <w:rPr>
          <w:b/>
        </w:rPr>
        <w:t>Shared claim-specific concepts:</w:t>
      </w:r>
      <w:r>
        <w:t xml:space="preserve"> data, based, presents; EU scope not established. This is a provisional connection, not an outcome finding.</w:t>
      </w:r>
    </w:p>
    <w:p>
      <w:pPr>
        <w:pStyle w:val="SourceNote"/>
      </w:pPr>
      <w:r>
        <w:rPr>
          <w:b/>
        </w:rPr>
        <w:t>Available abstract (not full text):</w:t>
      </w:r>
      <w:r>
        <w:t xml:space="preserve"> The deliverable D8.2 lies under the scope of work package WP8- Business Models and Exploitation. Its content is based on the work of the Task 8.1 - Project Impact Assessment, led by ENGIE. It presents a market and stakeholder analysis concerning PLATOON tools. The main objective of this deliverable is to identify attractiveness of big data platforms to support the launch of business exploitation activities resulting from the R&amp;D project PLATOON.</w:t>
      </w:r>
    </w:p>
    <w:p>
      <w:pPr/>
      <w:r>
        <w:rPr>
          <w:b/>
        </w:rPr>
        <w:t>POSSIBLE 2023:</w:t>
      </w:r>
      <w:r>
        <w:t xml:space="preserve"> Stakeholder diversity and collaborative innovation: Integrating the resource-based view with stakeholder theory — https://doi.org/10.1016/j.jbusres.2023.113955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paper uses Stakeholder Theory to build on the Resource-Based View (RBV) of the firm – and its extension, the Knowledge-Based View (KBV) – and theoretically and empirically assesses how a choice of stakeholders with a diverse set of interests and motives affects the development of collaborative innovation. Theoretically, the paper discusses how collaborating with stakeholders with diverse motives and interests affects the development of diverse types of innovations; and whether and how a focal organisation's access to diverse information sources may influence the behaviour of different types of collaborators. The empirical analysis is based on Spanish Technological Innovation Panel (2015–2016) data. The results show that collaborations with secondary (primary) stakeholders are typically associated with the likelihood of developing eco-innovations (product and process innovations) and increased demand for skilled workers. We also find that access to diverse information sources is associated with the likelihood of collaborating with primary stakeholders only.</w:t>
      </w:r>
    </w:p>
    <w:p>
      <w:pPr/>
      <w:r>
        <w:rPr>
          <w:b/>
        </w:rPr>
        <w:t>POSSIBLE 2023:</w:t>
      </w:r>
      <w:r>
        <w:t xml:space="preserve"> Europe first? The rise of EU industrial policy promoting and protecting the single market — https://doi.org/10.1080/13501763.2023.2202684</w:t>
      </w:r>
    </w:p>
    <w:p>
      <w:pPr/>
      <w:r>
        <w:rPr>
          <w:b/>
        </w:rPr>
        <w:t>Shared claim-specific concepts:</w:t>
      </w:r>
      <w:r>
        <w:t xml:space="preserve"> integrated, area; EU scope visible. This is a provisional connection, not an outcome finding.</w:t>
      </w:r>
    </w:p>
    <w:p>
      <w:pPr>
        <w:pStyle w:val="SourceNote"/>
      </w:pPr>
      <w:r>
        <w:rPr>
          <w:b/>
        </w:rPr>
        <w:t>Available abstract (not full text):</w:t>
      </w:r>
      <w:r>
        <w:t xml:space="preserve"> Within Europe’s regulatory state, industrial policy has largely remained within national governments’ remit. Yet, a plethora of new supra- and cross-national industrial policy initiatives have recently emerged whereby the Commission proactively engages in pan-European activities to foster innovation and economic development. This article brings the ‘Developmental Network States’ (DNS) literature into dialogue with EU integration scholarship to explain both the timing of EU industrial policy’s rise since the mid-2010s and the variation in forms of EU integration of different industrial policy functions. Our analysis suggests that the Commission increasingly operates four major developmental functions akin to DNSs and aimed at promoting and protecting the single market. Neofunctionalist theories of EU integration explain these momentous shifts. The timing behind the rise of EU industrial policy is best explained as an interplay of functional, cultivated, and political spillovers, driven especially by the Franco-German realignment on pro-EU industrial policy positions since 2016. Variation in the governance forms of integrated EU industrial policy functions is instead explained in terms of the degree of pre-existing integration of extant policies, the low vs high politics nature of the policy domain and the types of externalities attached to the specific policy area.</w:t>
      </w:r>
    </w:p>
    <w:p>
      <w:pPr/>
      <w:r>
        <w:rPr>
          <w:b/>
        </w:rPr>
        <w:t>POSSIBLE 2023:</w:t>
      </w:r>
      <w:r>
        <w:t xml:space="preserve"> Past, present &amp; future of the european electricity market — https://openalex.org/W7113421957</w:t>
      </w:r>
    </w:p>
    <w:p>
      <w:pPr/>
      <w:r>
        <w:rPr>
          <w:b/>
        </w:rPr>
        <w:t>Shared claim-specific concepts:</w:t>
      </w:r>
      <w:r>
        <w:t xml:space="preserve"> stakeholders, landscape, however; EU scope visible. This is a provisional connection, not an outcome finding.</w:t>
      </w:r>
    </w:p>
    <w:p>
      <w:pPr>
        <w:pStyle w:val="SourceNote"/>
      </w:pPr>
      <w:r>
        <w:rPr>
          <w:b/>
        </w:rPr>
        <w:t>Available abstract (not full text):</w:t>
      </w:r>
      <w:r>
        <w:t xml:space="preserve"> Europe faces two intertwined challenges of critical importance: the urgent need to combat climate change and the complex geopolitical landscape, particularly concerning Russia. Climate change poses a severe threat, demanding immediate and concerted action. European countries have been at the forefront of climate change mitigation efforts, implementing ambitious emission reduction targets and promoting sustainable practices. However, addressing climate change requires comprehensive approaches that transcend domestic initiatives. Simultaneously, Europe's energy landscape is closely tied to geopolitics, with concerns surrounding energy security and dependence on Russian energy imports. Russia’s invasion of Ukraine in February 2022 has profoundly affected global energy markets. Price volatility, supply shortages, security issues, and economic uncertainty have contributed to what the International Energy Agency (IEA) calls “the first truly global energy crisis, with impacts that will be felt for years to come.” This paper examines the potential of renewable energy sources and a new power market to tackle climate change and reduce Europe's vulnerability to geopolitical pressures. We seek to provide insights and recommendations for policymakers, industry stakeholders, and civil society by analyzing policies, market dynamics, technological advancements, and potential collaborations</w:t>
      </w:r>
    </w:p>
    <w:p>
      <w:pPr/>
      <w:r>
        <w:rPr>
          <w:b/>
        </w:rPr>
        <w:t>POSSIBLE 2023:</w:t>
      </w:r>
      <w:r>
        <w:t xml:space="preserve"> Open banking and inclusive finance in the European Union: perspectives from the Dutch stakeholder ecosystem — https://doi.org/10.1186/s40854-023-00522-1</w:t>
      </w:r>
    </w:p>
    <w:p>
      <w:pPr/>
      <w:r>
        <w:rPr>
          <w:b/>
        </w:rPr>
        <w:t>Shared claim-specific concepts:</w:t>
      </w:r>
      <w:r>
        <w:t xml:space="preserve"> technology, landscape, however, based; EU scope visible. This is a provisional connection, not an outcome finding.</w:t>
      </w:r>
    </w:p>
    <w:p>
      <w:pPr>
        <w:pStyle w:val="SourceNote"/>
      </w:pPr>
      <w:r>
        <w:rPr>
          <w:b/>
        </w:rPr>
        <w:t>Available abstract (not full text):</w:t>
      </w:r>
      <w:r>
        <w:t xml:space="preserve"> Abstract In the European Union (EU), the revised Payment Services Directive (PSD2) aims to provide more convenient and customized financial products through open banking (OB) platforms. However, little attention has been paid to the role of OB in improving the financial well-being of the growing number of the EU’s underserved groups, which currently constitute approximately a quarter of its population. This study examines how the PSD2 and OB impact inclusive finance in the EU based on the perspectives of the Netherlands’ ecosystem, one of the leaders in the EU’s financial technology (FinTech) landscape. A fundamental distinction can be drawn between the OB users and the ecosystem’s players. Regarding the impact of financial services on the users’ inclusivity, while the PSD2 strengthens the infrastructure necessary for financial inclusion, many challenges remain, mainly because it was not designed for this purpose. This study identifies several areas of improvement that include adjustments to the know your customer and anti-money laundering processes for underserved customers, innovative ways to communicate the PSD2’s potential, and the regulation of technology providers’ activities to build trust. Meanwhile, from the ecosystem’s position, there is a need to strengthen and improve microfinance regulation according to the opportunities provided by the PSD2 to support microfinance</w:t>
      </w:r>
    </w:p>
    <w:p>
      <w:pPr>
        <w:pStyle w:val="Heading2"/>
      </w:pPr>
      <w:r>
        <w:t>910.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2026:</w:t>
      </w:r>
      <w:r>
        <w:t xml:space="preserve"> If exercise is medicine, where is the dose? A call to improve reporting and monitoring of exercise interventions in fibromyalgia research — https://doi.org/10.3389/fspor.2026.1777261</w:t>
      </w:r>
    </w:p>
    <w:p>
      <w:pPr/>
      <w:r>
        <w:rPr>
          <w:b/>
        </w:rPr>
        <w:t>Shared claim-specific concepts:</w:t>
      </w:r>
      <w:r>
        <w:t xml:space="preserve"> planning, exercise, four, different, defined, two; EU scope not established. This is a provisional connection, not an outcome finding.</w:t>
      </w:r>
    </w:p>
    <w:p>
      <w:pPr>
        <w:pStyle w:val="SourceNote"/>
      </w:pPr>
      <w:r>
        <w:rPr>
          <w:b/>
        </w:rPr>
        <w:t>Available abstract (not full text):</w:t>
      </w:r>
      <w:r>
        <w:t xml:space="preserve"> Exercise is widely recognized as a cornerstone non-pharmacological therapy for managing pain and other core symptoms of fibromyalgia. Current guidelines, including those from the American College of Sports Medicine (ACSM), frame exercise prescription through the FITT principles-frequency, intensity, time, and typeproviding a structured approach to defining exercise dose in this population (Ligouri, 2021). When these parameters are implemented with high compliance (i.e., when at least 70% of the ACSM-recommended exercise dose is met), exercise interventions are associated with greater improvements in pain, sleep quality, and fatigue, as supported by recent meta-analytic evidence in fibromyalgia (Niu et al., 2024). However, only about half of the analyzed exercise interventions achieved high compliance with ACSM guidelines, highlighting substantial variability in exercise prescription across fibromyalgia trials (Niu et al., 2024).Despite this growing body of evidence, two complementary perspectives continue to coexist in both research and clinical practice. On one hand, public health recommendations emphasize that any physical activity is preferable to none, particularly in populations with a high symptom burden and low activity levels (Bull et al., 2020;Ekelund et al., 2026). On the other hand, research increasingly seeks to identify specific exercise doses, operationalized thro</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2025:</w:t>
      </w:r>
      <w:r>
        <w:t xml:space="preserve"> Dissemination planning in exercise oncology trials—a systematic review of trial protocols — https://doi.org/10.1007/s00520-025-09532-4</w:t>
      </w:r>
    </w:p>
    <w:p>
      <w:pPr/>
      <w:r>
        <w:rPr>
          <w:b/>
        </w:rPr>
        <w:t>Shared claim-specific concepts:</w:t>
      </w:r>
      <w:r>
        <w:t xml:space="preserve"> planning, exercise, examined, critical, healthcare; EU scope not established. This is a provisional connection, not an outcome finding.</w:t>
      </w:r>
    </w:p>
    <w:p>
      <w:pPr>
        <w:pStyle w:val="SourceNote"/>
      </w:pPr>
      <w:r>
        <w:rPr>
          <w:b/>
        </w:rPr>
        <w:t>Available abstract (not full text):</w:t>
      </w:r>
      <w:r>
        <w:t xml:space="preserve"> PURPOSE: The paucity of exercise rehabilitation services for cancer survivors indicates a research-to-practice gap. Dissemination and Implementation research addresses this gap by focusing on the adoption, implementation, and sustainability of evidence-based interventions. Dissemination, the active process of sharing research findings, is critical to the implementation of evidence-based practice. This systematic review examined adherence of exercise oncology trial protocols to the SPIRIT 2013 checklist items pertaining to dissemination planning, items 31a, 31b, and 31c, which address how dissemination is planned, authorship eligibility is considered, and what plans are in place to share data and the protocol. METHODS: A systematic review was conducted following the PRISMA guidelines. EMBASE, MEDLINE, CINAHL, Web of Science-Core Collection, Google Scholar, and the Central Trial Registry via Cochrane were searched (16/05/2024). Title and abstract screening, full-text review, and data extraction were completed in duplicate. RESULTS: Eighty-six trial protocols were included, thirty-one (36.1%) did not report dissemination plans. Item 31 was reported as follows (n = number of trials, frequency (%)); 31a plans to communicate trial results to: participants (n = 19, 22.1%), healthcare professionals (n = 43, 50%), the public (n = 25, 29.2%), and other relevant groups (n = 22, 25.6%), 31</w:t>
      </w:r>
    </w:p>
    <w:p>
      <w:pPr/>
      <w:r>
        <w:rPr>
          <w:b/>
        </w:rPr>
        <w:t>POSSIBLE 2023:</w:t>
      </w:r>
      <w:r>
        <w:t xml:space="preserve"> Forecasting pandemic quarantine in New Zealand and Australia: A scoping review of quarantine characteristics and capabilities within preparedness plans and pandemic exercise reports from 2002 to 2019 — https://doi.org/10.1016/j.jiph.2023.10.017</w:t>
      </w:r>
    </w:p>
    <w:p>
      <w:pPr/>
      <w:r>
        <w:rPr>
          <w:b/>
        </w:rPr>
        <w:t>Shared claim-specific concepts:</w:t>
      </w:r>
      <w:r>
        <w:t xml:space="preserve"> reports, exercise, four, two, state; EU scope not established. This is a provisional connection, not an outcome finding.</w:t>
      </w:r>
    </w:p>
    <w:p>
      <w:pPr>
        <w:pStyle w:val="SourceNote"/>
      </w:pPr>
      <w:r>
        <w:rPr>
          <w:b/>
        </w:rPr>
        <w:t>Available abstract (not full text):</w:t>
      </w:r>
      <w:r>
        <w:t xml:space="preserve"> BACKGROUND: This scoping review aims to identify and critically review quarantine preparedness in New Zealand and Australia pre-COVID-19 by categorising, comparing, and evaluating quarantine information contained within pandemic plans and exercises from both countries. METHODS: Parliamentary websites, including Archives New Zealand, ParlInfo and Google Scholar, were searched for publicly available plans and exercise reports from 2002 to 2019. Data were extracted from documents meeting the inclusion criteria and analysed using directive content analysis based on the Australian Disaster Preparedness Framework categories. This scoping review followed the Joanna Briggs Institute methodology for scoping reviews, which guided the data extraction, analysis, and presentation of results. RESULTS: A total of 16 documents mentioned quarantine and were included in this scoping review. The emphasis and level of detail regarding quarantine characteristics and capabilities varied between New Zealand's five documents (one plan and four exercise reports) and Australia's 11 documents (one Influenza pandemic plan, eight state plans and two exercise reports). New Zealand's plan forecasted the need for both voluntary quarantine at home and involuntary quarantine in facilities for incoming travellers, whilst the Australian Influenza pandemic plan and state plans primarily considered voluntary quaran</w:t>
      </w:r>
    </w:p>
    <w:p>
      <w:pPr/>
      <w:r>
        <w:rPr>
          <w:b/>
        </w:rPr>
        <w:t>POSSIBLE 2023:</w:t>
      </w:r>
      <w:r>
        <w:t xml:space="preserve"> Impact of low-calorie diet plans and structured strength training regimens on body recomposition: A four-month case report — https://doi.org/10.4103/kleuhsj.kleuhsj_517_22</w:t>
      </w:r>
    </w:p>
    <w:p>
      <w:pPr/>
      <w:r>
        <w:rPr>
          <w:b/>
        </w:rPr>
        <w:t>Shared claim-specific concepts:</w:t>
      </w:r>
      <w:r>
        <w:t xml:space="preserve"> exercise, four, different; EU scope not established. This is a provisional connection, not an outcome finding.</w:t>
      </w:r>
    </w:p>
    <w:p>
      <w:pPr>
        <w:pStyle w:val="SourceNote"/>
      </w:pPr>
      <w:r>
        <w:rPr>
          <w:b/>
        </w:rPr>
        <w:t>Available abstract (not full text):</w:t>
      </w:r>
      <w:r>
        <w:t xml:space="preserve"> A normal body weight can be maintained by balancing skeletal muscle mass (SMM) and body fat mass (BFM). InBody™ 270 is an easy-to-use bioelectrical impedance device when it comes to monitoring body parameters such as SMM and BFM. Such body parameters when kept in balance can reduce lifestyle diseases. This case report is an attempt to elucidate the impact of different diet plans and exercise regimens on changing (recomposition) the body composition parameters (SMM, BFM, etc.). One of the authors performed the experiments and recorded the observations. The blueprint for the diet included strategies such as low-calorie plans and intermittent fasting. The exercise regimen had different combinations of whole-body strength training four times a week. Almost eight kg of BFM was lost. The body weight had been brought to normalcy, and at the same time, SMM was preserved due to dietary interventions and exercises.</w:t>
      </w:r>
    </w:p>
    <w:p>
      <w:pPr/>
      <w:r>
        <w:rPr>
          <w:b/>
        </w:rPr>
        <w:t>POSSIBLE 2023:</w:t>
      </w:r>
      <w:r>
        <w:t xml:space="preserve"> How different incentives influence reported motivation and perceptions of performance in Ghanaian community-based health planning and services zones — https://doi.org/10.1186/s13104-023-06286-2</w:t>
      </w:r>
    </w:p>
    <w:p>
      <w:pPr/>
      <w:r>
        <w:rPr>
          <w:b/>
        </w:rPr>
        <w:t>Shared claim-specific concepts:</w:t>
      </w:r>
      <w:r>
        <w:t xml:space="preserve"> planning, four, different, two, care; EU scope not established. This is a provisional connection, not an outcome finding.</w:t>
      </w:r>
    </w:p>
    <w:p>
      <w:pPr>
        <w:pStyle w:val="SourceNote"/>
      </w:pPr>
      <w:r>
        <w:rPr>
          <w:b/>
        </w:rPr>
        <w:t>Available abstract (not full text):</w:t>
      </w:r>
      <w:r>
        <w:t xml:space="preserve"> BACKGROUND: Maternal mortality is still a burden worldwide, and Ghana's maternal and child mortalities are still high. Incentive schemes have been effective in improving health workers' performance thereby reducing maternal and child deaths. The efficiency of public health services in most developing countries has been linked to the provision of incentives. Thus, financial packages for Community Health Volunteers (CHVs) serve as enablers for them to be focused and committed to their work. However, the poor performance of CHVs is still a challenge in health service delivery in many developing countries. Although the reasons for these persistent problems are understood, we need to find out how to implement what works in the face of political will and financial constraints. This study assesses how different incentives influence reported motivation and perceptions of performance in Community-based Health Planning and Services Program (CHPS) zones in the Upper East region. METHODS: A quasi-experimental study design with post-intervention measurement was used. Performance-based interventions were implemented for 1 year in the Upper East region. The different interventions were rolled out in 55 of 120 CHPS zones. The 55 CHPS zones were randomly assigned to four groups: three groups of 14 CHPS zones with the last group containing 13 CHPS zones. Several alternative types of financial an</w:t>
      </w:r>
    </w:p>
    <w:p>
      <w:pPr/>
      <w:r>
        <w:rPr>
          <w:b/>
        </w:rPr>
        <w:t>POSSIBLE 2022:</w:t>
      </w:r>
      <w:r>
        <w:t xml:space="preserve"> A Study on the Translatability of the Developmental Assessment Report into the Individualized Education Plan in the Philippines — https://doi.org/10.1080/1034912x.2022.2095557</w:t>
      </w:r>
    </w:p>
    <w:p>
      <w:pPr/>
      <w:r>
        <w:rPr>
          <w:b/>
        </w:rPr>
        <w:t>Shared claim-specific concepts:</w:t>
      </w:r>
      <w:r>
        <w:t xml:space="preserve"> reports, four, different; EU scope not established. This is a provisional connection, not an outcome finding.</w:t>
      </w:r>
    </w:p>
    <w:p>
      <w:pPr>
        <w:pStyle w:val="SourceNote"/>
      </w:pPr>
      <w:r>
        <w:rPr>
          <w:b/>
        </w:rPr>
        <w:t>Available abstract (not full text):</w:t>
      </w:r>
      <w:r>
        <w:t xml:space="preserve"> The Special Education Process (SEP) demands the collaboration of various professionals and personalities to create the Individualised Education Plan (IEP), beginning with the evaluation conducted by clinical psychologists, psychiatrists and in this study, developmental paediatricians. Assessments acts as a keystone document, serving as basis for determining placement levels, student support requirements and depth of academic training to be implemented. With inclusion gradually being implemented in the Philippines, the study sought to determine the translatability of the assessment report produced by developmental paediatricians into the IEP. The study used documentary analysis of 50 individualised education plans derived from the assessment reports of 10 different developmental paediatricians. The documents were analysed to determine the presence of components needed to refer to in making the IEP. The data shows that the assessment reports have four components, namely profile, present level of condition, report and recommendation. These components can be used as reference material in creating the IEP, and as a basis for a structured approach in creating the document. However, the study also shows how the report content and structure slightly differ for each other, making some of the reports easier to refer to compared to others.</w:t>
      </w:r>
    </w:p>
    <w:p>
      <w:pPr/>
      <w:r>
        <w:rPr>
          <w:b/>
        </w:rPr>
        <w:t>POSSIBLE 2022:</w:t>
      </w:r>
      <w:r>
        <w:t xml:space="preserve"> Measurement invariance testing using confirmatory factor analysis and alignment optimization: A tutorial for transparent analysis planning and reporting. — https://doi.org/10.1037/met0000441</w:t>
      </w:r>
    </w:p>
    <w:p>
      <w:pPr/>
      <w:r>
        <w:rPr>
          <w:b/>
        </w:rPr>
        <w:t>Shared claim-specific concepts:</w:t>
      </w:r>
      <w:r>
        <w:t xml:space="preserve"> planning, four, different, two; EU scope not established. This is a provisional connection, not an outcome finding.</w:t>
      </w:r>
    </w:p>
    <w:p>
      <w:pPr>
        <w:pStyle w:val="SourceNote"/>
      </w:pPr>
      <w:r>
        <w:rPr>
          <w:b/>
        </w:rPr>
        <w:t>Available abstract (not full text):</w:t>
      </w:r>
      <w:r>
        <w:t xml:space="preserve"> Measurement invariance-the notion that the measurement properties of a scale are equal across groups, contexts, or time-is an important assumption underlying much of psychology research. The traditional approach for evaluating measurement invariance is to fit a series of nested measurement models using multiple-group confirmatory factor analyses. However, traditional approaches are strict, vary across the field in implementation, and present multiplicity challenges, even in the simplest case of two groups under study. The alignment method was recently proposed as an alternative approach. This method is more automated, requires fewer decisions from researchers, and accommodates two or more groups. However, it has different assumptions, estimation techniques, and limitations from traditional approaches. To address the lack of accessible resources that explain the methodological differences and complexities between the two approaches, we introduce and illustrate both, comparing them side by side. First, we overview the concepts, assumptions, advantages, and limitations of each approach. Based on this overview, we propose a list of four key considerations to help researchers decide which approach to choose and how to document their analytical decisions in a preregistration or analysis plan. We then demonstrate our key considerations on an illustrative research question using an ope</w:t>
      </w:r>
    </w:p>
    <w:p>
      <w:pPr/>
      <w:r>
        <w:rPr>
          <w:b/>
        </w:rPr>
        <w:t>POSSIBLE 2021:</w:t>
      </w:r>
      <w:r>
        <w:t xml:space="preserve"> Lab Reports and Projects in Sport and Exercise Science — https://doi.org/10.4324/9781003112426</w:t>
      </w:r>
    </w:p>
    <w:p>
      <w:pPr/>
      <w:r>
        <w:rPr>
          <w:b/>
        </w:rPr>
        <w:t>Shared claim-specific concepts:</w:t>
      </w:r>
      <w:r>
        <w:t xml:space="preserve"> reports, planning, exercise, critical, engage, provides; EU scope not established. This is a provisional connection, not an outcome finding.</w:t>
      </w:r>
    </w:p>
    <w:p>
      <w:pPr>
        <w:pStyle w:val="SourceNote"/>
      </w:pPr>
      <w:r>
        <w:rPr>
          <w:b/>
        </w:rPr>
        <w:t>Available abstract (not full text):</w:t>
      </w:r>
      <w:r>
        <w:t xml:space="preserve"> Most science degrees will have a practical or laboratory-based component which will require some sort of final report, whether this be a conventional laboratory report or a final-year dissertation. All of these formats require students to be able to analyse their data in an appropriate way and subsequently convey their key thoughts and information to a third party. Therefore, writing laboratory reports is an essential part any science degree. This new revised edition sees the expansion of statistical examples including initial data checks and assumptions, increased awareness of critical appraisal tools and resources, project planning and a range of 'Challenge yourself' activities to supplement understanding and provides a comprehensive overview of what should be contained within each section of a scientific report, and clearly explains how it should be presented. Written in a friendly and engaging style, it guides the reader through abstracts, literature reviews, methodology, reporting discussions and referencing and contains a wealth of examples and practical advice on how to improve and refine your own writing. From writing a first lab report to preparing a final-year dissertation or postgraduate thesis, sports and exercise science students at all levels will find this book a valuable resource in developing both skill and confidence in scientific communication. Key features i</w:t>
      </w:r>
    </w:p>
    <w:p>
      <w:pPr/>
      <w:r>
        <w:rPr>
          <w:b/>
        </w:rPr>
        <w:t>POSSIBLE 2021:</w:t>
      </w:r>
      <w:r>
        <w:t xml:space="preserve"> Patient-Reported Outcomes of Regular Aerobic Exercise in Gastric Cancer — https://doi.org/10.3390/cancers13092080</w:t>
      </w:r>
    </w:p>
    <w:p>
      <w:pPr/>
      <w:r>
        <w:rPr>
          <w:b/>
        </w:rPr>
        <w:t>Shared claim-specific concepts:</w:t>
      </w:r>
      <w:r>
        <w:t xml:space="preserve"> exercise, life, defined; EU scope not established. This is a provisional connection, not an outcome finding.</w:t>
      </w:r>
    </w:p>
    <w:p>
      <w:pPr>
        <w:pStyle w:val="SourceNote"/>
      </w:pPr>
      <w:r>
        <w:rPr>
          <w:b/>
        </w:rPr>
        <w:t>Available abstract (not full text):</w:t>
      </w:r>
      <w:r>
        <w:t xml:space="preserve"> The benefits of exercise for health-related quality of life (HRQOL) and depression in patients with gastrointestinal disease remain unclear, and studies on gastric cancer are scant. This study examines the association between the maintenance of regular aerobic exercise at a recommended level and depression and HRQOL in patients with gastric cancer during or after treatment. In this cross-sectional study, a face-to-face survey was used to collect data from 126 patients with primary gastric cancer during or after treatment in a tertiary acute-care hospital in Korea. Regular exercise was defined as regularly maintained aerobic exercise of at least moderate intensity consuming ≥4 metabolic equivalents for ≥150 min/wk for at least 6 months. Depression was measured using the 9-item version of the Patient Health Questionnaire, and HRQOL was assessed using the EORTC QLQ-C30. Patients who maintained aerobic exercise at a recommended level were less likely to have depression and more likely to have improved global QOL, as well as physical, role, and emotional functioning. Patients with depression were less likely to report improved global QOL and functioning. Thus, exercise can have a synergistic effect on improvement in HRQOL via indirect positive effects on depression and direct effects on HRQOL in patients with gastric cancer. Oncology nurses should encourage patients with gastric can</w:t>
      </w:r>
    </w:p>
    <w:p>
      <w:pPr>
        <w:pStyle w:val="Heading2"/>
      </w:pPr>
      <w:r>
        <w:t>911.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2024:</w:t>
      </w:r>
      <w:r>
        <w:t xml:space="preserve"> Working with Sport Clients in Transitions: Four Practitioners, Four Narratives — https://doi.org/10.1080/21520704.2024.2366828</w:t>
      </w:r>
    </w:p>
    <w:p>
      <w:pPr/>
      <w:r>
        <w:rPr>
          <w:b/>
        </w:rPr>
        <w:t>Shared claim-specific concepts:</w:t>
      </w:r>
      <w:r>
        <w:t xml:space="preserve"> four, narratives, each, practice; EU scope not established. This is a provisional connection, not an outcome finding.</w:t>
      </w:r>
    </w:p>
    <w:p>
      <w:pPr>
        <w:pStyle w:val="SourceNote"/>
      </w:pPr>
      <w:r>
        <w:rPr>
          <w:b/>
        </w:rPr>
        <w:t>Available abstract (not full text):</w:t>
      </w:r>
      <w:r>
        <w:t xml:space="preserve"> In this paper, we aim to present four narratives disclosing our applied experiences of working with sport clients in transitions. Within the narratives, each practitioner reflected on their professional philosophy, approaches used in practice, and provided a case illustration. The four included cases on transitions of a student-athlete, a retired jockey, a novice baseball coach, and a basketball coach were informed by diversified developmental theoretical perspectives, employing context-driven approaches, and person-centered collaborations. Consistent with the literature, we share effective ways of developing client awareness of the transition demands/barriers, helping them become more resourceful to cope, supporting their coping strategies, and stimulating reflexivity on their transition experience.</w:t>
      </w:r>
    </w:p>
    <w:p>
      <w:pPr/>
      <w:r>
        <w:rPr>
          <w:b/>
        </w:rPr>
        <w:t>POSSIBLE 2024:</w:t>
      </w:r>
      <w:r>
        <w:t xml:space="preserve"> Time and Space in the Narrative of Teacher Education — https://openalex.org/W7216888903</w:t>
      </w:r>
    </w:p>
    <w:p>
      <w:pPr/>
      <w:r>
        <w:rPr>
          <w:b/>
        </w:rPr>
        <w:t>Shared claim-specific concepts:</w:t>
      </w:r>
      <w:r>
        <w:t xml:space="preserve"> four, narratives, time, developed, narrative; EU scope not established. This is a provisional connection, not an outcome finding.</w:t>
      </w:r>
    </w:p>
    <w:p>
      <w:pPr>
        <w:pStyle w:val="SourceNote"/>
      </w:pPr>
      <w:r>
        <w:rPr>
          <w:b/>
        </w:rPr>
        <w:t>Available abstract (not full text):</w:t>
      </w:r>
      <w:r>
        <w:t xml:space="preserve"> This study explores the education narrative that has developed during one year in a clinical model of a teacher education program - academia class program. The study aims to describe the nature of the education process by monitoring the chronotope according to the narrative model conceived by Bakhtin, as well as assessing the references and contexts encompassed in a multi-voice narrative – in an ecological prospective. The findings indicate four different narratives that occur within one framework narrative. The analysis of findings according to the eco-system principles have resulted in the consolidation of a 5C type ecological model: context, continuity, characteristics, change, and coherence. The narrative model and the ecological model proposed in this study enhance the understanding of the nature of the education process, and offer rethinking the way policymakers shape the dimensions of time and space in teacher education, and their price in relation to processes of this kind.</w:t>
      </w:r>
    </w:p>
    <w:p>
      <w:pPr/>
      <w:r>
        <w:rPr>
          <w:b/>
        </w:rPr>
        <w:t>POSSIBLE 2023:</w:t>
      </w:r>
      <w:r>
        <w:t xml:space="preserve"> Perspectives on Narrative Time in Chinese Cinema — https://doi.org/10.1515/jcfs-2023-0010</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Abstract The unique view of time rooted in traditional Chinese culture is distinct from that of Western countries. In the Eastern perspective, eternity and evanescence are unified in the axiom: “The passage of time is like flowing water.” This concept also creates a different perspective on narrative time in Chinese films, compared with Western films. In the Chinese perspective, firstly, traditional laws of time are fully respected, and the four seasons, solar terms, and festivals are often seen as time nodes; secondly, a nationally imagined unity of time and space is followed, and expressions of time are likely to be integrated into artistic images such as objects, weather phenomena, and natural landscapes; thirdly, the cognitive laws of nature are respected whereby the linear or circumferential track is adopted and therefore a sense of leisure comes up in resonance; finally, the time scale is based on perception, and Chinese aesthetic style is thus construed while fulfilling the needs of narrative.</w:t>
      </w:r>
    </w:p>
    <w:p>
      <w:pPr/>
      <w:r>
        <w:rPr>
          <w:b/>
        </w:rPr>
        <w:t>POSSIBLE 2023:</w:t>
      </w:r>
      <w:r>
        <w:t xml:space="preserve"> Narrative, Time, and Disaster — https://doi.org/10.1215/00295132-10562980</w:t>
      </w:r>
    </w:p>
    <w:p>
      <w:pPr/>
      <w:r>
        <w:rPr>
          <w:b/>
        </w:rPr>
        <w:t>Shared claim-specific concepts:</w:t>
      </w:r>
      <w:r>
        <w:t xml:space="preserve"> four, narratives, time, developed, each, area; EU scope not established. This is a provisional connection, not an outcome finding.</w:t>
      </w:r>
    </w:p>
    <w:p>
      <w:pPr>
        <w:pStyle w:val="SourceNote"/>
      </w:pPr>
      <w:r>
        <w:rPr>
          <w:b/>
        </w:rPr>
        <w:t>Available abstract (not full text):</w:t>
      </w:r>
      <w:r>
        <w:t xml:space="preserve"> In 2004 I joined a student volunteer group. I was a graduate student in Johannesburg, and our volunteer group taught at an unregistered school in an informal settlement in Eikenhof, south of Johannesburg, once a week. The school had no full-time teachers because it was not recognized by the government. In December we put together food parcels to distribute to people living with HIV in the area. Our visits were difficult. Many of the patients had full-blown AIDS. I remember one woman had a five-year-old son—a stylish little gent who cheerfully chatted with us and asked us to photograph him in different poses. His mother had little time left. She told us she had been on antiretroviral medication dispensed by the clinic at no charge but had stopped taking them because they made her sicker. She did not have consistent access to food. Sitting in her home, I kept thinking the zinc and cardboard shack was no match for Johannesburg's brutal winters. I felt defeated—defeated by the futility of our volunteer teaching and our December visits, which were thin Band-Aids on deep wounds. The visits triggered other memories. They reminded me of 1999, when I visited my grandfather during school holidays back in Kenya. I knew my aunt had been unwell but hadn't realized how seriously ill she was. Soon after exchanging greetings, my grandfather said: “enda uone mama yako, labda alikuwa anakungoja”</w:t>
      </w:r>
    </w:p>
    <w:p>
      <w:pPr/>
      <w:r>
        <w:rPr>
          <w:b/>
        </w:rPr>
        <w:t>POSSIBLE 2022:</w:t>
      </w:r>
      <w:r>
        <w:t xml:space="preserve"> Time and Narrative in Augustine’s City of God and Confessions — https://openalex.org/W7217744295</w:t>
      </w:r>
    </w:p>
    <w:p>
      <w:pPr/>
      <w:r>
        <w:rPr>
          <w:b/>
        </w:rPr>
        <w:t>Shared claim-specific concepts:</w:t>
      </w:r>
      <w:r>
        <w:t xml:space="preserve"> time, narrative, out; EU scope not established. This is a provisional connection, not an outcome finding.</w:t>
      </w:r>
    </w:p>
    <w:p>
      <w:pPr>
        <w:pStyle w:val="SourceNote"/>
      </w:pPr>
      <w:r>
        <w:rPr>
          <w:b/>
        </w:rPr>
        <w:t>Available abstract (not full text):</w:t>
      </w:r>
      <w:r>
        <w:t xml:space="preserve"> This paper examines the connections between Augustine ́s conception of Time in two of his main works: City of God and Confession. The issue of Time is crucial for Augustine ́s narrative purposes, and it appears in his account of the history of mankind – the City of God, just as it appears in his account of his own history – the Confessions. Book XI in both works discuss time and creation, and put the narrativeof the book in the context of time as a whole. The two accounts proceed from similar motivations and in a similar method. But they at the same time complete eachother: the account of the Confessions is more detailed in the way it presents the problem and works out the solution step by step; the City of God seems to pick it upfrom where Confessions leaves off and takes it a step further. In this paper, I first briefly sketch the concept of time as presented in Confessions XI. I continue bypointing out how it is completed in the account in City of God I conclude by indicating how these two accounts together put into perspective Augustine’s concern with narrative, as well as his use of it.</w:t>
      </w:r>
    </w:p>
    <w:p>
      <w:pPr/>
      <w:r>
        <w:rPr>
          <w:b/>
        </w:rPr>
        <w:t>POSSIBLE 2022:</w:t>
      </w:r>
      <w:r>
        <w:t xml:space="preserve"> The Narrative Tone of Stories — https://doi.org/10.4324/9781003316503-4</w:t>
      </w:r>
    </w:p>
    <w:p>
      <w:pPr/>
      <w:r>
        <w:rPr>
          <w:b/>
        </w:rPr>
        <w:t>Shared claim-specific concepts:</w:t>
      </w:r>
      <w:r>
        <w:t xml:space="preserve"> four, developed, each, narrative; EU scope not established. This is a provisional connection, not an outcome finding.</w:t>
      </w:r>
    </w:p>
    <w:p>
      <w:pPr>
        <w:pStyle w:val="SourceNote"/>
      </w:pPr>
      <w:r>
        <w:rPr>
          <w:b/>
        </w:rPr>
        <w:t>Available abstract (not full text):</w:t>
      </w:r>
      <w:r>
        <w:t xml:space="preserve"> Every author develops a narrative tone in their writings, either consciously or unconsciously. This chapter examines two aspects of narrative tone, both of which are especially relevant to the ideas used in this research. One of the concepts is the attachment style used in each story. John Bowlby was the ‘father’ of attachment theory; Mary Ainsworth is the lesser-known ‘mother’ of the theory. The author describes the four types of attachment style: namely, secure, insecure ambivalent, insecure avoidant, insecure disorganised. Each attachment schema is described in some detail. The author then moves on to another facet of narrative tone: namely, to the visions of reality or world views depicted in writings. The author uses a typology of world views developed by Northrop Frye: Romantic, Comic, Tragic and Ironic. Later writers (Messer &amp; Winokur, and Shafer) have identified the underlying metatheoretical assumptions of these world views as they pertain to the four main differing theoretical modalities in counselling and psychotherapy. The four competing visions are completely at odds with each other in some regards; in others, it is a matter of gradation. A number of elements are compared and contrasted: loci of responsibility and control; agency and structure; optimism versus pessimism. The author stresses that the world view put forward in each story may be expressed consciously </w:t>
      </w:r>
    </w:p>
    <w:p>
      <w:pPr/>
      <w:r>
        <w:rPr>
          <w:b/>
        </w:rPr>
        <w:t>POSSIBLE 2022:</w:t>
      </w:r>
      <w:r>
        <w:t xml:space="preserve"> Spatialising time: Perceiving multiple layers of time in narrative environment — https://doi.org/10.7454/arsnet.v2i2.19</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There is no escape from time. That includes architecture which dominantly discusses space. This paper aims to explore how people can experience time spatially. Notably, this study looks at the context of the narrative environment where stories are imbued in space to enhance their engagement with the audience. Time in a narrative is presented through the narrated time and the real-world time where the audience of the narrative perceive it. Both types of time can be overlapped, whether the audience is consciously aware of that or not. Time is integrated into a narrative through order, plot, pace, and duration. All these four aspects are experienced by the visitor of a narrative environment to connect events and make sense of their journey and the whole story. The relationship between events experienced through time creates a spatial trajectory. Two case studies were conducted to explore this idea: a visit to Museum Kebangkitan Nasional and participation in Secret Cinema. It is found that time can be spatialised through the explicit transition of graphics, a play of lighting, and overall spatial organisation.</w:t>
      </w:r>
    </w:p>
    <w:p>
      <w:pPr/>
      <w:r>
        <w:rPr>
          <w:b/>
        </w:rPr>
        <w:t>POSSIBLE 2021:</w:t>
      </w:r>
      <w:r>
        <w:t xml:space="preserve"> Time Machines: Artificial Intelligence, Process, and Narrative — https://doi.org/10.1007/s13347-021-00479-y</w:t>
      </w:r>
    </w:p>
    <w:p>
      <w:pPr/>
      <w:r>
        <w:rPr>
          <w:b/>
        </w:rPr>
        <w:t>Shared claim-specific concepts:</w:t>
      </w:r>
      <w:r>
        <w:t xml:space="preserve"> narratives, time, narrative; EU scope not established. This is a provisional connection, not an outcome finding.</w:t>
      </w:r>
    </w:p>
    <w:p>
      <w:pPr>
        <w:pStyle w:val="SourceNote"/>
      </w:pPr>
      <w:r>
        <w:rPr>
          <w:b/>
        </w:rPr>
        <w:t>Available abstract (not full text):</w:t>
      </w:r>
      <w:r>
        <w:t xml:space="preserve"> Abstract While today there is much discussion about the ethics of artificial intelligence (AI), less work has been done on the philosophical nature of AI. Drawing on Bergson and Ricoeur, this paper proposes to use the concepts of time, process, and narrative to conceptualize AI and its normatively relevant impact on human lives and society. Distinguishing between a number of different ways in which AI and time are related, the paper explores what it means to understand AI as narrative, as process, or as the emergent outcome of processes and narratives. It pays particular attention to what it calls the “narrator” and “time machine” roles of AI and the normative implications of these roles. It argues that AI processes and narratives shape our time and link past, present, and future in particular ways that are ethically and politically significant.</w:t>
      </w:r>
    </w:p>
    <w:p>
      <w:pPr>
        <w:pStyle w:val="Heading2"/>
      </w:pPr>
      <w:r>
        <w:t>912.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2024:</w:t>
      </w:r>
      <w:r>
        <w:t xml:space="preserve"> Transnational conservation to anticipate future plant shifts in Europe — https://doi.org/10.1038/s41559-023-02287-3</w:t>
      </w:r>
    </w:p>
    <w:p>
      <w:pPr/>
      <w:r>
        <w:rPr>
          <w:b/>
        </w:rPr>
        <w:t>Shared claim-specific concepts:</w:t>
      </w:r>
      <w:r>
        <w:t xml:space="preserve"> here, shift, migration, one, land, distribution; EU scope visible. This is a provisional connection, not an outcome finding.</w:t>
      </w:r>
    </w:p>
    <w:p>
      <w:pPr>
        <w:pStyle w:val="SourceNote"/>
      </w:pPr>
      <w:r>
        <w:rPr>
          <w:b/>
        </w:rPr>
        <w:t>Available abstract (not full text):</w:t>
      </w:r>
      <w:r>
        <w:t xml:space="preserve"> To meet the COP15 biodiversity framework in the European Union (EU), one target is to protect 30% of its land by 2030 through a resilient transnational conservation network. The European Alps are a key hub of this network hosting some of the most extensive natural areas and biodiversity hotspots in Europe. Here we assess the robustness of the current European reserve network to safeguard the European Alps' flora by 2080 using semi-mechanistic simulations. We first highlight that the current network needs strong readjustments as it does not capture biodiversity patterns as well as our conservation simulations. Overall, we predict a strong shift in conservation need through time along latitudes, and from lower to higher elevations as plants migrate upslope and shrink their distribution. While increasing species, trait and evolutionary diversity, migration could also threaten 70% of the resident flora. In the face of global changes, the future European reserve network will need to ensure strong elevation and latitudinal connections to complementarily protect multifaceted biodiversity beyond national borders.</w:t>
      </w:r>
    </w:p>
    <w:p>
      <w:pPr/>
      <w:r>
        <w:rPr>
          <w:b/>
        </w:rPr>
        <w:t>POSSIBLE 2023:</w:t>
      </w:r>
      <w:r>
        <w:t xml:space="preserve"> Niche and Range Shifts of the Fall Webworm (Hyphantria cunea Dury) in Europe Imply Its Huge Invasion Potential in the Future — https://doi.org/10.3390/insects14040316</w:t>
      </w:r>
    </w:p>
    <w:p>
      <w:pPr/>
      <w:r>
        <w:rPr>
          <w:b/>
        </w:rPr>
        <w:t>Shared claim-specific concepts:</w:t>
      </w:r>
      <w:r>
        <w:t xml:space="preserve"> here, range, result; EU scope visible. This is a provisional connection, not an outcome finding.</w:t>
      </w:r>
    </w:p>
    <w:p>
      <w:pPr>
        <w:pStyle w:val="SourceNote"/>
      </w:pPr>
      <w:r>
        <w:rPr>
          <w:b/>
        </w:rPr>
        <w:t>Available abstract (not full text):</w:t>
      </w:r>
      <w:r>
        <w:t xml:space="preserve">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here, range, shift, over, climate, realized;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2023:</w:t>
      </w:r>
      <w:r>
        <w:t xml:space="preserve"> Predicting the impacts of climate change on the distribution of European syngnathids over the next century — https://doi.org/10.3389/fmars.2023.1138657</w:t>
      </w:r>
    </w:p>
    <w:p>
      <w:pPr/>
      <w:r>
        <w:rPr>
          <w:b/>
        </w:rPr>
        <w:t>Shared claim-specific concepts:</w:t>
      </w:r>
      <w:r>
        <w:t xml:space="preserve"> here, range, over, century, according, climate; EU scope visible. This is a provisional connection, not an outcome finding.</w:t>
      </w:r>
    </w:p>
    <w:p>
      <w:pPr>
        <w:pStyle w:val="SourceNote"/>
      </w:pPr>
      <w:r>
        <w:rPr>
          <w:b/>
        </w:rPr>
        <w:t>Available abstract (not full text):</w:t>
      </w:r>
      <w:r>
        <w:t xml:space="preserve"> At the latitudinal interval that encompasses Europe, due to the gradual seawater warming imposed by climate change, there is now continuing evidence for a widespread pattern of poleward range shifts, often translated by expansions in the northern leading edges of distribution and contraction episodes at the southern boundaries. As the distribution of biodiversity is far from static, it seems imperative that we can predict changes in species’ geographic ranges to potentially circumvent severe biodiversity losses in the near future. Here, we focus on syngnathids, flagship species and umbrella taxa for coastal marine ecosystems, and attempt to identify areas of environmental suitability in Europe over the next century, according to distinct greenhouse gas concentration trajectories. Our results seamlessly match the general and region-specific impacts of climate change projections for European seas. Especially within the Atlantic Coast, species are expected to continue poleward range shifts, with the hotspot of syngnathid diversity remaining around the Celtic-Biscay Shelf, albeit with slightly distinct species composition from that of present day. The most dramatic changes are expected within semi-enclosed areas such as the Baltic, the Mediterranean and the Black Sea, where present-day endemic species diversity is likely to plunge, especially under a ‘business-as-usual’ scenario. W</w:t>
      </w:r>
    </w:p>
    <w:p>
      <w:pPr/>
      <w:r>
        <w:rPr>
          <w:b/>
        </w:rPr>
        <w:t>POSSIBLE 2023:</w:t>
      </w:r>
      <w:r>
        <w:t xml:space="preserve"> Extreme heat and drought typical of an end-of-century climate could occur over Europe soon and repeatedly — https://doi.org/10.1038/s43247-023-01075-y</w:t>
      </w:r>
    </w:p>
    <w:p>
      <w:pPr/>
      <w:r>
        <w:rPr>
          <w:b/>
        </w:rPr>
        <w:t>Shared claim-specific concepts:</w:t>
      </w:r>
      <w:r>
        <w:t xml:space="preserve"> over, two, climate; EU scope visible. This is a provisional connection, not an outcome finding.</w:t>
      </w:r>
    </w:p>
    <w:p>
      <w:pPr>
        <w:pStyle w:val="SourceNote"/>
      </w:pPr>
      <w:r>
        <w:rPr>
          <w:b/>
        </w:rPr>
        <w:t>Available abstract (not full text):</w:t>
      </w:r>
      <w:r>
        <w:t xml:space="preserve"> Abstract Extreme heat and drought levels typical of an end-of-century climate could occur swiftly, and repeatedly. Despite the European climate being potentially prone to multi-year successive extremes due to the influence of the North Atlantic variability, it remains unclear how the likelihood of such successive extremes changes under warming, how early they could reach end-of-century levels, and how this is affected by internal climate variability. Using the MPI Grand Ensemble, we find that even under moderate warming, end-of-century heat and drought levels virtually impossible 20 years ago reach 1-in-10 likelihoods as early as the 2030s. By 2050-2075, two successive years of single or compound end-of-century extremes, unprecedented to date, exceed 1-in-10 likelihoods; while Europe-wide 5-year megadroughts become plausible. Whole decades of end-of-century heat stress could start by 2040, by 2020 for rain-deficit drought, and end-of-century decades starting as early as 2030 become twice as likely under a warm North Atlantic state.</w:t>
      </w:r>
    </w:p>
    <w:p>
      <w:pPr/>
      <w:r>
        <w:rPr>
          <w:b/>
        </w:rPr>
        <w:t>POSSIBLE 2023:</w:t>
      </w:r>
      <w:r>
        <w:t xml:space="preserve"> Rapid range shifts in African Anopheles mosquitoes over the last century — https://doi.org/10.1098/rsbl.2022.0365</w:t>
      </w:r>
    </w:p>
    <w:p>
      <w:pPr/>
      <w:r>
        <w:rPr>
          <w:b/>
        </w:rPr>
        <w:t>Shared claim-specific concepts:</w:t>
      </w:r>
      <w:r>
        <w:t xml:space="preserve"> here, range, over, century, climate, one; EU scope not established. This is a provisional connection, not an outcome finding.</w:t>
      </w:r>
    </w:p>
    <w:p>
      <w:pPr>
        <w:pStyle w:val="SourceNote"/>
      </w:pPr>
      <w:r>
        <w:rPr>
          <w:b/>
        </w:rPr>
        <w:t>Available abstract (not full text):</w:t>
      </w:r>
      <w:r>
        <w:t xml:space="preserve"> Abstract Facing a warming climate, many tropical species-including the arthropod vectors of several infectious diseases-will be displaced to higher latitudes and elevations. These shifts are frequently forecasted for the future, but rarely documented in the present day. Here, we use one of the most comprehensive datasets ever compiled by medical entomologists to track the observed range limits of African malaria mosquito vectors ( Anopheles spp.) from 1898 to 2016. Using a simple regression approach, we estimate that these species’ ranges gained an average of 6.5 meters of elevation per year, and the southern limits of their ranges moved polewards 4.7 kilometers per year. These shifts are consistent with the local velocity of climate change, and might help explain the incursion of malaria transmission into new areas over the past few decades. Confirming that climate change underlies these shifts, and applying similar methods to other disease vectors, are important directions for future research.</w:t>
      </w:r>
    </w:p>
    <w:p>
      <w:pPr/>
      <w:r>
        <w:rPr>
          <w:b/>
        </w:rPr>
        <w:t>POSSIBLE 2023:</w:t>
      </w:r>
      <w:r>
        <w:t xml:space="preserve"> The Long Sixth Century in Eastern Europe — https://doi.org/10.5406/23300841.68.3.19</w:t>
      </w:r>
    </w:p>
    <w:p>
      <w:pPr/>
      <w:r>
        <w:rPr>
          <w:b/>
        </w:rPr>
        <w:t>Shared claim-specific concepts:</w:t>
      </w:r>
      <w:r>
        <w:t xml:space="preserve"> here, century, migration, two, one, use; EU scope visible. This is a provisional connection, not an outcome finding.</w:t>
      </w:r>
    </w:p>
    <w:p>
      <w:pPr>
        <w:pStyle w:val="SourceNote"/>
      </w:pPr>
      <w:r>
        <w:rPr>
          <w:b/>
        </w:rPr>
        <w:t>Available abstract (not full text):</w:t>
      </w:r>
      <w:r>
        <w:t xml:space="preserve"> The transformative nature of the sixth century has always seemed obvious to historians of the medieval West, who see the period as the long transition from the political structures of the late Roman empire to the kingdoms of the early Middle Ages. In his new book, archaeologist-historian Florin Curta for the first time provides an overarching and compelling argument for the vital importance of the transformation which “Eastern Europe”—as Curta points out, two-thirds of the European continent by area (p. 3)—underwent in the same time period. It is no small accomplishment—no written sources exist for the vast majority of the territory discussed in the period, and archaeological resources are often fragmentary, inconclusive, and subject to nationalist controversy. In providing a synthesis with a geographical scope ranging from the Balkans to the Russian taiga, the author has had to wrestle with a bewildering variety of source-types, languages, and historiographical traditions. But Curta proceeds in exemplary fashion, guiding the reader at a rapid clip from the edges of the eastern Roman empire north and east, regions largely ignored by traditional medievalists and ancient historians alike.This neglect is the main villain of Curta's monograph. The author trains his ire especially on Chris Wickham's magisterial Framing the Early Middle Ages, a synthesis of the early European economy</w:t>
      </w:r>
    </w:p>
    <w:p>
      <w:pPr/>
      <w:r>
        <w:rPr>
          <w:b/>
        </w:rPr>
        <w:t>POSSIBLE 2023:</w:t>
      </w:r>
      <w:r>
        <w:t xml:space="preserve"> Shifts in flood generation processes exacerbate regional flood anomalies in Europe — https://doi.org/10.1038/s43247-023-00714-8</w:t>
      </w:r>
    </w:p>
    <w:p>
      <w:pPr/>
      <w:r>
        <w:rPr>
          <w:b/>
        </w:rPr>
        <w:t>Shared claim-specific concepts:</w:t>
      </w:r>
      <w:r>
        <w:t xml:space="preserve"> here, shift, climate; EU scope visible. This is a provisional connection, not an outcome finding.</w:t>
      </w:r>
    </w:p>
    <w:p>
      <w:pPr>
        <w:pStyle w:val="SourceNote"/>
      </w:pPr>
      <w:r>
        <w:rPr>
          <w:b/>
        </w:rPr>
        <w:t>Available abstract (not full text):</w:t>
      </w:r>
      <w:r>
        <w:t xml:space="preserve"> Anomalies in the frequency of river floods, i.e., flood-rich or -poor periods, cause biases in flood risk estimates and thus make climate adaptation measures less efficient. While observations have recently confirmed the presence of flood anomalies in Europe, their exact causes are not clear. Here we analyse streamflow and climate observations during 1960-2010 to show that shifts in flood generation processes contribute more to the occurrence of regional flood anomalies than changes in extreme rainfall. A shift from rain on dry soil to rain on wet soil events by 5% increased the frequency of flood-rich periods in the Atlantic region, and an opposite shift in the Mediterranean region increased the frequency of flood-poor periods, but will likely make singular extreme floods occur more often. Flood anomalies driven by changing flood generation processes in Europe may further intensify in a warming climate and should be considered in flood estimation and management.</w:t>
      </w:r>
    </w:p>
    <w:p>
      <w:pPr>
        <w:pStyle w:val="Heading2"/>
      </w:pPr>
      <w:r>
        <w:t>913.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2026:</w:t>
      </w:r>
      <w:r>
        <w:t xml:space="preserve"> Economic Assimilation of Women and Families in the Age of Mass Migration — https://doi.org/10.3386/w35332</w:t>
      </w:r>
    </w:p>
    <w:p>
      <w:pPr/>
      <w:r>
        <w:rPr>
          <w:b/>
        </w:rPr>
        <w:t>Shared claim-specific concepts:</w:t>
      </w:r>
      <w:r>
        <w:t xml:space="preserve"> mass, migration, between, different; EU scope not established. This is a provisional connection, not an outcome finding.</w:t>
      </w:r>
    </w:p>
    <w:p>
      <w:pPr>
        <w:pStyle w:val="SourceNote"/>
      </w:pPr>
      <w:r>
        <w:rPr>
          <w:b/>
        </w:rPr>
        <w:t>Available abstract (not full text):</w:t>
      </w:r>
      <w:r>
        <w:t xml:space="preserve"> During the Age of Mass Migration, over forty percent of immigrants were women, yet most research focuses on men.Using linked 1900 and 1910 Census records, I show that economic assimilation patterns differed for men and women, and families assimilated at different rates than individuals.Immigrant families improved their relative income scores compared with US-born families, driven by reliance on multiple earners, particularly women's and children's labor.At the individual level, gaps between immigrant and US-born income scores were larger for women than men, and the gap for women barely changed even after twenty years of stay.</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2024:</w:t>
      </w:r>
      <w:r>
        <w:t xml:space="preserve"> At the Doorstep of Mass Migrations — https://doi.org/10.1017/9781009281874.015</w:t>
      </w:r>
    </w:p>
    <w:p>
      <w:pPr/>
      <w:r>
        <w:rPr>
          <w:b/>
        </w:rPr>
        <w:t>Shared claim-specific concepts:</w:t>
      </w:r>
      <w:r>
        <w:t xml:space="preserve"> mass, migration, international, between, policies; EU scope visible. This is a provisional connection, not an outcome finding.</w:t>
      </w:r>
    </w:p>
    <w:p>
      <w:pPr>
        <w:pStyle w:val="SourceNote"/>
      </w:pPr>
      <w:r>
        <w:rPr>
          <w:b/>
        </w:rPr>
        <w:t>Available abstract (not full text):</w:t>
      </w:r>
      <w:r>
        <w:t xml:space="preserve"> Amid epidemics, droughts, and a bourgeoning abolitionist wave in the late 1870s and 1880s, the Brazilian Empire internalized migration protocols long in the making. Crucial to the development of new migration policies was the Sociedade Central de Imigração (SCI), a new association midway between a corporation and a literary club. The SCI and its abolitionist members, which included conservative noblemen and republican professionals, synthesized the lessons learned by three generations of political elites, and avidly lobbied for reform policies pertinent to land surveying and distribution, naturalization, and immigration promotion. Dismissed by scholars as a bourgeois and largely failed experiment in immigration advocacy, the SCI in fact furnished the policy tools for the Brazilian government to counter German and Italian interdictions on migrations to Brazil, which, as the chapter demonstrates, had more to do with commercial and geostrategic concerns than with immigration issues themselves. Ultimately, the SCI laid the building blocks for the new Republican government to welcome exponentially growing cohorts of migrants despite the persistence of international prohibitions in Italy.</w:t>
      </w:r>
    </w:p>
    <w:p>
      <w:pPr/>
      <w:r>
        <w:rPr>
          <w:b/>
        </w:rPr>
        <w:t>POSSIBLE 2022:</w:t>
      </w:r>
      <w:r>
        <w:t xml:space="preserve"> Mass Migration and Technological Change — https://doi.org/10.1093/jeea/jvac017</w:t>
      </w:r>
    </w:p>
    <w:p>
      <w:pPr/>
      <w:r>
        <w:rPr>
          <w:b/>
        </w:rPr>
        <w:t>Shared claim-specific concepts:</w:t>
      </w:r>
      <w:r>
        <w:t xml:space="preserve"> mass, migration, related; EU scope visible. This is a provisional connection, not an outcome finding.</w:t>
      </w:r>
    </w:p>
    <w:p>
      <w:pPr>
        <w:pStyle w:val="SourceNote"/>
      </w:pPr>
      <w:r>
        <w:rPr>
          <w:b/>
        </w:rPr>
        <w:t>Available abstract (not full text):</w:t>
      </w:r>
      <w:r>
        <w:t xml:space="preserve"> Abstract This paper studies the effect of emigration on technological change in sending locations after one of the largest migration events in human history, the mass migration from Europe to the United States in the 19th century. To establish causality, we adopt an instrumental variable strategy that combines local growing-season frost shocks with proximity to emigration ports. Using data on patents, we find that emigration led to an increase in innovative activity in sending localities. Using data on capital and labor inputs in agriculture and industry, we find evidence of an increased capital intensity related to new technologies in both sectors. We argue that these results are consistent with theories of induced (labor-saving) innovation due to high labor costs following emigration.</w:t>
      </w:r>
    </w:p>
    <w:p>
      <w:pPr/>
      <w:r>
        <w:rPr>
          <w:b/>
        </w:rPr>
        <w:t>POSSIBLE 2022:</w:t>
      </w:r>
      <w:r>
        <w:t xml:space="preserve"> The impact of mass migration of Syrians on the Turkish labor market — https://doi.org/10.1016/j.labeco.2022.102183</w:t>
      </w:r>
    </w:p>
    <w:p>
      <w:pPr/>
      <w:r>
        <w:rPr>
          <w:b/>
        </w:rPr>
        <w:t>Shared claim-specific concepts:</w:t>
      </w:r>
      <w:r>
        <w:t xml:space="preserve"> mass, migration;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Educational Problems of Mass Migration — https://doi.org/10.4324/9781003172246-22</w:t>
      </w:r>
    </w:p>
    <w:p>
      <w:pPr/>
      <w:r>
        <w:rPr>
          <w:b/>
        </w:rPr>
        <w:t>Shared claim-specific concepts:</w:t>
      </w:r>
      <w:r>
        <w:t xml:space="preserve"> third, mass, migration, world; EU scope not established. This is a provisional connection, not an outcome finding.</w:t>
      </w:r>
    </w:p>
    <w:p>
      <w:pPr>
        <w:pStyle w:val="SourceNote"/>
      </w:pPr>
      <w:r>
        <w:rPr>
          <w:b/>
        </w:rPr>
        <w:t>Available abstract (not full text):</w:t>
      </w:r>
      <w:r>
        <w:t xml:space="preserve"> This chapter argues that philosophy of education should avoid the sedentary bias, that is, the assumption that those who are educated will stay and live in the country and society in which they were educated. It adopts a pluralist and non-ideal approach to address three challenges. The first challenge is the relevance of citizenship education for children and teenagers who, once they reach adulthood, will not get citizenship in their country of residence. The second challenge is equality of opportunity for students whose families do not possess the linguistic and cultural capital needed to strive in the countries they arrive in. The third challenge is the problem of fair distribution of educational costs and benefits, in a world in which people do not always work and pay taxes in the countries that paid for their education.</w:t>
      </w:r>
    </w:p>
    <w:p>
      <w:pPr/>
      <w:r>
        <w:rPr>
          <w:b/>
        </w:rPr>
        <w:t>POSSIBLE 2022:</w:t>
      </w:r>
      <w:r>
        <w:t xml:space="preserve"> Struggles With Mass-Migrations, National- and State-Interests in the Late Habsburg Empire — https://doi.org/10.4324/9781003246619-13</w:t>
      </w:r>
    </w:p>
    <w:p>
      <w:pPr/>
      <w:r>
        <w:rPr>
          <w:b/>
        </w:rPr>
        <w:t>Shared claim-specific concepts:</w:t>
      </w:r>
      <w:r>
        <w:t xml:space="preserve"> third, mass, migration, different, policies; EU scope visible. This is a provisional connection, not an outcome finding.</w:t>
      </w:r>
    </w:p>
    <w:p>
      <w:pPr>
        <w:pStyle w:val="SourceNote"/>
      </w:pPr>
      <w:r>
        <w:rPr>
          <w:b/>
        </w:rPr>
        <w:t>Available abstract (not full text):</w:t>
      </w:r>
      <w:r>
        <w:t xml:space="preserve"> The 18th- and 19th-century spatial political mobilization of masses not only was a concern of self-defense of the affected communities themselves but appeared also as a tool for different “third party” actors to solve different security issues. The southern and eastern parts of the Habsburg Empire, liberated from Ottoman Turkish rule, offered an opportunity for the centralized administration to utilize mobility, namely mass migration for economic revival and other security-related goals and interests against the Hungarian nobility estate, thus planting the seeds of later security struggles. The Austro-Hungarian era’s nation-building policies used methods of mass mobilization as well. This chapter will cover three phenomena that are all implementations of the mass mobilization processes in the late Habsburg Empire. The church-led “great Serb migration” was not only a result of basic self-defense in the face of a possible Ottoman retaliation after the Great Turkish War but also a core interest of the war-torn Habsburg Monarchy. The already militarized Serb masses served a farseeing imperial political goal by gathering more loyal elements facing the Turkish border and encircling an inner threat: The Hungarian noble estate. However, this mobility of masses, with privileges, later became a wider security, by viewing the “descendants of immigrants” and their undefined status as a thr</w:t>
      </w:r>
    </w:p>
    <w:p>
      <w:pPr/>
      <w:r>
        <w:rPr>
          <w:b/>
        </w:rPr>
        <w:t>POSSIBLE 2022:</w:t>
      </w:r>
      <w:r>
        <w:t xml:space="preserve"> Civic Education in the Age of Mass Migration: Implications for Theory and Practice — https://doi.org/10.17763/1943-5045-92.2.304a</w:t>
      </w:r>
    </w:p>
    <w:p>
      <w:pPr/>
      <w:r>
        <w:rPr>
          <w:b/>
        </w:rPr>
        <w:t>Shared claim-specific concepts:</w:t>
      </w:r>
      <w:r>
        <w:t xml:space="preserve"> third, mass, migration, purpose, between; EU scope not established. This is a provisional connection, not an outcome finding.</w:t>
      </w:r>
    </w:p>
    <w:p>
      <w:pPr>
        <w:pStyle w:val="SourceNote"/>
      </w:pPr>
      <w:r>
        <w:rPr>
          <w:b/>
        </w:rPr>
        <w:t>Available abstract (not full text):</w:t>
      </w:r>
      <w:r>
        <w:t xml:space="preserve"> Civic Education in the Age of Mass Migration: Implications for Theory and Practice opens with a discussion of a key tension between civic education and citizenship as a legal construct. While civic education focuses on membership, or belonging within a community, the process of legally creating citizens requires drawing lines to exclude those who do not belong. The construction of citizens necessitates the creation of non-citizens. Further, the boundaries of citizenship that cleave de jure citizens (those with formal legal status) from de facto citizens (members of society based on their social, political, and economic connections) have historically aligned with, reinforced, and formalized the exclusion of marginalized and oppressed groups. In this, her latest book on civic education in the United States, Angela Banks argues that “citizenship boundaries in the United States have been, and continue to be, structured in ways that violate the egalitarian norm with regard to race, class, and gender” (p. 13). Despite this, civic education usually frames citizenship as purely inclusive, an approach that is both limiting and problematic.The book begins with an overview of the history and development of the main strands of civic education, including a discussion of why civic education must interrogate the boundaries of citizenship in order to more effectively meet its purpose. In chapt</w:t>
      </w:r>
    </w:p>
    <w:p>
      <w:pPr/>
      <w:r>
        <w:rPr>
          <w:b/>
        </w:rPr>
        <w:t>POSSIBLE 2022:</w:t>
      </w:r>
      <w:r>
        <w:t xml:space="preserve"> Trade and Migration: Some New Evidence from the European Mass Migration to Argentina (1870–1913) — https://doi.org/10.1017/s1474745622000027</w:t>
      </w:r>
    </w:p>
    <w:p>
      <w:pPr/>
      <w:r>
        <w:rPr>
          <w:b/>
        </w:rPr>
        <w:t>Shared claim-specific concepts:</w:t>
      </w:r>
      <w:r>
        <w:t xml:space="preserve"> mass, migration, aim, estimate; EU scope visible. This is a provisional connection, not an outcome finding.</w:t>
      </w:r>
    </w:p>
    <w:p>
      <w:pPr>
        <w:pStyle w:val="SourceNote"/>
      </w:pPr>
      <w:r>
        <w:rPr>
          <w:b/>
        </w:rPr>
        <w:t>Available abstract (not full text):</w:t>
      </w:r>
      <w:r>
        <w:t xml:space="preserve"> Abstract During the first wave of globalization, Argentina was among the most internationally integrated economies, experiencing a rising trend in trade openness and a tremendous increase in labor due to migration. In this paper, we empirically show the central role immigration had in boosting exports and imports in the years 1870–1913 by considering Argentine bilateral trade and migration from eight European countries (Austro-Hungarian Empire, Belgium, France, Germany, Italy, Spain, Switzerland, and United Kingdom). We use a migration-augmented gravity model to estimate the contribution of the massive inflows of Europeans, and we find that the main pro-trade effect was on imports: a percent 10% increase in migrants from a particular country would increase imports by up to 8% from that same country. We do not find the same effect on exports. The disproportionate decrease in transportation rather than communication costs may explain why the latter are relatively more decisive for exports than for imports. To overcome the problem of reverse causality and endogeneity, we use migration flows to the US from the eight European countries as an instrumental variable. In so doing, we aim at capturing the same push (but not Argentine pull) factors inducing European out-migration.</w:t>
      </w:r>
    </w:p>
    <w:p>
      <w:pPr>
        <w:pStyle w:val="Heading2"/>
      </w:pPr>
      <w:r>
        <w:t>914.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2026:</w:t>
      </w:r>
      <w:r>
        <w:t xml:space="preserve"> Performance Evaluation of Concrete with Recycled Waste Polypropylene — https://doi.org/10.6084/m9.figshare.31871653</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Production and application of plastic waste has become a severe environmental problem worldwide where polypropylene (PP) possesses around 35% of the total plastic waste. Using recycled PP in concrete could be a solution for the problem. This study aims at evaluating structural and durability performance of various strength concrete mixed with recycled waste polypropylene as a partial replacement of coarse aggregate. Performance of concrete was evaluated in terms of compressive strength, chloride ion penetration and high temperature exposure at different ages. In order to determine theoptimum proportion of polypropylene in concrete, samples were prepared with 0%, 10%, &amp; 20% replacement of PP as coarse aggregate for two different w/c ratios (0.35 and0.40). It was found that for maximum 20% of PP replacement, compressive strength reduction was only 21% which could still produce more than 25MPa of concrete and at high temperature exposure (more than 200° C) for 1 hour the strength of concrete was still more than 20 MPa. Moreover, PP can also be used to produce light weight concrete due to its lower unit weight, as relative reduction was upto 10% in density for 20% of PP replacement, than regular concrete. Therefore, concrete with optimum proportion of PP as partial replacement of coarse aggregate can produce strongand durable structure concrete.</w:t>
      </w:r>
    </w:p>
    <w:p>
      <w:pPr/>
      <w:r>
        <w:rPr>
          <w:b/>
        </w:rPr>
        <w:t>POSSIBLE 2024:</w:t>
      </w:r>
      <w:r>
        <w:t xml:space="preserve"> Influence of mixing time on the homogeneity of properties of concrete mixtures and concrete — https://doi.org/10.23968/1999-5571-2024-21-5-66-75</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The study presents tests of industrial concrete mixtures to determine standard indicators (workability, volume of air involved) and concretes made from them to assess homogeneity in terms of strength as a function of mixing time. It is experimentally established how the assignment of mixing time affects the properties of concrete mixtures and determines the homogeneity of concrete composites.</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2021:</w:t>
      </w:r>
      <w:r>
        <w:t xml:space="preserve"> Concrete Is as Concrete Doesn’t — https://doi.org/10.1215/9781478021971-001</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Introduction: Concrete Is as Concrete Doesn'tWhen I think of my body and ask what it does to earn that name, two things stand out.It moves.It feels.In fact, it does both at the same time.It moves as it feels, and it feels itself moving.Can we think a body without this: an intrinsic connection between movement and sensation whereby each immediately summons the other?If you start from an intrinsic connection between movement and sensation, the slightest, most literal displacement convokes a qualitative difference, because as directly as it conducts itself it beckons a feeling, and feelings have a way of folding into each other, resonating together, interfering with each other, mutually intensifying, all in unquantifiable ways apt to unfold again in action, often unpredictably.Qualitative difference: immediately the issue is change.Felt and unforeseen.The proj ect of this book is to explore the implications for cultural theory of this simple conceptual displacement: body-(movement/ sensation)-change.Cultural theory of the past two de cades has tended to bracket the middle terms and their unmediated connection.It can be argued that in doing so it has significantly missed the two outside terms, even though they have been of consistent concern-perhaps the central concerns in the humanities.Attention to the literality of movement was deflected by fears of falling into a "naive realism</w:t>
      </w:r>
    </w:p>
    <w:p>
      <w:pPr/>
      <w:r>
        <w:rPr>
          <w:b/>
        </w:rPr>
        <w:t>POSSIBLE 2020:</w:t>
      </w:r>
      <w:r>
        <w:t xml:space="preserve"> Between Imagined Communities and Communities of Practice - Participation, Territory and the Making of Heritage — https://openalex.org/W2605418063</w:t>
      </w:r>
    </w:p>
    <w:p>
      <w:pPr/>
      <w:r>
        <w:rPr>
          <w:b/>
        </w:rPr>
        <w:t>Shared claim-specific concepts:</w:t>
      </w:r>
      <w:r>
        <w:t xml:space="preserve"> concrete, terms, territory; EU scope visible. This is a provisional connection, not an outcome finding.</w:t>
      </w:r>
    </w:p>
    <w:p>
      <w:pPr>
        <w:pStyle w:val="SourceNote"/>
      </w:pPr>
      <w:r>
        <w:rPr>
          <w:b/>
        </w:rPr>
        <w:t>Available abstract (not full text):</w:t>
      </w:r>
      <w:r>
        <w:t xml:space="preserve"> Community and participation have become central concepts in the nomination processes surrounding heritage, intersecting time and again with questions of territory. In this volume, anthropologists and legal scholars from France, Germany, Italy and the USA take up questions arising from these intertwined concerns from diverse perspectives: How and by whom were these concepts interpreted and re-interpreted, and what effects did they bring forth in their implementation? What impact was wielded by these terms, and what kinds of discursive formations did they bring forth? How do actors from local to national levels interpret these new components of the heritage regime, and how do actors within heritage-granting national and international bodies work it into their cultural and political agency? What is the role of experts and expertise, and when is scholarly knowledge expertise and when is it partisan? How do bureaucratic institutions translate the imperative of participation into concrete practices?Case studies from within and without the UNESCO matrix combine with essays probing larger concerns generated by the valuation and valorization of culture.</w:t>
      </w:r>
    </w:p>
    <w:p>
      <w:pPr/>
      <w:r>
        <w:rPr>
          <w:b/>
        </w:rPr>
        <w:t>POSSIBLE 2020:</w:t>
      </w:r>
      <w:r>
        <w:t xml:space="preserve"> Learning in, with, and through the Territory: Territory-Based Learning as a Catalyst for Urban Sustainability — https://doi.org/10.3390/su12073000</w:t>
      </w:r>
    </w:p>
    <w:p>
      <w:pPr/>
      <w:r>
        <w:rPr>
          <w:b/>
        </w:rPr>
        <w:t>Shared claim-specific concepts:</w:t>
      </w:r>
      <w:r>
        <w:t xml:space="preserve"> concrete, terms, territory; EU scope not established. This is a provisional connection, not an outcome finding.</w:t>
      </w:r>
    </w:p>
    <w:p>
      <w:pPr>
        <w:pStyle w:val="SourceNote"/>
      </w:pPr>
      <w:r>
        <w:rPr>
          <w:b/>
        </w:rPr>
        <w:t>Available abstract (not full text):</w:t>
      </w:r>
      <w:r>
        <w:t xml:space="preserve"> Territorial problems such as the socio-ecological degradation of urban rivers represent a great challenge to achieving sustainability in cities. This issue demands collaborative efforts and the crossing of boundaries determined by actors that act from diverse spheres of knowledge and systems of practice. Based on an integrative territory notion and the boundary approach, the goal of this paper is to comprehend the boundary crossings that take place in multi-actor initiatives towards the resolution of this problem and what type of territorial transformation is produced as an outcome. Our analysis is built on participatory research on the Taquara Stream case, a degraded watercourse in a socio-ecologically vulnerable area, in southern Brazil. Our data analysis applied a visual chronological narrative and an interdisciplinary theoretical framework of analysis that combined concepts related to the territory (geography) and the boundary approach (education). We verified that local territorial issues functioned as boundary objects, fostering and facilitating dialogical interaction among involved actors, knowledge co-production, and collaborative practical actions that led to changes in the territory in terms of practices, comprehensions, and physical concrete transformations. We framed this study as one of territory-based learning meant to advance the understanding of territorial inte</w:t>
      </w:r>
    </w:p>
    <w:p>
      <w:pPr/>
      <w:r>
        <w:rPr>
          <w:b/>
        </w:rPr>
        <w:t>POSSIBLE 2020:</w:t>
      </w:r>
      <w:r>
        <w:t xml:space="preserve"> The Utilization of Agricultural Waste as Agro-Cement in Concrete: A Review — https://doi.org/10.3390/su12176971</w:t>
      </w:r>
    </w:p>
    <w:p>
      <w:pPr/>
      <w:r>
        <w:rPr>
          <w:b/>
        </w:rPr>
        <w:t>Shared claim-specific concepts:</w:t>
      </w:r>
      <w:r>
        <w:t xml:space="preserve"> concrete, providing, sustainable; EU scope not established. This is a provisional connection, not an outcome finding.</w:t>
      </w:r>
    </w:p>
    <w:p>
      <w:pPr>
        <w:pStyle w:val="SourceNote"/>
      </w:pPr>
      <w:r>
        <w:rPr>
          <w:b/>
        </w:rPr>
        <w:t>Available abstract (not full text):</w:t>
      </w:r>
      <w:r>
        <w:t xml:space="preserve"> Concrete, as the world’s most implemented construction material, is increasingly being used because of the rapid development of industrialization and urbanization. Limited resources and progressive depravation of the environment are forcing scientific efforts to seek alternative and effective materials from large amounts of natural resources as additives in the partial replacement of cement. Cement is a main constituent of concrete. To solve and minimize environmental issues, research works attempting to employ the wide availability of agricultural wastes, such as sugar cane bagasse, rice husk, sugar cane straw, and palm oil fuel, among others, into cement, and to finally bring sustainable and environmentally friendly properties to concrete are being examined. Agro-waste materials are crushed into fine and coarse aggregates or are burnt into ash, and are then mixed with cement, which is known as agro-cement. The replacement of aggregates, either partially or fully, is also deemed as a sustainable material in construction. This paper mainly reviews the current research on agro-cement that has been researched and applied for the enhancement of the strength and durability of concrete. It further summarizes the relevant knowledge and techniques, while providing optimal parameters for applying agricultural wastes in concrete.</w:t>
      </w:r>
    </w:p>
    <w:p>
      <w:pPr/>
      <w:r>
        <w:rPr>
          <w:b/>
        </w:rPr>
        <w:t>POSSIBLE 2020:</w:t>
      </w:r>
      <w:r>
        <w:t xml:space="preserve"> Eco-friendly concrete containing recycled plastic as partial replacement for sand — https://doi.org/10.1016/j.jmrt.2020.02.090</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Solid waste is one of the many factors that negatively affect the environment. Problems stem from factors such as difficulty of waste recycling and limited reuse. Plastic is an important type of solid waste with a strong environmental impact. This study aims to investigate the effects of utilising poly-ethylene terephthalate (PET) as a partial substitute for sand in concrete. The effects of this material on the physical and mechanical properties of concrete were examined. A group of six concrete mixtures containing PET was prepared as a partial substitute for sand with substitution levels 0%, 10%, 20%, 30%, 40% and 50%. Concrete was cast to determine the behaviour of fresh and hardened concrete in terms of workability, unit weight, compressive strength, flexural strength, tensile strength, pulse velocity and fire-resistant behaviour. The experimental results showed a reduction in unit weight, the sand replacement harmed the concrete mechanical properties at varying rates and proved that plastic waste can be disposed of by specific ratios and therefore, can be effectively applied in industrial usage.</w:t>
      </w:r>
    </w:p>
    <w:p>
      <w:pPr/>
      <w:r>
        <w:rPr>
          <w:b/>
        </w:rPr>
        <w:t>POSSIBLE 2019:</w:t>
      </w:r>
      <w:r>
        <w:t xml:space="preserve"> Prediction of Compressive Strength of Concrete: Critical Comparison of Performance of a Hybrid Machine Learning Model with Standalone Models — https://doi.org/10.1061/(asce)mt.1943-5533.0002902</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The use of machine learning (ML) techniques to model quantitative composition–property relationships in concrete has received substantial attention in the past few years. This paper presents a novel hybrid ML model (RF-FFA) for prediction of compressive strength of concrete by combining the random forests (RF) model with the firefly algorithm (FFA). The firefly algorithm is utilized to determine optimum values of two hyper-parameters (i.e., number of trees and number of leaves per tree in the forest) of the RF model in relation to the nature and volume of the dataset. The RF-FFA model was trained to develop correlations between input variables and output of two different categories of datasets; such correlations were subsequently leveraged by the model to make predictions in previously untrained data domains. The first category included two separate datasets featuring highly nonlinear and periodic relationship between input variables and output, as given by trigonometric functions. The second category included two real-world datasets, composed of mixture design variables of concretes as inputs and their age-dependent compressive strengths as outputs. The prediction performance of the hybrid RF-FFA model was benchmarked against commonly used standalone ML models—support vector machine (SVM), multilayer perceptron artificial neural network (MLP-ANN), M5Prime model tree algorithm </w:t>
      </w:r>
    </w:p>
    <w:p>
      <w:pPr/>
      <w:r>
        <w:rPr>
          <w:b/>
        </w:rPr>
        <w:t>POSSIBLE 2019:</w:t>
      </w:r>
      <w:r>
        <w:t xml:space="preserve"> New empirical approach for determining nominal shear capacity of steel fiber reinforced concrete beams — https://doi.org/10.1016/j.conbuildmat.2019.117293</w:t>
      </w:r>
    </w:p>
    <w:p>
      <w:pPr/>
      <w:r>
        <w:rPr>
          <w:b/>
        </w:rPr>
        <w:t>Shared claim-specific concepts:</w:t>
      </w:r>
      <w:r>
        <w:t xml:space="preserve"> concrete, terms, capacity; EU scope not established. This is a provisional connection, not an outcome finding.</w:t>
      </w:r>
    </w:p>
    <w:p>
      <w:pPr>
        <w:pStyle w:val="SourceNote"/>
      </w:pPr>
      <w:r>
        <w:rPr>
          <w:b/>
        </w:rPr>
        <w:t>Available abstract (not full text):</w:t>
      </w:r>
      <w:r>
        <w:t xml:space="preserve"> The main objective of this paper is to develop new design formulations for determining shear stress of steel fiber-reinforced concrete (SFRC) beams without stirrups using Gene Expression Programming (GEP) and Artificial Neural Networks (ANNs) based on a large number of test results. The proposed formulations relate the average shear stress to geometrical, and material properties of common reinforced concrete beam (effective depth, ratio of shear span to effective depth, compressive strength of concrete, and longitudinal steel reinforcement) and fiber properties (diameter, length, and volume percentage). In order to verify the validity and reliability of the proposed formulations, a comparative assessment was conducted between measured and calculated average shear stress of beams. The comparative assessment is carried out in terms of common and modified coefficient of determination (R and Rm), root- mean-square error (RMSE), mean absolute percentage error (MAPE), and gradients of regression lines (k and k’). The results obtained for the considered statistical measures and performance criteria reveal that all of the proposed formulations have acceptable ability to calculate average shear stress for a wide range of shear span to effective depth ratios.</w:t>
      </w:r>
    </w:p>
    <w:p>
      <w:pPr>
        <w:pStyle w:val="Heading2"/>
      </w:pPr>
      <w:r>
        <w:t>915.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r>
        <w:rPr>
          <w:b/>
        </w:rPr>
        <w:t>POSSIBLE 2022:</w:t>
      </w:r>
      <w:r>
        <w:t xml:space="preserve"> Visions of Europe in the Resistance — https://doi.org/10.3726/b19126</w:t>
      </w:r>
    </w:p>
    <w:p>
      <w:pPr/>
      <w:r>
        <w:rPr>
          <w:b/>
        </w:rPr>
        <w:t>Shared claim-specific concepts:</w:t>
      </w:r>
      <w:r>
        <w:t xml:space="preserve"> visions, there; EU scope visible. This is a provisional connection, not an outcome finding.</w:t>
      </w:r>
    </w:p>
    <w:p>
      <w:pPr>
        <w:pStyle w:val="SourceNote"/>
      </w:pPr>
      <w:r>
        <w:rPr>
          <w:b/>
        </w:rPr>
        <w:t>Available abstract (not full text):</w:t>
      </w:r>
      <w:r>
        <w:t xml:space="preserve"> The fight against Fascism and Nazism during the Second World War gave rise to a strong "desire for Europe": a desire for a united, peaceful, democratic Europe. In many countries, there was a flowering of movements, actions, newspapers and constitutional projects in which the vision of the "United States of Europe" was an essential element, enriching the Resistance with a new, profound and lasting political and historical dimension. By interpreting the changes that the Second World War generated, the Europeanists and federalist forerunners of the times mentioned in this volume were able to identify, ahead of their time, the basis for the construction of the new united Europe and, with it, a new peaceful and democratic international order.</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review, recent;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review, build, recent;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2020:</w:t>
      </w:r>
      <w:r>
        <w:t xml:space="preserve"> Review of the evidence for oceans and human health relationships in Europe: A systematic map — https://doi.org/10.1016/j.envint.2020.106275</w:t>
      </w:r>
    </w:p>
    <w:p>
      <w:pPr/>
      <w:r>
        <w:rPr>
          <w:b/>
        </w:rPr>
        <w:t>Shared claim-specific concepts:</w:t>
      </w:r>
      <w:r>
        <w:t xml:space="preserve"> review, build, recent, key, there; EU scope visible. This is a provisional connection, not an outcome finding.</w:t>
      </w:r>
    </w:p>
    <w:p>
      <w:pPr>
        <w:pStyle w:val="SourceNote"/>
      </w:pPr>
      <w:r>
        <w:rPr>
          <w:b/>
        </w:rPr>
        <w:t>Available abstract (not full text):</w:t>
      </w:r>
      <w:r>
        <w:t xml:space="preserve"> BACKGROUND: Globally, there is increasing scientific evidence of critical links between the oceans and human health, with research into issues such as pollution, harmful algal blooms and nutritional contributions. However, Oceans and Human Health (OHH) remains an emerging discipline. As such these links are poorly recognized in policy efforts such as the Sustainable Development Goals, with OHH not included in either marine (SDG14) or health (SDG3) goals. This is arguably short-sighted given recent development strategies such as the EU Blue Growth Agenda. OBJECTIVES: In this systematic map we aim to build on recent efforts to enhance OHH in Europe by setting a baseline of existing evidence, asking: What links have been researched between marine environments and the positive and negative impacts to human health and wellbeing? METHODS: We searched eight bibliographic databases and queried 57 organizations identified through stakeholder consultation. Results include primary research and systematic reviews which were screened double blind against pre-defined inclusion criteria as per a published protocol. Studies were limited to Europe, US, Australia, New Zealand and Canada. Data was extracted according to a stakeholder-defined code book. A narrative synthesis explores the current evidence for relationships between marine exposures and human health outcomes, trends in knowledge gaps</w:t>
      </w:r>
    </w:p>
    <w:p>
      <w:pPr/>
      <w:r>
        <w:rPr>
          <w:b/>
        </w:rPr>
        <w:t>POSSIBLE 2020:</w:t>
      </w:r>
      <w:r>
        <w:t xml:space="preserve"> A review of interactions between peripheral and foveal vision — https://doi.org/10.1167/jov.20.12.2</w:t>
      </w:r>
    </w:p>
    <w:p>
      <w:pPr/>
      <w:r>
        <w:rPr>
          <w:b/>
        </w:rPr>
        <w:t>Shared claim-specific concepts:</w:t>
      </w:r>
      <w:r>
        <w:t xml:space="preserve"> review, recent; EU scope not established. This is a provisional connection, not an outcome finding.</w:t>
      </w:r>
    </w:p>
    <w:p>
      <w:pPr>
        <w:pStyle w:val="SourceNote"/>
      </w:pPr>
      <w:r>
        <w:rPr>
          <w:b/>
        </w:rPr>
        <w:t>Available abstract (not full text):</w:t>
      </w:r>
      <w:r>
        <w:t xml:space="preserve"> Visual processing varies dramatically across the visual field. These differences start in the retina and continue all the way to the visual cortex. Despite these differences in processing, the perceptual experience of humans is remarkably stable and continuous across the visual field. Research in the last decade has shown that processing in peripheral and foveal vision is not independent, but is more directly connected than previously thought. We address three core questions on how peripheral and foveal vision interact, and review recent findings on potentially related phenomena that could provide answers to these questions. First, how is the processing of peripheral and foveal signals related during fixation? Peripheral signals seem to be processed in foveal retinotopic areas to facilitate peripheral object recognition, and foveal information seems to be extrapolated toward the periphery to generate a homogeneous representation of the environment. Second, how are peripheral and foveal signals re-calibrated? Transsaccadic changes in object features lead to a reduction in the discrepancy between peripheral and foveal appearance. Third, how is peripheral and foveal information stitched together across saccades? Peripheral and foveal signals are integrated across saccadic eye movements to average percepts and to reduce uncertainty. Together, these findings illustrate that peripher</w:t>
      </w:r>
    </w:p>
    <w:p>
      <w:pPr/>
      <w:r>
        <w:rPr>
          <w:b/>
        </w:rPr>
        <w:t>POSSIBLE 2020:</w:t>
      </w:r>
      <w:r>
        <w:t xml:space="preserve"> A critical review on computer vision and artificial intelligence in food industry — https://doi.org/10.1016/j.jafr.2020.100033</w:t>
      </w:r>
    </w:p>
    <w:p>
      <w:pPr/>
      <w:r>
        <w:rPr>
          <w:b/>
        </w:rPr>
        <w:t>Shared claim-specific concepts:</w:t>
      </w:r>
      <w:r>
        <w:t xml:space="preserve"> review, sustainability, key; EU scope not established. This is a provisional connection, not an outcome finding.</w:t>
      </w:r>
    </w:p>
    <w:p>
      <w:pPr>
        <w:pStyle w:val="SourceNote"/>
      </w:pPr>
      <w:r>
        <w:rPr>
          <w:b/>
        </w:rPr>
        <w:t>Available abstract (not full text):</w:t>
      </w:r>
      <w:r>
        <w:t xml:space="preserve"> Emerging technologies such as computer vision and Artificial Intelligence (AI) are estimated to leverage the accessibility of big data for active training and yielding operational real time smart machines and predictable models. This phenomenon of applying vision and learning methods for the improvement of food industry is termed as computer vision and AI driven food industry. This review contributes to provide an insight into state-of-the-art AI and computer vision technologies that can assist farmers in agriculture and food processing. This paper investigates various scenarios and use cases of machine learning, machine vision and deep learning in global perspective with the lens of sustainability. It explains the increasing demand towards the AgTech industry using computer vision and AI which might be a path towards sustainable food production to feed the future. Also, this review tosses some implications regarding challenges and recommendations in inclusion of technologies in real time farming, substantial global policies and investments. Finally, the paper discusses the possibility of using Fourth Industrial Revolution [4.0 IR] technologies such as deep learning and computer vision robotics as a key for sustainable food production.</w:t>
      </w:r>
    </w:p>
    <w:p>
      <w:pPr/>
      <w:r>
        <w:rPr>
          <w:b/>
        </w:rPr>
        <w:t>POSSIBLE 2019:</w:t>
      </w:r>
      <w:r>
        <w:t xml:space="preserve"> HPV vaccination in a context of public mistrust and uncertainty: a systematic literature review of determinants of HPV vaccine hesitancy in Europe — https://doi.org/10.1080/21645515.2018.1564436</w:t>
      </w:r>
    </w:p>
    <w:p>
      <w:pPr/>
      <w:r>
        <w:rPr>
          <w:b/>
        </w:rPr>
        <w:t>Shared claim-specific concepts:</w:t>
      </w:r>
      <w:r>
        <w:t xml:space="preserve"> review, build, develop; EU scope visible. This is a provisional connection, not an outcome finding.</w:t>
      </w:r>
    </w:p>
    <w:p>
      <w:pPr>
        <w:pStyle w:val="SourceNote"/>
      </w:pPr>
      <w:r>
        <w:rPr>
          <w:b/>
        </w:rPr>
        <w:t>Available abstract (not full text):</w:t>
      </w:r>
      <w:r>
        <w:t xml:space="preserve"> Europe is increasingly described as the region in the world with the least confidence in vaccination, and particularly in the safety of vaccines. The aim of this systematic literature review was to gather and summarise all peer-reviewed and grey literature published about determinants of Human Papillomavirus (HPV) vaccine hesitancy in Europe. Ten thematic categories were identified across the 103 articles which were included in the review. Participants from European studies most commonly reported issues with the quantity and quality of information available about HPV vaccination; followed by concerns about potential side effects of the vaccine; and mistrust of health authorities, healthcare workers, and new vaccines. Comparative analyses indicated that confidence determinants differed by country and population groups. This evidence supports the need to develop context-specific interventions to improve confidence in HPV vaccination and design community engagement strategies aiming to build public trust.</w:t>
      </w:r>
    </w:p>
    <w:p>
      <w:pPr/>
      <w:r>
        <w:rPr>
          <w:b/>
        </w:rPr>
        <w:t>POSSIBLE 2019:</w:t>
      </w:r>
      <w:r>
        <w:t xml:space="preserve"> The European Marine Observation and Data Network (EMODnet): Visions and Roles of the Gateway to Marine Data in Europe — https://doi.org/10.3389/fmars.2019.00313</w:t>
      </w:r>
    </w:p>
    <w:p>
      <w:pPr/>
      <w:r>
        <w:rPr>
          <w:b/>
        </w:rPr>
        <w:t>Shared claim-specific concepts:</w:t>
      </w:r>
      <w:r>
        <w:t xml:space="preserve"> visions, key, needed; EU scope visible. This is a provisional connection, not an outcome finding.</w:t>
      </w:r>
    </w:p>
    <w:p>
      <w:pPr>
        <w:pStyle w:val="SourceNote"/>
      </w:pPr>
      <w:r>
        <w:rPr>
          <w:b/>
        </w:rPr>
        <w:t>Available abstract (not full text):</w:t>
      </w:r>
      <w:r>
        <w:t xml:space="preserve"> Marine data are needed for many purposes: for acquiring a better scientific understanding of the marine environment, but also, increasingly, as marine knowledge for decision making as well as developing products and services supporting economic growth. Data must be of sufficient quality to meet the specific users’ needs. It must also be accessible in a timely manner. And yet, despite being critical, this timely access to known-quality data proves challenging. Europe’s marine data have traditionally been collected by a myriad of entities with the result that much of our data are scattered throughout unconnected databases and repositories. Even when data are available, they are often not compatible, making the sharing of the information and data aggregation particularly challenging. In this paper, we present how the European Marine Observation and Data network (EMODnet) has developed over the last decade to tackle these issues. Today, EMODnet is comprised of more than 150 organisations which gather marine data, metadata and data products and make them more easily accessible for a wider range of users. EMODnet currently consists of seven sub-portals: bathymetry, geology, physics, chemistry, biology, seabed habitats and human activities. In addition, Sea-basin Checkpoints have been established to assess the observation capacity in the North Sea, Mediterranean, Atlantic, Baltic, Art</w:t>
      </w:r>
    </w:p>
    <w:p>
      <w:pPr/>
      <w:r>
        <w:rPr>
          <w:b/>
        </w:rPr>
        <w:t>POSSIBLE 2019:</w:t>
      </w:r>
      <w:r>
        <w:t xml:space="preserve"> Spiritual Care in Palliative Care: A Systematic Review of the Recent European Literature — https://doi.org/10.3390/medsci7020025</w:t>
      </w:r>
    </w:p>
    <w:p>
      <w:pPr/>
      <w:r>
        <w:rPr>
          <w:b/>
        </w:rPr>
        <w:t>Shared claim-specific concepts:</w:t>
      </w:r>
      <w:r>
        <w:t xml:space="preserve"> review, recent, develop, like; EU scope visible. This is a provisional connection, not an outcome finding.</w:t>
      </w:r>
    </w:p>
    <w:p>
      <w:pPr>
        <w:pStyle w:val="SourceNote"/>
      </w:pPr>
      <w:r>
        <w:rPr>
          <w:b/>
        </w:rPr>
        <w:t>Available abstract (not full text):</w:t>
      </w:r>
      <w:r>
        <w:t xml:space="preserve"> Many studies on spiritual care in palliative care are performed in the US, leaving other continents unexplored. The objective of this systematic review is to map the recent studies on spiritual care in palliative care in Europe. PubMed, CINAHL, ATLA, PsycINFO, ERIC, IBSS, Web of Science, EMBASE, and other databases were searched. Included were European studies published in a peer-reviewed journal in 2015, 2016, or 2017. The characteristics of the included studies were analyzed and a narrative synthesis of the extracted data was performed. 53 articles were included. Spiritual care was seen as attention for spirituality, presence, empowerment, and bringing peace. It implied creative, narrative, and ritual work. Though several studies reported positive effects of spiritual care, like the easing of discomfort, the evidence for spiritual care is low. Requirements for implementation of spiritual care in (palliative) care were: Developing spiritual competency, including self-reflection, and visibility of spirituality and spiritual care, which are required from spiritual counselors that they participated in existing organizational structures. This study has provided insight into spiritual care in palliative care in Europe. Future studies are necessary to develop appropriate patient outcomes and to investigate the effects of spiritual care more fully.</w:t>
      </w:r>
    </w:p>
    <w:p>
      <w:pPr>
        <w:pStyle w:val="Heading2"/>
      </w:pPr>
      <w:r>
        <w:t>916.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2026:</w:t>
      </w:r>
      <w:r>
        <w:t xml:space="preserve"> Observation of near-inertial oscillations trapped over inclined front on continental shelf of the northwestern South China Sea — https://doi.org/10.1016/j.jmarsys.2026.104305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Interactions of near-inertial oscillations (NIOs) with other oceanic processes have been broadly investigated in recent years. This study presents enhanced NIOs observed from a seabed-based platform, which are trapped over an inclined front with strong stratification on the continental shelf of the northern South China Sea (NSCS) during January–February 2021. The current observations reveal that four NIO events occurred induced by wind bursting. Under the similar wind forcing, NIO currents in the third event increased from &lt;0.05 m s −1 to about 0.08 m s −1 . The mechanism analysis shows that the amplitude of NIOs was modulated by the shoaling depth of the mix-layer induced by the inclined front, and trapped in the upper layer. In addition, a remarkable non-linear interaction ( fD1 ) between NIOs and diurnal spring tide occurred at the front zone owing to a strong vertical current shear at the depths of 20–50 m. The energy transferred from front to NIOs provides an interpretation for this trapped NIO signal. The underlying driving mechanism of this observation would be important for explication of energy exchanges between mesoscale oceanic processes, and is worthy of further study.</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2024:</w:t>
      </w:r>
      <w:r>
        <w:t xml:space="preserve"> Research on the reuse path of the Third Front Construction Heritage’s stock space in China based on value assessment — https://doi.org/10.21203/rs.3.rs-4070970/v1</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third-front construction, an integral component of socialist urban and rural development during the initial three decades of the new China, has resulted in a significant surplus of unused stock space following four decades of contraction and progress. The exploration of its reuse value in the contemporary era holds immense theoretical and practical significance. By focusing on 113 factories and mines associated with third-front construction in Hubei Western, this study employs qualitative field research and statistical analysis to assess their layout and condition characteristics. The concept of 'smart shrinkage' is employed to summarise the reuse value of the stock space derived from third-front construction. In addition, the intrinsic and extrinsic value of the reuse value assessment system is evaluated through the implementation of the minimum cumulative resistance (MCR) model, network analysis, and cluster analysis. Finally, a proposed pathway for the reuse of the stock space derived from third-front construction is presented. The study revealed several key findings. ① The plants and mines associated with third-front construction in Hubei Western exhibit a signficant concentration in certain areas, while also displaying a dispersed layout on a smaller scale. These establishments rely on regional transportation infrastructure, thereby forming a corridor-like str</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2021:</w:t>
      </w:r>
      <w:r>
        <w:t xml:space="preserve"> Contrasting habitat use and conservation status of Chinese-wintering and other Eurasian Greater White-fronted Goose (Anser albifrons) populations — https://doi.org/10.1186/s40657-021-00306-0</w:t>
      </w:r>
    </w:p>
    <w:p>
      <w:pPr/>
      <w:r>
        <w:rPr>
          <w:b/>
        </w:rPr>
        <w:t>Shared claim-specific concepts:</w:t>
      </w:r>
      <w:r>
        <w:t xml:space="preserve"> addition, china, increasing; EU scope visible. This is a provisional connection, not an outcome finding.</w:t>
      </w:r>
    </w:p>
    <w:p>
      <w:pPr>
        <w:pStyle w:val="SourceNote"/>
      </w:pPr>
      <w:r>
        <w:rPr>
          <w:b/>
        </w:rPr>
        <w:t>Available abstract (not full text):</w:t>
      </w:r>
      <w:r>
        <w:t xml:space="preserve"> Abstract Background GPS/GSM tracking data were used to contrast use of (i) habitats and (ii) protected areas between three Arctic-nesting Greater White-fronted Geese (Anser albifrons, GWFG) populations throughout the annual cycle. We wished to demonstrate that the East Asian Continental Population (which winters on natural wetlands in the Chinese Yangtze River floodplain and is currently declining) avoids using farmland at multiple wintering sites. We also gathered tracking evidence to support general observations from two increasing population of GWFG, the North Sea-Baltic (which winters in Europe) and the West Pacific (which winter in Korea and Japan) winter mostly within farmland landscapes, using wetlands only for safe night roosts. Methods We tracked 156 GWFG throughout their annual cycle using GPS/GSM transmitters from these three populations to determine migration routes and stopover staging patterns. We used Brownian Bridge Movement Models to generate summer, winter and migration stopover home ranges which we then overlaid in GIS with land cover and protected area boundary at national level to determine habitat use and degree of protection from nature conservation designated areas. Results Data confirmed that 73% of European wintering GWFG homes ranges were from within farmland, compared to 59% in Japan and Korea, but just 5% in China, confirming the heavy winter use of</w:t>
      </w:r>
    </w:p>
    <w:p>
      <w:pPr/>
      <w:r>
        <w:rPr>
          <w:b/>
        </w:rPr>
        <w:t>POSSIBLE 2018:</w:t>
      </w:r>
      <w:r>
        <w:t xml:space="preserve"> Phytoplankton response to a plume front in the northern South China Sea — https://doi.org/10.5194/bg-15-2551-2018</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Due to a strong river discharge during April–June 2016, a persistent salinity front, with freshwater flushing seaward on the surface but seawater moving landward at the bottom, was formed in the coastal waters west of the Pearl River Estuary (PRE) over the Northern South China Sea (NSCS) shelf. Hydrographic measurements revealed that the salinity front was influenced by both river plume and coastal upwelling. Shipboard nutrient-enrichment experiments with size-fractionation chlorophyll-a measurements were performed on both sides of the front as well as the front zone to diagnose the spatial variations of phytoplankton physiology across the frontal system. We also assessed the size-fractionated responses of phytoplankton to the treatment of plume water at the frontal zone and the seaside of the front. Biological impact of vertical mixing or upwelling was further examined by the response of surface phytoplankton to the addition of local bottom water. Our results suggested that there was a large variation of phytoplankton physiology on the seaside of the front driven by dynamic nutrient fluxes, although P-limitation was prevailing on the shore-side of the front and at the frontal zone. The spreading of plume water at the frontal zone would directly improve the growth of micro-phytoplankton, while nano- and pico-phytoplankton growths could become saturated at high percent</w:t>
      </w:r>
    </w:p>
    <w:p>
      <w:pPr/>
      <w:r>
        <w:rPr>
          <w:b/>
        </w:rPr>
        <w:t>POSSIBLE 2018:</w:t>
      </w:r>
      <w:r>
        <w:t xml:space="preserve"> Copyright Protection of Digital Movies Using the Coalition of Technology and Law in China — https://doi.org/10.4236/chnstd.2018.74023</w:t>
      </w:r>
    </w:p>
    <w:p>
      <w:pPr/>
      <w:r>
        <w:rPr>
          <w:b/>
        </w:rPr>
        <w:t>Shared claim-specific concepts:</w:t>
      </w:r>
      <w:r>
        <w:t xml:space="preserve"> china, coalition, increasing; EU scope not established. This is a provisional connection, not an outcome finding.</w:t>
      </w:r>
    </w:p>
    <w:p>
      <w:pPr>
        <w:pStyle w:val="SourceNote"/>
      </w:pPr>
      <w:r>
        <w:rPr>
          <w:b/>
        </w:rPr>
        <w:t>Available abstract (not full text):</w:t>
      </w:r>
      <w:r>
        <w:t xml:space="preserve"> Copyright protection of digital movie is becoming increasingly important with increasing developing of the information technology. In China, unlimited replication and rapid propagation of the network makes it increasingly difficult to monitor the copyright piracy and illegal dissemination. Currently, encryption and tracking technology is predominantly used for copyright protection of digital film. The law is also committed to combating piracy and protecting copyright. But neither technical protection nor legal protection can achieve the protective effect that is necessary. Every year, the industry loses billions of dollars in revenue and faces the potential loss of hundreds of thousands of jobs. And Chinese laws do not define the consumer’s responsibilities. So the legal protection is a little weak in reality. This paper argues that there is a need for an alliance of technology and law. Copyright owners actively carry out technical protection to minimize the impact of piracy. Simultaneously, when the technical protection fails or has loopholes, the law shall punish the infringer severely according to the technical data and proof, and deter the offender. This is the better way to protect the copyright of digital film.</w:t>
      </w:r>
    </w:p>
    <w:p>
      <w:pPr>
        <w:pStyle w:val="Heading2"/>
      </w:pPr>
      <w:r>
        <w:t>917.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2025:</w:t>
      </w:r>
      <w:r>
        <w:t xml:space="preserve"> Pathways to Circularity: Engagement Patterns of European SMEs in the Circular Economy — https://doi.org/10.1002/bse.4192</w:t>
      </w:r>
    </w:p>
    <w:p>
      <w:pPr/>
      <w:r>
        <w:rPr>
          <w:b/>
        </w:rPr>
        <w:t>Shared claim-specific concepts:</w:t>
      </w:r>
      <w:r>
        <w:t xml:space="preserve"> pathways, transition, each, specific; EU scope visible. This is a provisional connection, not an outcome finding.</w:t>
      </w:r>
    </w:p>
    <w:p>
      <w:pPr>
        <w:pStyle w:val="SourceNote"/>
      </w:pPr>
      <w:r>
        <w:rPr>
          <w:b/>
        </w:rPr>
        <w:t>Available abstract (not full text):</w:t>
      </w:r>
      <w:r>
        <w:t xml:space="preserve"> ABSTRACT Compliance with the 2030 agenda is forcing small and medium‐sized enterprises (SMEs) in the European Union (EU) to transition from linear to circular business models, boosting the adoption of circular economy ( CE ) activities. More information is needed to know the transition stage of these companies. Therefore, the objective of this study is to evaluate the implementation patterns of nine CE activities by EU SMEs and explore the relationships between the implementation of CE activities and the characteristics of these companies in terms of economic activity and ownership. To this end, we used a sample of 13,322 SMEs from the EU, using the Latent Class Model to identify the implementation patterns of CE activities and correspondence analysis to relate the implementation of CE activities with the characteristics of the SMEs. The results show that in the implementation of CE activities, five patterns of SMEs involvement can be identified, with CE activities being systematically independent in each pattern. It was also demonstrated that the SMEs with the highest probability of engagement are those dedicated to service activities, medium‐sized companies established more years ago, with high and growing turnover, which invest most of their turnover annually in CE activities, and those that sell products or services to multiple final destinations. This study contributes to </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AI4T - Comparative European Evaluation Report — https://openalex.org/W4395443930</w:t>
      </w:r>
    </w:p>
    <w:p>
      <w:pPr/>
      <w:r>
        <w:rPr>
          <w:b/>
        </w:rPr>
        <w:t>Shared claim-specific concepts:</w:t>
      </w:r>
      <w:r>
        <w:t xml:space="preserve"> evaluation, pathways, pathway, each, three, specific; EU scope visible. This is a provisional connection, not an outcome finding.</w:t>
      </w:r>
    </w:p>
    <w:p>
      <w:pPr>
        <w:pStyle w:val="SourceNote"/>
      </w:pPr>
      <w:r>
        <w:rPr>
          <w:b/>
        </w:rPr>
        <w:t>Available abstract (not full text):</w:t>
      </w:r>
      <w:r>
        <w:t xml:space="preserve"> This report presents and compares the impact of the AI4T– Artificial Intelligence for and by Teachers – professional learning pathways in France, Ireland, Italy, Luxembourg and Slovenia.The first sections introduce the AI4T professional learning pathway and outline the experimental design in each country, i.e. participant selection and randomisation procedures, theoretical framework used for assessment, and evaluation instruments. This is followed by a description of the country samples. Finally, issues pertaining to the experiment's internal and external validity are addressed.A comparative perspective is adopted to present the findings across the different countries. The primary focus is given to teachers as they are the main target of the AI4T project. After detailing their reactions to the professional learning pathways in the five countries, the report discusses the three main outcomes of the experiment, namely teachers’ knowledge of AI, their perceptions of AI, and their use of AI. Both the initial state and the impact of the intervention are presented for each outcome. In addition, we provide a discussion of the differential impact of the intervention on teachers based on their engagement with the MOOC, their self-efficacy for integrating technology in the classroom, and their course subjects. Results from school leaders and students are then presented in separate sectio</w:t>
      </w:r>
    </w:p>
    <w:p>
      <w:pPr/>
      <w:r>
        <w:rPr>
          <w:b/>
        </w:rPr>
        <w:t>POSSIBLE 2023:</w:t>
      </w:r>
      <w:r>
        <w:t xml:space="preserve"> Exploring pathways to 100% renewable energy in European industry — https://doi.org/10.1016/j.energy.2023.126687</w:t>
      </w:r>
    </w:p>
    <w:p>
      <w:pPr/>
      <w:r>
        <w:rPr>
          <w:b/>
        </w:rPr>
        <w:t>Shared claim-specific concepts:</w:t>
      </w:r>
      <w:r>
        <w:t xml:space="preserve"> pathways, transition, each, sectors;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Future of HSR Program Evaluation: A European Perspective — https://doi.org/10.1093/eurpub/ckad160.052</w:t>
      </w:r>
    </w:p>
    <w:p>
      <w:pPr/>
      <w:r>
        <w:rPr>
          <w:b/>
        </w:rPr>
        <w:t>Shared claim-specific concepts:</w:t>
      </w:r>
      <w:r>
        <w:t xml:space="preserve"> evaluation, developed;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2022:</w:t>
      </w:r>
      <w:r>
        <w:t xml:space="preserve"> Evaluation of attractiveness of Russian and Western European green bonds — https://doi.org/10.18323/2221-5689-2022-3-25-33</w:t>
      </w:r>
    </w:p>
    <w:p>
      <w:pPr/>
      <w:r>
        <w:rPr>
          <w:b/>
        </w:rPr>
        <w:t>Shared claim-specific concepts:</w:t>
      </w:r>
      <w:r>
        <w:t xml:space="preserve"> evaluation, comparing, them; EU scope visible. This is a provisional connection, not an outcome finding.</w:t>
      </w:r>
    </w:p>
    <w:p>
      <w:pPr>
        <w:pStyle w:val="SourceNote"/>
      </w:pPr>
      <w:r>
        <w:rPr>
          <w:b/>
        </w:rPr>
        <w:t>Available abstract (not full text):</w:t>
      </w:r>
      <w:r>
        <w:t xml:space="preserve"> More and more companies in Western markets provide potential investors with an instrument to attract debt financing called “green bonds”. In recent years, a significant rise in demand for this type of securities is observed in Western stock markets; Russian investors also demonstrate interest in them, which makes issues of evaluating green bonds and comparing their investment attractiveness with the attractiveness of traditional bonds topical ones. The paper gives the assessment of attractiveness of green bonds both of Russian and Western European issuers and compares green and traditional corporate bonds from the point of view of a potential investor. The authors analyzed key financial performance indicators of green bonds: a coupon size, yield to maturity, and duration; assessed alternative costs of holding green bonds (bank deposit for the period of more than one year is considered an alternative variant of investment). Based on the results of the work, the authors conclude that, in general, non-green bonds today are more attractive for an investor; however, green bonds have an advantage in view of nominal coupon profitability. High duration is a distinctive feature of green bonds: the average due date of return of investments of green bonds is close to the maturity date, while traditional bonds have the duration much less than the term to their maturity. Therefore, one can </w:t>
      </w:r>
    </w:p>
    <w:p>
      <w:pPr/>
      <w:r>
        <w:rPr>
          <w:b/>
        </w:rPr>
        <w:t>POSSIBLE 2022:</w:t>
      </w:r>
      <w:r>
        <w:t xml:space="preserve"> European Headache Federation guideline on the use of monoclonal antibodies targeting the calcitonin gene related peptide pathway for migraine prevention – 2022 update — https://doi.org/10.1186/s10194-022-01431-x</w:t>
      </w:r>
    </w:p>
    <w:p>
      <w:pPr/>
      <w:r>
        <w:rPr>
          <w:b/>
        </w:rPr>
        <w:t>Shared claim-specific concepts:</w:t>
      </w:r>
      <w:r>
        <w:t xml:space="preserve"> evaluation, developed, pathway, experts; EU scope visible. This is a provisional connection, not an outcome finding.</w:t>
      </w:r>
    </w:p>
    <w:p>
      <w:pPr>
        <w:pStyle w:val="SourceNote"/>
      </w:pPr>
      <w:r>
        <w:rPr>
          <w:b/>
        </w:rPr>
        <w:t>Available abstract (not full text):</w:t>
      </w:r>
      <w:r>
        <w:t xml:space="preserve"> BACKGROUND: A previous European Headache Federation (EHF) guideline addressed the use of monoclonal antibodies targeting the calcitonin gene-related peptide (CGRP) pathway to prevent migraine. Since then, randomized controlled trials (RCTs) and real-world evidence have expanded the evidence and knowledge for those treatments. Therefore, the EHF panel decided to provide an updated guideline on the use of those treatments. METHODS: The guideline was developed following the Grading of Recommendation, Assessment, Development, and Evaluation (GRADE) approach. The working group identified relevant questions, performed a systematic review and an analysis of the literature, assessed the quality of the available evidence, and wrote recommendations. Where the GRADE approach was not applicable, expert opinion was provided. RESULTS: We found moderate to high quality of evidence to recommend eptinezumab, erenumab, fremanezumab, and galcanezumab in individuals with episodic and chronic migraine. For several important clinical questions, we found not enough evidence to provide evidence-based recommendations and guidance relied on experts' opinion. Nevertheless, we provided updated suggestions regarding the long-term management of those treatments and their place with respect to the other migraine preventatives. CONCLUSION: Monoclonal antibodies targeting the CGRP pathway are recommended for m</w:t>
      </w:r>
    </w:p>
    <w:p>
      <w:pPr>
        <w:pStyle w:val="Heading2"/>
      </w:pPr>
      <w:r>
        <w:t>918.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2025:</w:t>
      </w:r>
      <w:r>
        <w:t xml:space="preserve"> Opportunity cost estimates for spatial conservation prioritisation across terrestrial Europe — https://doi.org/10.1038/s41597-025-05837-5</w:t>
      </w:r>
    </w:p>
    <w:p>
      <w:pPr/>
      <w:r>
        <w:rPr>
          <w:b/>
        </w:rPr>
        <w:t>Shared claim-specific concepts:</w:t>
      </w:r>
      <w:r>
        <w:t xml:space="preserve"> particular, considering, estimated, level; EU scope visible. This is a provisional connection, not an outcome finding.</w:t>
      </w:r>
    </w:p>
    <w:p>
      <w:pPr>
        <w:pStyle w:val="SourceNote"/>
      </w:pPr>
      <w:r>
        <w:rPr>
          <w:b/>
        </w:rPr>
        <w:t>Available abstract (not full text):</w:t>
      </w:r>
      <w:r>
        <w:t xml:space="preserve"> Opportunity costs of conservation represent the foregone economic benefits from using land for nature conservation rather than alternative activities. Considering opportunity costs therefore helps in identifying cost-effective solutions in conservation prioritisation analyses. Since comprehensive, high-resolution, pan-European opportunity cost data are currently lacking, we created a 1 km European layer of opportunity costs (€/ha/yr) for arable, pastoral, forestry and urban lands. To create this layer, we estimated the opportunity costs of productive lands (agriculture and forestry) based on (sub)national land and resource rent data, which we allocated to the grid level integrating agricultural and forestry yield data with country-specific commodity prices. We estimated opportunity costs of urban land based on area-standardised residential rents and urban population density using empirical data from 42 European residential areas. Across land types, urban land comes with the highest opportunity costs, followed by arable, pastoral, and forestry land. We envisage this new opportunity cost layer to be particular useful for broad-scale European conservation prioritisation analyses.</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2022:</w:t>
      </w:r>
      <w:r>
        <w:t xml:space="preserve"> A Global Overview of Aquaculture Food Production with a Focus on the Activity’s Development in Transitional Systems—The Case Study of a South European Country (Portugal) — https://doi.org/10.3390/jmse10030417</w:t>
      </w:r>
    </w:p>
    <w:p>
      <w:pPr/>
      <w:r>
        <w:rPr>
          <w:b/>
        </w:rPr>
        <w:t>Shared claim-specific concepts:</w:t>
      </w:r>
      <w:r>
        <w:t xml:space="preserve"> particular, every, developed; EU scope visible. This is a provisional connection, not an outcome finding.</w:t>
      </w:r>
    </w:p>
    <w:p>
      <w:pPr>
        <w:pStyle w:val="SourceNote"/>
      </w:pPr>
      <w:r>
        <w:rPr>
          <w:b/>
        </w:rPr>
        <w:t>Available abstract (not full text):</w:t>
      </w:r>
      <w:r>
        <w:t xml:space="preserve"> World aquaculture food production rises every year, amounting, by 2018, to another all-time record of 82.1 million tonnes of farmed seafood, with Asia leading global production. In Europe, although coastal countries present historical fishing habits, aquaculture is in true expansion. Norway, the leading European producer, is the eighth main producer worldwide. Portugal is a traditional fishing country but has invested in the development of aquaculture for the past decade, attaining, by 2018, 13.3 tonnes produced, making Portugal the 16th main producer amongst European Union member states that year. Most Portuguese aquaculture facilities operate in coastal systems, resorting to extensive and semi-intensive rearing techniques. In Portugal, marine food production in transitional systems is particularly interesting as the practice has, worldwide, been continuously substituted by intensive methods. In fact, facilities in transitional systems have developed over time and products gained higher commercial value. Clams and oysters corresponded, together, to over three quarters of total mollusc production in Portugal in 2018, while gilthead seabream and European seabass made up nearly all fish production in coastal environments. The state of aquaculture practices worldwide is reviewed in the present work, providing a particular focus on Portugal, where considerable development of the aq</w:t>
      </w:r>
    </w:p>
    <w:p>
      <w:pPr/>
      <w:r>
        <w:rPr>
          <w:b/>
        </w:rPr>
        <w:t>POSSIBLE 2022:</w:t>
      </w:r>
      <w:r>
        <w:t xml:space="preserve"> Food Waste to Bioethanol: Opportunities and Challenges — https://doi.org/10.3390/fermentation9010008</w:t>
      </w:r>
    </w:p>
    <w:p>
      <w:pPr/>
      <w:r>
        <w:rPr>
          <w:b/>
        </w:rPr>
        <w:t>Shared claim-specific concepts:</w:t>
      </w:r>
      <w:r>
        <w:t xml:space="preserve"> bioethanol, loss, continuous, potential; EU scope not established. This is a provisional connection, not an outcome finding.</w:t>
      </w:r>
    </w:p>
    <w:p>
      <w:pPr>
        <w:pStyle w:val="SourceNote"/>
      </w:pPr>
      <w:r>
        <w:rPr>
          <w:b/>
        </w:rPr>
        <w:t>Available abstract (not full text):</w:t>
      </w:r>
      <w:r>
        <w:t xml:space="preserve"> The increasing global population will require sustainable means to sustain life and growth. The continuous depletion and increasing wastage of the energy resources will pose a challenge for the survival of the increasing population in the coming years. The bioconversion of waste generated at different stages of the food value chain to ethanol can provide a sustainable solution to the depleting energy resources and a sustainable way to address the growing food waste issue globally. The high carbohydrate and nitrogen content in the food waste can make it an ideal alternative substrate for developing a decentralized bioprocess. Optimizing the process can address the bottleneck issues viz. substrate collection and transport, pretreatment, fermentative organism, and product separation, which is required to make the process economic. The current review focuses on the opportunities and challenges for using the food loss and waste at different stages of the food value chain, its pretreatment, the fermentation process to produce bioethanol, and potential ways to improve the process economics. The impact of substrate, fermentative organisms’ process development, downstream processing, and by-product stream to make the bioethanol production from the waste in the food value chain a commercial success are also discussed.</w:t>
      </w:r>
    </w:p>
    <w:p>
      <w:pPr/>
      <w:r>
        <w:rPr>
          <w:b/>
        </w:rPr>
        <w:t>POSSIBLE 2022:</w:t>
      </w:r>
      <w:r>
        <w:t xml:space="preserve"> Bioethanol and biodiesel blended fuels — Feasibility analysis of biofuel feedstocks in Bangladesh — https://doi.org/10.1016/j.egyr.2022.01.001</w:t>
      </w:r>
    </w:p>
    <w:p>
      <w:pPr/>
      <w:r>
        <w:rPr>
          <w:b/>
        </w:rPr>
        <w:t>Shared claim-specific concepts:</w:t>
      </w:r>
      <w:r>
        <w:t xml:space="preserve"> residue, bioethanol, biofuel, potential; EU scope not established. This is a provisional connection, not an outcome finding.</w:t>
      </w:r>
    </w:p>
    <w:p>
      <w:pPr>
        <w:pStyle w:val="SourceNote"/>
      </w:pPr>
      <w:r>
        <w:rPr>
          <w:b/>
        </w:rPr>
        <w:t>Available abstract (not full text):</w:t>
      </w:r>
      <w:r>
        <w:t xml:space="preserve"> In 2019–2020, Bangladesh imported 5.2 million metric tonnes of petroleum products, worth 2.5 billion USD, and 50% of the imports were consumed by the transportation sector. Having limited natural oil reserves and being heavily dependent on oil imports, the country is vulnerable to shocks in the international oil market, which can jeopardize its consistent economic growth. The Government announced a 5% blending of bioethanol with gasoline in 2017, with broken rice, maize, and molasses as the feedstocks, but sourcing biofuel from food crops can hamper the country’s food security. This study explores second and third generation feedstocks e.g., organic plants, seeds, agricultural residues, and waste animal fat or skin that can be collected and processed for the extraction of biofuels. Technical potential of biofuel from the feedstocks is analysed which shows that Bangladesh has a potential to extract 44.4 million metric tonnes of bioethanol in a year from agricultural residues with rice residue having the highest potential (71%). Ground nut and rubber seeds can be major feedstocks for biodiesel production having a potential of 61,000 and 42,000 metric tonnes per year, respectively. Waste chicken skin can be another promising feedstock for the extraction of biodiesel. Biofuels extracted from these non-edible feedstocks and blended with existing transport fuels can lessen Bangladesh</w:t>
      </w:r>
    </w:p>
    <w:p>
      <w:pPr/>
      <w:r>
        <w:rPr>
          <w:b/>
        </w:rPr>
        <w:t>POSSIBLE 2022:</w:t>
      </w:r>
      <w:r>
        <w:t xml:space="preserve"> Bioconversion of Starch Base Food Waste into Bioethanol — https://doi.org/10.3390/su141811401</w:t>
      </w:r>
    </w:p>
    <w:p>
      <w:pPr/>
      <w:r>
        <w:rPr>
          <w:b/>
        </w:rPr>
        <w:t>Shared claim-specific concepts:</w:t>
      </w:r>
      <w:r>
        <w:t xml:space="preserve"> every, bioethanol, potential; EU scope not established. This is a provisional connection, not an outcome finding.</w:t>
      </w:r>
    </w:p>
    <w:p>
      <w:pPr>
        <w:pStyle w:val="SourceNote"/>
      </w:pPr>
      <w:r>
        <w:rPr>
          <w:b/>
        </w:rPr>
        <w:t>Available abstract (not full text):</w:t>
      </w:r>
      <w:r>
        <w:t xml:space="preserve"> The global demand for fuel keeps increasing daily. The massive depletion of fossil fuels and their influence on the environment as pollution is a severe problem. Meanwhile, food waste disposal is also a complex problem in solid-waste management since one-third of every food consumed is discarded as waste. The standard waste management methods, including food waste incineration and landfilling, are considered hazardous to the environment. Food waste constituents are majorly starch-based and contain various biomolecules, including sugar, lipids, proteins, vitamins, cellulose, etc. These polysaccharides can be hydrolysed into monosaccharides such as glucose, which can then be fermented using microorganisms to produce ethanol through the fermenting of sugars derived from enzymatic hydrolysis treatment of food wastes. The human food system is rich in starch, which can be a potential resource for bioethanol production.</w:t>
      </w:r>
    </w:p>
    <w:p>
      <w:pPr/>
      <w:r>
        <w:rPr>
          <w:b/>
        </w:rPr>
        <w:t>POSSIBLE 2020:</w:t>
      </w:r>
      <w:r>
        <w:t xml:space="preserve"> Finger Millet as a Sustainable Feedstock for Bioethanol Production — https://doi.org/10.2174/1874331502014010257</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The current trend in volatile oil prices, global warming and environmental pollution, has encouraged major consumers worldwide to sharply increase their use of “green” fuels. Bioethanol is usually obtained from the conversion of carbon-based feedstock. Bioethanol from biomass sources is the principal fuel used as a fossil fuels’ substitute for road transport vehicles. Bioethanol is predominantly produced by the sugar fermentation process, although it can also be generated by the chemical process of reacting ethylene with steam. Finger millet (Eleusine coracana) is also known as Ragi (India), Kodo (Nepal), Uburo (Rwanda), Kurakkan (Srilanka), Bulo (Uganda), Kambale (Zambia) and Tamba (Nigeria) and can be used as an efficient source for bioethanol production. Despite all its importance, however, finger millet is still grossly undervalued both scientifically and internationally. This review observes current progress in bioethanol production from E. coracana feedstock and the effectiveness of various technological approaches for that. The main aspects of ethanol production from finger millet seeds have been considered. Seeds, which are already used for brewing, are the most obvious variant of feedstock for ethanol production from this crop. The conversion of finger millet straw and agricultural waste into bioethanol has also been reviewed. Practical results of development and testi</w:t>
      </w:r>
    </w:p>
    <w:p>
      <w:pPr/>
      <w:r>
        <w:rPr>
          <w:b/>
        </w:rPr>
        <w:t>POSSIBLE 2019:</w:t>
      </w:r>
      <w:r>
        <w:t xml:space="preserve"> The Human Cost of Anthropogenic Global Warming: Semi-Quantitative Prediction and the 1,000-Tonne Rule — https://doi.org/10.3389/fpsyg.2019.02323</w:t>
      </w:r>
    </w:p>
    <w:p>
      <w:pPr/>
      <w:r>
        <w:rPr>
          <w:b/>
        </w:rPr>
        <w:t>Shared claim-specific concepts:</w:t>
      </w:r>
      <w:r>
        <w:t xml:space="preserve"> every, tonne, predicted; EU scope not established. This is a provisional connection, not an outcome finding.</w:t>
      </w:r>
    </w:p>
    <w:p>
      <w:pPr>
        <w:pStyle w:val="SourceNote"/>
      </w:pPr>
      <w:r>
        <w:rPr>
          <w:b/>
        </w:rPr>
        <w:t>Available abstract (not full text):</w:t>
      </w:r>
      <w:r>
        <w:t xml:space="preserve"> Greenhouse-gas emissions are indirectly causing future deaths by multiple mechanisms. For example, reduced food and water supplies will exacerbate hunger, disease, violence, and migration. How will anthropogenic global warming (AGW) affect global mortality due to poverty around and beyond 2100? Roughly how much burned fossil carbon corresponds to one future death? What are the psychological, medical, political, and economic implications? Predicted death tolls are crucial for policy formulation, but uncertainty increases with temporal distance from the present and estimates may be biased. Order-of-magnitude estimates should refer to literature from diverse relevant disciplines. The carbon budget for 2°C AGW (roughly 10^12 tonnes carbon) will indirectly cause roughly 10^9 future premature deaths (10% of projected maximum global population), spread over one to two centuries. This zeroth-order prediction is relative and in addition to existing preventable death rates. It lies between likely best- and worst-case scenarios of roughly 3 x 10^8 and 3 x 10^9, corresponding to plus/minus one standard deviation on a logarithmic scale in a Gaussian probability distribution. It implies that one future premature death is caused every time roughly 1000 (300 to 3000) tonnes of carbon are burned. Therefore, any fossil-fuel project that burns millions of tons of carbon is probably indirectly kil</w:t>
      </w:r>
    </w:p>
    <w:p>
      <w:pPr/>
      <w:r>
        <w:rPr>
          <w:b/>
        </w:rPr>
        <w:t>POSSIBLE 2018:</w:t>
      </w:r>
      <w:r>
        <w:t xml:space="preserve"> BIOETHANOL FROM STRAW AND ITS PUBLIC ACCEPTANCE — https://doi.org/10.15544/rd.2017.009</w:t>
      </w:r>
    </w:p>
    <w:p>
      <w:pPr/>
      <w:r>
        <w:rPr>
          <w:b/>
        </w:rPr>
        <w:t>Shared claim-specific concepts:</w:t>
      </w:r>
      <w:r>
        <w:t xml:space="preserve"> bioethanol, biofuel, level; EU scope not established. This is a provisional connection, not an outcome finding.</w:t>
      </w:r>
    </w:p>
    <w:p>
      <w:pPr>
        <w:pStyle w:val="SourceNote"/>
      </w:pPr>
      <w:r>
        <w:rPr>
          <w:b/>
        </w:rPr>
        <w:t>Available abstract (not full text):</w:t>
      </w:r>
      <w:r>
        <w:t xml:space="preserve"> The consequences of global warming and the need for a reduction in greenhouse gases have led to dramatic changes in the automotive sector. Whereas the use of biofuel increased continuously over the first decade of this century, e-mobility has been deemed.by politicians and the media alike. As the development of the electric car, rechargeable batteries and charging stations are far from being fully explored, biofuels will play an important role as a bridging technology over the next 20 years. The successful use of biofuels requires its widespread acceptance by consumers. To evaluate the public opinion towards biofuels we carried out a representative opinion poll to collect information on the population’s acceptance of biofuels. The result indicates that there is a lack of interest and information about biofuels, especially among young people and women. First generation bioethanol is strongly associated with the waste of food, but the acceptance of the second generation, produced from agricultural remnants like straw from wheat or corn, is considerably higher. The interviewees see more transparent, objective and less technical information about biofuels as an essential way to increase the level of information and the acceptance rate. In summary, the introduction of biofuels must be accompanied by information campaigns if biofuels should ever reach larger market shares. The irrita</w:t>
      </w:r>
    </w:p>
    <w:p>
      <w:pPr/>
      <w:r>
        <w:rPr>
          <w:b/>
        </w:rPr>
        <w:t>POSSIBLE 2018:</w:t>
      </w:r>
      <w:r>
        <w:t xml:space="preserve"> Utilization of damaged and spoiled wheat grains for bioethanol production — https://doi.org/10.21786/bbrc/11.4/17</w:t>
      </w:r>
    </w:p>
    <w:p>
      <w:pPr/>
      <w:r>
        <w:rPr>
          <w:b/>
        </w:rPr>
        <w:t>Shared claim-specific concepts:</w:t>
      </w:r>
      <w:r>
        <w:t xml:space="preserve"> bioethanol, recently, potential; EU scope not established. This is a provisional connection, not an outcome finding.</w:t>
      </w:r>
    </w:p>
    <w:p>
      <w:pPr>
        <w:pStyle w:val="SourceNote"/>
      </w:pPr>
      <w:r>
        <w:rPr>
          <w:b/>
        </w:rPr>
        <w:t>Available abstract (not full text):</w:t>
      </w:r>
      <w:r>
        <w:t xml:space="preserve"> First generation ethanol from starchy crops particularly maize is an established technology that being a renewable and bio-based resource has advantages over gasoline.The second generation ethanol from lignocellulosics owing to its economic considerations is still at pilot scale and is yet to see commercialization.This has increased the demand of starchy feed-stocks for energy.The recently released National Policy on Biofuels in May, 2018 categorically also emphasizes on the potential of different raw materials for ethanol production by consenting the utilization of damaged food grains like wheat, broken rice etc. that area otherwise unfi t for human consumption.As far as wheat is concerned, The Comptroller and Auditor General (CAG), India (2017) reported that Food Corporation of India's (FCI) wheat stock worth 700 crores was damaged solely in Punjab from 2011 to 2016 as the grain was kept in open areas attributed to the lack in storage facility.Development of effi cient technology to pretreat and convert damaged starch into fermentable sugars and optimization of enzymatic hydrolysis using commercial as well as indigenous enzyme preparation are the key points for the effi cient bioethanol production from damaged wheat.Further, the synergistic action of alpha and glucoamylase in the hydrolysis of wheat mash have been tried that has revealed 96.25% conversion effi ciency with an </w:t>
      </w:r>
    </w:p>
    <w:p>
      <w:pPr>
        <w:pStyle w:val="Heading2"/>
      </w:pPr>
      <w:r>
        <w:t>919.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2024:</w:t>
      </w:r>
      <w:r>
        <w:t xml:space="preserve"> A Criticism of the Kyoto Protocol with an Objective Approach — https://doi.org/10.28979/jarnas.1452226</w:t>
      </w:r>
    </w:p>
    <w:p>
      <w:pPr/>
      <w:r>
        <w:rPr>
          <w:b/>
        </w:rPr>
        <w:t>Shared claim-specific concepts:</w:t>
      </w:r>
      <w:r>
        <w:t xml:space="preserve"> kyoto, reduce, emissions; EU scope not established. This is a provisional connection, not an outcome finding.</w:t>
      </w:r>
    </w:p>
    <w:p>
      <w:pPr>
        <w:pStyle w:val="SourceNote"/>
      </w:pPr>
      <w:r>
        <w:rPr>
          <w:b/>
        </w:rPr>
        <w:t>Available abstract (not full text):</w:t>
      </w:r>
      <w:r>
        <w:t xml:space="preserve"> The Kyoto Protocol, established to reduce greenhouse gas emissions, one of the human-induced causes of climate change, imposes obligations on developed countries. In this study: 1) what obligations the articles of the Kyoto Protocol impose on the countries that are party to the protocol, 2) whether the articles of the protocol are impartial, equal, and fair in their obligations to the contracting countries and their binding, 3) how the economic support of developed countries to reduce emissions to developing countries can be evaluated in the context of the principle of equality/justice, 4) it has been discussed whether the non-bindingness of the countries those are not party to the protocol. Considering all protocol items, the discussion was made from a critical but constructive point of view. It can be said that the obligations arising from the Kyoto Protocol bring disadvantages for some countries compared to others.</w:t>
      </w:r>
    </w:p>
    <w:p>
      <w:pPr/>
      <w:r>
        <w:rPr>
          <w:b/>
        </w:rPr>
        <w:t>POSSIBLE 2023:</w:t>
      </w:r>
      <w:r>
        <w:t xml:space="preserve"> A Comprehensive Analysis of Kyoto Protocol — https://openalex.org/W7216616326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pPr/>
      <w:r>
        <w:rPr>
          <w:b/>
        </w:rPr>
        <w:t>POSSIBLE 2022:</w:t>
      </w:r>
      <w:r>
        <w:t xml:space="preserve"> Pledge-and-Review Bargaining: from Kyoto to Paris — https://doi.org/10.1093/ej/ueac076</w:t>
      </w:r>
    </w:p>
    <w:p>
      <w:pPr/>
      <w:r>
        <w:rPr>
          <w:b/>
        </w:rPr>
        <w:t>Shared claim-specific concepts:</w:t>
      </w:r>
      <w:r>
        <w:t xml:space="preserve"> kyoto, agreement; EU scope not established. This is a provisional connection, not an outcome finding.</w:t>
      </w:r>
    </w:p>
    <w:p>
      <w:pPr>
        <w:pStyle w:val="SourceNote"/>
      </w:pPr>
      <w:r>
        <w:rPr>
          <w:b/>
        </w:rPr>
        <w:t>Available abstract (not full text):</w:t>
      </w:r>
      <w:r>
        <w:t xml:space="preserve"> Abstract A tractable dynamic model of international climate policies is analysed. The choice of bargaining game influences participation levels, emission quotas and technology investment levels. I derive several predictions that are arguably consistent with the differences between the 1997 Kyoto Protocol and the 2015 Paris Agreement—including the transitioning from the former to the latter.</w:t>
      </w:r>
    </w:p>
    <w:p>
      <w:pPr/>
      <w:r>
        <w:rPr>
          <w:b/>
        </w:rPr>
        <w:t>POSSIBLE 2022:</w:t>
      </w:r>
      <w:r>
        <w:t xml:space="preserve"> The Wistar Kyoto Rat: A Model of Depression Traits — https://doi.org/10.2174/1570159x21666221129120902</w:t>
      </w:r>
    </w:p>
    <w:p>
      <w:pPr/>
      <w:r>
        <w:rPr>
          <w:b/>
        </w:rPr>
        <w:t>Shared claim-specific concepts:</w:t>
      </w:r>
      <w:r>
        <w:t xml:space="preserve"> kyoto, value; EU scope not established. This is a provisional connection, not an outcome finding.</w:t>
      </w:r>
    </w:p>
    <w:p>
      <w:pPr>
        <w:pStyle w:val="SourceNote"/>
      </w:pPr>
      <w:r>
        <w:rPr>
          <w:b/>
        </w:rPr>
        <w:t>Available abstract (not full text):</w:t>
      </w:r>
      <w:r>
        <w:t xml:space="preserve"> There is an ongoing debate about the value of animal research in psychiatry with valid lines of reasoning stating the limits of individual animal models compared to human psychiatric illnesses. Human depression is not a homogenous disorder; therefore, one cannot expect a single animal model to reflect depression heterogeneity. This limited review presents arguments that the Wistar Kyoto (WKY) rats show intrinsic depression traits. The phenotypes of WKY do not completely mirror those of human depression but clearly indicate characteristics that are common with it. WKYs present despair- like behavior, passive coping with stress, comorbid anxiety, and enhanced drug use compared to other routinely used inbred or outbred strains of rats. The commonly used tests identifying these phenotypes reflect exploratory, escape-oriented, and withdrawal-like behaviors. The WKYs consistently choose withdrawal or avoidance in novel environments and freezing behaviors in response to a challenge in these tests. The physiological response to a stressful environment is exaggerated in WKYs. Selective breeding generated two WKY substrains that are nearly isogenic but show clear behavioral differences, including that of depression-like behavior. WKY and its substrains may share characteristics of subgroups of depressed individuals with social withdrawal, low energy, weight loss, sleep disturbances, and </w:t>
      </w:r>
    </w:p>
    <w:p>
      <w:pPr/>
      <w:r>
        <w:rPr>
          <w:b/>
        </w:rPr>
        <w:t>POSSIBLE 2021:</w:t>
      </w:r>
      <w:r>
        <w:t xml:space="preserve"> Reduced Sign Representations for Characteristic Points Selection in Images — https://doi.org/10.1134/s1054661821030147</w:t>
      </w:r>
    </w:p>
    <w:p>
      <w:pPr/>
      <w:r>
        <w:rPr>
          <w:b/>
        </w:rPr>
        <w:t>Shared claim-specific concepts:</w:t>
      </w:r>
      <w:r>
        <w:t xml:space="preserve"> need, possible; EU scope not established. This is a provisional connection, not an outcome finding.</w:t>
      </w:r>
    </w:p>
    <w:p>
      <w:pPr>
        <w:pStyle w:val="SourceNote"/>
      </w:pPr>
      <w:r>
        <w:rPr>
          <w:b/>
        </w:rPr>
        <w:t>Available abstract (not full text):</w:t>
      </w:r>
      <w:r>
        <w:t xml:space="preserve"> Abstract The aim of this study is to develop a method for detecting the characteristic points in a digital image that is stable under a certain class of brightness transformations. The need for such a method is due to the need to identify key points of images in video surveillance and face recognition systems, which often work in conditions of variations in illumination. A feature of the proposed method, which distinguishes it from a number of well-known approaches to the problem of identifying characteristic points, is the use of the so-called reduced sign representation of images. In contrast to the usual representation of a digital image by its discrete function of brightness, it represents the image by a directed acyclic graph corresponding to the binary relation of increasing brightness over the set of pixels. Thus, the sign representation defines a set of images, the brightness functions of which are connected by strictly monotonic transformations. It is this property of the sign representation that makes it efficient for achievement the aim mentioned above. The next feature of the method under consideration is its approach to the interpretation of the characteristic points of the image. Note that in the modern theory of image processing this concept is not rigorously defined; we can say that the characteristic point is distinguished by the increased complexity of the str</w:t>
      </w:r>
    </w:p>
    <w:p>
      <w:pPr/>
      <w:r>
        <w:rPr>
          <w:b/>
        </w:rPr>
        <w:t>POSSIBLE 2021:</w:t>
      </w:r>
      <w:r>
        <w:t xml:space="preserve"> Automatic Annotation and Segmentation of Sign Language Videos: Base-level Features and Lexical Signs Classification — https://doi.org/10.5220/0010247104840491</w:t>
      </w:r>
    </w:p>
    <w:p>
      <w:pPr/>
      <w:r>
        <w:rPr>
          <w:b/>
        </w:rPr>
        <w:t>Shared claim-specific concepts:</w:t>
      </w:r>
      <w:r>
        <w:t xml:space="preserve"> reduce, different; EU scope not established. This is a provisional connection, not an outcome finding.</w:t>
      </w:r>
    </w:p>
    <w:p>
      <w:pPr>
        <w:pStyle w:val="SourceNote"/>
      </w:pPr>
      <w:r>
        <w:rPr>
          <w:b/>
        </w:rPr>
        <w:t>Available abstract (not full text):</w:t>
      </w:r>
      <w:r>
        <w:t xml:space="preserve"> The automatic recognition of Sign Languages is the main focus of most of the works in the field, which explains the progressing demand on the annotated data to train the dedicated models. In this paper, we present a semi automatic annotation system for Sign Languages. Such automation will not only help to create training data but it will reduce as well the processing time and the subjectivity of manual annotations done by linguists in order to study the sign language. The system analyses hand shapes, hands speed variations, and face landmarks to annotate base level features and to separate the different signs. In a second stage, signs are classified into two types, whether they are lexical (i.e. present in a dictionary) or iconic (illustrative), using a probabilistic model. The results show that our system is partially capable of annotating automatically the video sequence with a F1 score = 0.68 for lexical sign annotation and an error of 3.8 frames for sign segmentation. An expert validation of the annotations is still needed.</w:t>
      </w:r>
    </w:p>
    <w:p>
      <w:pPr/>
      <w:r>
        <w:rPr>
          <w:b/>
        </w:rPr>
        <w:t>POSSIBLE 2021:</w:t>
      </w:r>
      <w:r>
        <w:t xml:space="preserve"> From Kyoto to Glasgow: is Japan a climate leader? — https://doi.org/10.1080/09512748.2021.2008475</w:t>
      </w:r>
    </w:p>
    <w:p>
      <w:pPr/>
      <w:r>
        <w:rPr>
          <w:b/>
        </w:rPr>
        <w:t>Shared claim-specific concepts:</w:t>
      </w:r>
      <w:r>
        <w:t xml:space="preserve"> kyoto, carbon, emissions, different; EU scope not established. This is a provisional connection, not an outcome finding.</w:t>
      </w:r>
    </w:p>
    <w:p>
      <w:pPr>
        <w:pStyle w:val="SourceNote"/>
      </w:pPr>
      <w:r>
        <w:rPr>
          <w:b/>
        </w:rPr>
        <w:t>Available abstract (not full text):</w:t>
      </w:r>
      <w:r>
        <w:t xml:space="preserve"> The term ‘climate leadership’ became popular in the 1990s, in relation to international negotiations aimed at reducing greenhouse gas emissions and other environmental mitigations. Since that time, international attention – borne out by scientific study and a rapidly changing planetary climate - has shifted from global warming, the ozone layer and greenhouse gas emissions, to energy production, scientific innovation, and, by the 2020s, a strong focus on decarbonisation and securing net zero carbon output by the middle of the century. One important strand of negotiation has been the annual Conferences of the Parties (COP) to the United Nations Framework Convention on Climate Change (UNFCCC), which have witnessed different states playing lead roles at different times. By interrogating the main academic debates about climate leadership, this article examines Japan’s participation in the COP process along a structural-normative axis. In so doing, it charts the path from Japan’s apparent success at Kyoto in 1997 and its growing green reputation, to its subsequent ‘fall from green’ in later years and in the wake of COP26 in 2021.</w:t>
      </w:r>
    </w:p>
    <w:p>
      <w:pPr/>
      <w:r>
        <w:rPr>
          <w:b/>
        </w:rPr>
        <w:t>POSSIBLE 2020:</w:t>
      </w:r>
      <w:r>
        <w:t xml:space="preserve"> Environmental and economic effectiveness of the Kyoto Protocol — https://doi.org/10.1371/journal.pone.0236299</w:t>
      </w:r>
    </w:p>
    <w:p>
      <w:pPr/>
      <w:r>
        <w:rPr>
          <w:b/>
        </w:rPr>
        <w:t>Shared claim-specific concepts:</w:t>
      </w:r>
      <w:r>
        <w:t xml:space="preserve"> kyoto, carbon, emissions; EU scope not established. This is a provisional connection, not an outcome finding.</w:t>
      </w:r>
    </w:p>
    <w:p>
      <w:pPr>
        <w:pStyle w:val="SourceNote"/>
      </w:pPr>
      <w:r>
        <w:rPr>
          <w:b/>
        </w:rPr>
        <w:t>Available abstract (not full text):</w:t>
      </w:r>
      <w:r>
        <w:t xml:space="preserve"> This study investigates the environmental and economic impacts of the Kyoto Protocol on Annex I parties through an impact assessment by combining the propensity score matching and the difference-in-difference methods. We establish a country-level panel data set including CO2 emissions, gross domestic product (GDP), and other socioeconomic data for 1997-2008 and 2005-2008. Based on the impact evaluation, we conduct the simulation predicting the impacts of the Protocol to capture the differences of marginal damage cost of carbon emissions between the actual and counterfactual situations. The results suggest that participating as an Annex I party has a significant positive impact on CO2 emission reductions, but a negative impact on the GDP of the participants in the long run. The predicted marginal benefit of the Protocol based on the marginal damage cost of carbon emissions shows that the marginal benefit of emission reductions mitigates a limited portion of the GDP loss. Future global climate change frameworks should focus on balancing the impact on economic and environmental performance in order to ensure sustainable development, especially for developing countries that have low capacity to mitigate emissions.</w:t>
      </w:r>
    </w:p>
    <w:p>
      <w:pPr/>
      <w:r>
        <w:rPr>
          <w:b/>
        </w:rPr>
        <w:t>POSSIBLE 2020:</w:t>
      </w:r>
      <w:r>
        <w:t xml:space="preserve"> Accounting by companies for the Kyoto Protocol in the EU — https://doi.org/10.1504/ijaf.2020.111224</w:t>
      </w:r>
    </w:p>
    <w:p>
      <w:pPr/>
      <w:r>
        <w:rPr>
          <w:b/>
        </w:rPr>
        <w:t>Shared claim-specific concepts:</w:t>
      </w:r>
      <w:r>
        <w:t xml:space="preserve"> kyoto, reduce, carbon, emissions; EU scope visible. This is a provisional connection, not an outcome finding.</w:t>
      </w:r>
    </w:p>
    <w:p>
      <w:pPr>
        <w:pStyle w:val="SourceNote"/>
      </w:pPr>
      <w:r>
        <w:rPr>
          <w:b/>
        </w:rPr>
        <w:t>Available abstract (not full text):</w:t>
      </w:r>
      <w:r>
        <w:t xml:space="preserve"> In attempting to achieve the goals of the Kyoto Protocol, the European Union agreed to reduce member countries' greenhouse gas emissions to 92% of their 1990 levels by the end of 2012.We assess here the carbon emissions for companies from those countries that were among the largest emitters of carbon in the EU.This evaluation includes emissions in 2008 and 2012 together with disclosures regarding environmental performance that these companies made in the two years.Upon analysing 141 companies from seven of the EU countries, we found that the firms that emitted the most carbon effluents in their home country and that voluntarily disclosed the greatest amount about their carbon emissions also were the ones that provided the most extensive disclosures concerning company environmental performance.These results appear to support legitimacy concepts as the basis for which voluntary reporting will be generated.</w:t>
      </w:r>
    </w:p>
    <w:p>
      <w:pPr>
        <w:pStyle w:val="Heading2"/>
      </w:pPr>
      <w:r>
        <w:t>920.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2025:</w:t>
      </w:r>
      <w:r>
        <w:t xml:space="preserve"> EUROPEAN PRACTICE OF ASSESSING SOCIAL PROTECTION IN THE CONDITIONS OF A RESILIENT ECONOMY — https://doi.org/10.62204/2336-498x-2025-1-6</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Analysis of approaches, indicators and criteria for determining the impact of Social services on the Global economy socialization revealed the need to improve existing methodological approaches with the need to shift emphasis to assessing the economic component and effects of the Social services provision both at the level of the Global economy and national economic systems. The study of methodological approaches to assessing Social protection of the population in Ukraine revealed a number of challenges both in the national methodology, established by law, and in alternative methods developed with the assistance of international and foreign institutions, in particular the European Commission. Ukraine needs to improve methodological approaches to the assessment of Social services, where special attention should be paid to establishing their impact on the socialization and resilience of global and National economies.</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assess, energy, climate, between;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Climate Policy Priorities for the Next European Commission — https://openalex.org/W4392885355</w:t>
      </w:r>
    </w:p>
    <w:p>
      <w:pPr/>
      <w:r>
        <w:rPr>
          <w:b/>
        </w:rPr>
        <w:t>Shared claim-specific concepts:</w:t>
      </w:r>
      <w:r>
        <w:t xml:space="preserve"> commission, energy, climate;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Competition effects of vertical integration in container ports: assessing the European Commission decisional practice — https://doi.org/10.1108/mabr-10-2022-0058</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Purpose Container liner shipping companies started expanding their business by investing in container port terminals in the late 1990s. This market entry results in an extensive presence of vertically integrated liners and terminals. This study aims to explore the competition effects of this vertical integration trend based on a regional (European) analysis. In particular, it extracts lessons from the European Commission (EC) cases on the competition effects of vertical integration. The critical analysis of the cases examined at the institutional level intends to reach conclusions on whether liner–terminal vertical integration harmed or advanced competition in the relevant markets and/or the extent that there is a need to revise the current policy practices. Design/methodology/approach This study critically assesses the EC’s decisional practices in port container terminal vertical mergers in the last 25 years (1997–2021). Based on a literature review comparing maritime and competition economists' perspectives, it reviews the types of mergers examined, the methodology followed for relevant market definition and calculation of market shares and the estimated competition effects. The Hamburg–Le Havre area is the port range used as a case study for comparing the decisional practice with actual market developments. These container ports serve the greatest consuming market of final a</w:t>
      </w:r>
    </w:p>
    <w:p>
      <w:pPr/>
      <w:r>
        <w:rPr>
          <w:b/>
        </w:rPr>
        <w:t>POSSIBLE 2023:</w:t>
      </w:r>
      <w:r>
        <w:t xml:space="preserve"> Access to European Commission Guidance — https://doi.org/10.21552/estal/2023/3/2</w:t>
      </w:r>
    </w:p>
    <w:p>
      <w:pPr/>
      <w:r>
        <w:rPr>
          <w:b/>
        </w:rPr>
        <w:t>Shared claim-specific concepts:</w:t>
      </w:r>
      <w:r>
        <w:t xml:space="preserve"> commission, assess, between; EU scope visible. This is a provisional connection, not an outcome finding.</w:t>
      </w:r>
    </w:p>
    <w:p>
      <w:pPr>
        <w:pStyle w:val="SourceNote"/>
      </w:pPr>
      <w:r>
        <w:rPr>
          <w:b/>
        </w:rPr>
        <w:t>Available abstract (not full text):</w:t>
      </w:r>
      <w:r>
        <w:t xml:space="preserve"> The Treaty on the Functioning of the European Union (TFEU) grants unique powers to the European Commission in the field of State aid.In no other policy field does the TFEU require Member States to inform the Commission of plans to implement a measure and confer to the Commission the right to assess those measures without obtaining the prior consent of the Council or EU courts.Even under Article 258, where the TFEU empowers the Commission to initiate action against Member States that infringe EU law, the TFEU still obliges the Commission to "bring the matter before the Court of Justice".The TFEU establishes this system of prior control of State aid because public subsidies can distort competition in the internal EU market.The integrity of this system depends on the Commission being able to distinguish between subsidies that remedy market failure and subsidies that worsen market failure.However, the effectiveness of prior control is conditional on compliance by Member States.And, compliance by Member States, in turn, depends on the rules being clear and comprehensible.</w:t>
      </w:r>
    </w:p>
    <w:p>
      <w:pPr/>
      <w:r>
        <w:rPr>
          <w:b/>
        </w:rPr>
        <w:t>POSSIBLE 2023:</w:t>
      </w:r>
      <w:r>
        <w:t xml:space="preserve"> Assessing the role of the European Council and the European Commission during the migration and COVID-19 crises — https://doi.org/10.1080/01402382.2023.2225403</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Over the past decades, ‘emergency politics’ has become a quasi-permanent feature of the European Union (EU). According to some, this has reinforced the trend towards a greater role for the European Council (EUCO) in EU agenda-setting, to the detriment of the European Commission (Commission). In this article, this claim is critically assessed by analysing two major crises: the 2015-2016 migration crisis and the COVID-19 pandemic. By systematically tracing the various agenda-setting roles played by EU actors in these crises, two claims are made. First, using a more fine-grained typology of agenda-setting roles, the relationship between EUCO and the Commission is shown to be more nuanced than is often suggested. Second, EUCO and the Commission cannot be considered monolithic players. Instead, actors within these institutions operate outside of formal channels to purse their own policy goals. This puts in doubt the usefulness of focussing on the EUCO-Commission relationship in a purely inter-institutional sense.</w:t>
      </w:r>
    </w:p>
    <w:p>
      <w:pPr/>
      <w:r>
        <w:rPr>
          <w:b/>
        </w:rPr>
        <w:t>POSSIBLE 2023:</w:t>
      </w:r>
      <w:r>
        <w:t xml:space="preserve"> The European Commission: a climate policy entrepreneur — https://doi.org/10.4337/9781789906981.00013</w:t>
      </w:r>
    </w:p>
    <w:p>
      <w:pPr/>
      <w:r>
        <w:rPr>
          <w:b/>
        </w:rPr>
        <w:t>Shared claim-specific concepts:</w:t>
      </w:r>
      <w:r>
        <w:t xml:space="preserve"> commission, energy, climate; EU scope visible. This is a provisional connection, not an outcome finding.</w:t>
      </w:r>
    </w:p>
    <w:p>
      <w:pPr>
        <w:pStyle w:val="SourceNote"/>
      </w:pPr>
      <w:r>
        <w:rPr>
          <w:b/>
        </w:rPr>
        <w:t>Available abstract (not full text):</w:t>
      </w:r>
      <w:r>
        <w:t xml:space="preserve"> The European Commission is a crucial actor in EU climate policy in three regards. First, based on its unique role in the EU system as an initiator of policy proposals, it acts as a policy entrepreneur, contributing to the gradual advancement of EU climate policy. In this role, it has promoted commitments to ever more ambitious greenhouse gas emission reduction targets (compared to 1990 levels) that, once agreed, served as the basis for the Commission’s legislative initiatives. Second, as ‘guardian of the treaties’, the Commission monitors EU countries’ compliance with the adopted legislation. To this end, it has constantly improved coordination processes with national governments. Finally, the Commission is actively involved in EU international climate policy, coordinating bi-lateral and multilateral partnerships on climate change and energy with third countries, contributing to knowledge transfer and policy learning.</w:t>
      </w:r>
    </w:p>
    <w:p>
      <w:pPr>
        <w:pStyle w:val="Heading2"/>
      </w:pPr>
      <w:r>
        <w:t>921.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2023:</w:t>
      </w:r>
      <w:r>
        <w:t xml:space="preserve"> An Analysis of the Municipal Waste Management of Romania and Bulgaria in the European Context — https://doi.org/10.61801/ouaess.2022.1.21</w:t>
      </w:r>
    </w:p>
    <w:p>
      <w:pPr/>
      <w:r>
        <w:rPr>
          <w:b/>
        </w:rPr>
        <w:t>Shared claim-specific concepts:</w:t>
      </w:r>
      <w:r>
        <w:t xml:space="preserve"> fact, poses, major; EU scope visible. This is a provisional connection, not an outcome finding.</w:t>
      </w:r>
    </w:p>
    <w:p>
      <w:pPr>
        <w:pStyle w:val="SourceNote"/>
      </w:pPr>
      <w:r>
        <w:rPr>
          <w:b/>
        </w:rPr>
        <w:t>Available abstract (not full text):</w:t>
      </w:r>
      <w:r>
        <w:t xml:space="preserve"> Since municipal waste accounts for 7% -10% of all waste generated in the European Union, this issue drums up major interest at the institutional level, given that increasing the levels of collected waste poses significant challenges to the environment and human health.The European Union adopted a legislative package which promotes the shift towards a more sustainable development model, known as the circular economy.The aim of this article is to analyze the dynamics of municipal waste management in Romania and Bulgaria in the European context, as there are deficiencies in these countries' implementation of the European waste management legislation.Eurostat's data for the 2000-2020 time horizon was used for the undertaken analysis.The results of the study show that both Romania and Bulgaria are facing similar challenges in terms of waste management due to the fact that some of the European directives have not been transposed into the national legislation.</w:t>
      </w:r>
    </w:p>
    <w:p>
      <w:pPr/>
      <w:r>
        <w:rPr>
          <w:b/>
        </w:rPr>
        <w:t>POSSIBLE 2022:</w:t>
      </w:r>
      <w:r>
        <w:t xml:space="preserve"> Platform work and access to social protection across major European countries — https://doi.org/10.1017/ics.2022.13</w:t>
      </w:r>
    </w:p>
    <w:p>
      <w:pPr/>
      <w:r>
        <w:rPr>
          <w:b/>
        </w:rPr>
        <w:t>Shared claim-specific concepts:</w:t>
      </w:r>
      <w:r>
        <w:t xml:space="preserve"> major, challenge; EU scope visible. This is a provisional connection, not an outcome finding.</w:t>
      </w:r>
    </w:p>
    <w:p>
      <w:pPr>
        <w:pStyle w:val="SourceNote"/>
      </w:pPr>
      <w:r>
        <w:rPr>
          <w:b/>
        </w:rPr>
        <w:t>Available abstract (not full text):</w:t>
      </w:r>
      <w:r>
        <w:t xml:space="preserve"> Abstract This paper is a first attempt to analyse the relationship between social protection systems and countries’ responses towards the regulation of platform work. It is argued that the degree of accessibility to social protection for self-employed workers is a predictor for how countries will deal with platform work. Countries that provide wide access to social protection for the self-employed tend to develop a more integrative response towards these work arrangements from a social protection perspective because the social protection of platform workers is a smaller policy challenge. On the other hand, in countries with a low degree of accessibility to social protection schemes, the response towards platform work is more confrontational. These responses are characterised by a larger number of court cases and legislative proposals because social protection for platform workers is a more pressing policy challenge and platform work arrangements are understood to be more antagonistic towards the respective social protection systems.</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2017:</w:t>
      </w:r>
      <w:r>
        <w:t xml:space="preserve"> Handbook of European Social Policy — https://doi.org/10.4337/9781783476466</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The UK and Ireland are typically paired together as the Anglo-Saxon or liberal welfare states of Europe, however, comparative analysis of both countries' welfare states is rare. The most recent systematic comparative analysis dates to Daly and Yeates’ (2003) analysis of social security. Regarding structural, political and ideological factors they noted a range of ways the two countries diverged and suggested that both countries were transforming, but in significantly different ways, thus questioning whether they could still be feasibly situated within the same welfare model. In the intervening period both countries experienced major upheaval, their common ‘Anglo-liberal’ growth model (Hay 2013) being at the core of the financial crisis in 2008. Consequently we ask whether the Irish and UK welfare states are still as divergent as Daly and Yeates observed or whether recent trends have meant that these two welfare states are moving in a common direction, without necessarily reaching full convergence. We proceed to address these questions by broadly tracking the typical characteristics of liberal welfare regimes in the UK and Irish contexts. We first look at patterns of social expenditure, taxation and related policy reform. We then look at what might be deemed social investment policies and this is followed with an analysis of selected welfare outcomes. We end by analysing the mai</w:t>
      </w:r>
    </w:p>
    <w:p>
      <w:pPr/>
      <w:r>
        <w:rPr>
          <w:b/>
        </w:rPr>
        <w:t>POSSIBLE 2016:</w:t>
      </w:r>
      <w:r>
        <w:t xml:space="preserve"> The economic crisis in Europe: urban and regional consequences — https://doi.org/10.1093/cjres/rsv036</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Beginning in 2007–2008, the European economy experienced the worst economic crisis since the 1930s. The proximate cause was the financial and banking crisis that originated in the overleveraged banks and mortgage institutions in the United States, and which quickly spread through the global financial system to infect much of Europe. This set off a major credit crunch which in its turn triggered a major contraction in economic growth, from which many European countries have struggled to recover. Yet it has been a crisis that has not afflicted all parts of Europe to the same degree, but rather has exposed major disparities in economic weakness, recovery and resilience both between different countries and between different regions within countries. These disparities themselves have posed an historic challenge to the European project, to the stability and viability of the European Union, and especially the Eurozone. For, to succeed, a true monetary union requires that economic shocks do not have highly disparate impacts across the constituent countries or regions of which it composed (see Fingleton et al., 2015 ; Martin, 2001 ); or, in the event of such disparate responses occurring, that there exists a fully functioning union-wide fiscal stabilisation system of automatic transfers to help offset the impact of the shock in the worst-affected areas. The European monetary union has n</w:t>
      </w:r>
    </w:p>
    <w:p>
      <w:pPr>
        <w:pStyle w:val="Heading2"/>
      </w:pPr>
      <w:r>
        <w:t>922.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A collaborative analytics framework for artificial intelligence-based demand forecasting in supply chains — https://doi.org/10.1016/j.sca.2026.100235</w:t>
      </w:r>
    </w:p>
    <w:p>
      <w:pPr/>
      <w:r>
        <w:rPr>
          <w:b/>
        </w:rPr>
        <w:t>Shared claim-specific concepts:</w:t>
      </w:r>
      <w:r>
        <w:t xml:space="preserve"> forecasts, drawing, point; EU scope visible. This is a provisional connection, not an outcome finding.</w:t>
      </w:r>
    </w:p>
    <w:p>
      <w:pPr>
        <w:pStyle w:val="SourceNote"/>
      </w:pPr>
      <w:r>
        <w:rPr>
          <w:b/>
        </w:rPr>
        <w:t>Available abstract (not full text):</w:t>
      </w:r>
      <w:r>
        <w:t xml:space="preserve"> Despite substantial advances in artificial intelligence (AI), forecasting systems in practice often remain anchored in traditional, siloed approaches, leaving managers with unreliable and inconsistent signals for decision-making. Such forecasts tend to exacerbate the bullwhip effect, inflate safety stocks and generate significant inefficiencies in working capital and logistics costs. In fast-moving consumer goods (FMCG) supply chains, forecasts that fail to reach a minimum level of reliability are of limited value for operational planning, whereas sufficiently accurate forecasts provide a dependable foundation for managerial decisions. This practice-oriented study examines whether joint AI-based forecasting, combining downstream retailer data with advanced machine-learning techniques, enables firms to consistently achieve forecast reliability levels that are suitable for planning. Drawing on a unique dataset from a Central European manufacturer-retailer partnership, we compare three forecasting scenarios: a Manufacturer baseline forecast based on traditional statistical methods (ARIMA) applied to shipment data; a Manufacturer AI forecast using machine-learning models (XGBoost) trained exclusively on shipment data; and a Joint AI forecast in which machine-learning models (XGBoost) are trained on retailer warehouse outbound data. The analysis shows that Joint AI reduces total abs</w:t>
      </w:r>
    </w:p>
    <w:p>
      <w:pPr/>
      <w:r>
        <w:rPr>
          <w:b/>
        </w:rPr>
        <w:t>POSSIBLE 2025:</w:t>
      </w:r>
      <w:r>
        <w:t xml:space="preserve"> Does sustainability disclosure improve analysts’ forecast accuracy? Evidence from European banks — https://doi.org/10.1186/s40854-024-00693-5</w:t>
      </w:r>
    </w:p>
    <w:p>
      <w:pPr/>
      <w:r>
        <w:rPr>
          <w:b/>
        </w:rPr>
        <w:t>Shared claim-specific concepts:</w:t>
      </w:r>
      <w:r>
        <w:t xml:space="preserve"> important, abstract; EU scope visible. This is a provisional connection, not an outcome finding.</w:t>
      </w:r>
    </w:p>
    <w:p>
      <w:pPr>
        <w:pStyle w:val="SourceNote"/>
      </w:pPr>
      <w:r>
        <w:rPr>
          <w:b/>
        </w:rPr>
        <w:t>Available abstract (not full text):</w:t>
      </w:r>
      <w:r>
        <w:t xml:space="preserve"> Abstract In this study, we investigate the extent to which sustainability disclosures in the narrative sections of European banks’ annual reports improve analysts’ forecasting accuracy. We capture sustainability disclosures with a machine learning approach and use forecast errors as a proxy for analysts’ forecast accuracy. Our results suggest that sustainability disclosures significantly improve analysts’ forecasting accuracy by reducing forecast errors. In a further analysis, we also find that the introduction of Directive 2014/95/European Union is associated with increased disclosure content, which reduces forecast error. Collectively, our results suggest that sustainability disclosures improve forecast accuracy, and the introduction of the new EU directive strengthens this improvement. These results hold after several robustness tests. Our findings have important implications for market participants and policymakers.</w:t>
      </w:r>
    </w:p>
    <w:p>
      <w:pPr/>
      <w:r>
        <w:rPr>
          <w:b/>
        </w:rPr>
        <w:t>POSSIBLE 2024:</w:t>
      </w:r>
      <w:r>
        <w:t xml:space="preserve"> D5.5 Short-term ecological forecasts in support of the Bioeconomy Strategy and EU citizens — https://doi.org/10.3897/arphapreprints.e119131</w:t>
      </w:r>
    </w:p>
    <w:p>
      <w:pPr/>
      <w:r>
        <w:rPr>
          <w:b/>
        </w:rPr>
        <w:t>Shared claim-specific concepts:</w:t>
      </w:r>
      <w:r>
        <w:t xml:space="preserve"> forecasts, drawing, important; EU scope visible. This is a provisional connection, not an outcome finding.</w:t>
      </w:r>
    </w:p>
    <w:p>
      <w:pPr>
        <w:pStyle w:val="SourceNote"/>
      </w:pPr>
      <w:r>
        <w:rPr>
          <w:b/>
        </w:rPr>
        <w:t>Available abstract (not full text):</w:t>
      </w:r>
      <w:r>
        <w:t xml:space="preserve"> A relevant number of ecological questions raised by policymakers, managers, and citizens often pertain to the short-term future (e.g., the coming days or weeks). In this sense, short-term ecological and biological forecasts can make substantial and practical contributions to achieving policy objectives and benefit society broadly. Specifically, short-term forecasts of Essential Biodiversity Variables (EBVs) and Essential Ecosystem Service Variables (EESVs) can support decision-making by stakeholders from multiple sectors, enabling to anticipate ecological transformations and support proactive, informed decisions that promote conservation, economic activities, and human well-being. The aim of this task was to demonstrate how a European Biodiversity Observation Network can support the generation of short-term spatial forecasts of ecological and biological phenomena relevant to the Bioeconomy Strategy and to EU citizens at large. Our specific objectives included showcasing 1) a computational workflow that enables the production of days-ahead forecasts for distinct ecological or biological phenomena and 2) a specialized computational workflow for days-ahead forecasts of bird aerial biomass. The first, (‘generic’) workflow, is exemplified using two case studies: i) forecasting the fruiting of a wild mushroom of commercial and recreational relevance, and ii) forecasting the life stag</w:t>
      </w:r>
    </w:p>
    <w:p>
      <w:pPr/>
      <w:r>
        <w:rPr>
          <w:b/>
        </w:rPr>
        <w:t>POSSIBLE 2021:</w:t>
      </w:r>
      <w:r>
        <w:t xml:space="preserve"> Medical Brain Drain From Southeastern Europe: Using Digital Demography to Forecast Health Worker Emigration — https://doi.org/10.2196/30831</w:t>
      </w:r>
    </w:p>
    <w:p>
      <w:pPr/>
      <w:r>
        <w:rPr>
          <w:b/>
        </w:rPr>
        <w:t>Shared claim-specific concepts:</w:t>
      </w:r>
      <w:r>
        <w:t xml:space="preserve"> forecasts, drawing, conclusions, system; EU scope visible. This is a provisional connection, not an outcome finding.</w:t>
      </w:r>
    </w:p>
    <w:p>
      <w:pPr>
        <w:pStyle w:val="SourceNote"/>
      </w:pPr>
      <w:r>
        <w:rPr>
          <w:b/>
        </w:rPr>
        <w:t>Available abstract (not full text):</w:t>
      </w:r>
      <w:r>
        <w:t xml:space="preserve"> BACKGROUND: This paper shows that the tools of digital demography, such as Google Trends, can be used for determining, estimating, and predicting the migration of health care workers (HWs), in this case, from Croatia and the Western Balkans (WB) to Germany and Austria. OBJECTIVE: This study aims to test the usefulness of Google Trends indexes to forecast HW migration from Croatia and the WB to Germany and Austria. The paper analyzes recent trends in HW mobility in Europe and focuses specifically on mobility patterns among medical doctors and nurses using digital demography. Without increased emigration in the last 10 years, Croatia and the WB would have 50% more HWs today, and this staff is now crucial in the fight against a pandemic. Furthermore, the COVID-19 pandemic contributed to the increase in emigration. METHODS: A particular problem in analyzing the emigration of HCWs from Croatia and the WB is that there is no system for monitoring this process. Official data is up to 3 years late and exists only for persons deregistered from the state system. Furthermore, during the pandemic, the "normal" ways of data collection are simply too slow. The primary methodological concept of our approach is to monitor the digital trace of language searches with the Google Trends analytical tool. To standardize the data, we requested the data from January 2010 to December 2020 and divided t</w:t>
      </w:r>
    </w:p>
    <w:p>
      <w:pPr/>
      <w:r>
        <w:rPr>
          <w:b/>
        </w:rPr>
        <w:t>POSSIBLE 2021:</w:t>
      </w:r>
      <w:r>
        <w:t xml:space="preserve"> Interpretation of point forecasts with unknown directive — https://doi.org/10.1002/jae.2833</w:t>
      </w:r>
    </w:p>
    <w:p>
      <w:pPr/>
      <w:r>
        <w:rPr>
          <w:b/>
        </w:rPr>
        <w:t>Shared claim-specific concepts:</w:t>
      </w:r>
      <w:r>
        <w:t xml:space="preserve"> forecasts, point, abstract; EU scope not established. This is a provisional connection, not an outcome finding.</w:t>
      </w:r>
    </w:p>
    <w:p>
      <w:pPr>
        <w:pStyle w:val="SourceNote"/>
      </w:pPr>
      <w:r>
        <w:rPr>
          <w:b/>
        </w:rPr>
        <w:t>Available abstract (not full text):</w:t>
      </w:r>
      <w:r>
        <w:t xml:space="preserve"> Abstract Point forecasts can be interpreted as functionals (i.e., point summaries) of predictive distributions. We extend methodology for the identification of the functional based on time series of point forecasts and associated realizations. Focusing on state‐dependent quantiles and expectiles, we provide a generalized method of moments estimator for the functional, along with tests of optimality under general joint hypotheses of functional relationships and information bases. Our tests are more flexible, and in simulations better calibrated and more powerful than existing solutions. In empirical examples, economic growth forecasts and model output for precipitation are indicative of overstatement in anticipation of extreme events.</w:t>
      </w:r>
    </w:p>
    <w:p>
      <w:pPr/>
      <w:r>
        <w:rPr>
          <w:b/>
        </w:rPr>
        <w:t>POSSIBLE 2019:</w:t>
      </w:r>
      <w:r>
        <w:t xml:space="preserve"> Argoverse: 3D Tracking and Forecasting With Rich Maps — https://doi.org/10.1109/cvpr.2019.00895</w:t>
      </w:r>
    </w:p>
    <w:p>
      <w:pPr/>
      <w:r>
        <w:rPr>
          <w:b/>
        </w:rPr>
        <w:t>Shared claim-specific concepts:</w:t>
      </w:r>
      <w:r>
        <w:t xml:space="preserve"> point, view, present; EU scope not established. This is a provisional connection, not an outcome finding.</w:t>
      </w:r>
    </w:p>
    <w:p>
      <w:pPr>
        <w:pStyle w:val="SourceNote"/>
      </w:pPr>
      <w:r>
        <w:rPr>
          <w:b/>
        </w:rPr>
        <w:t>Available abstract (not full text):</w:t>
      </w:r>
      <w:r>
        <w:t xml:space="preserve"> We present Argoverse, a dataset designed to support autonomous vehicle perception tasks including 3D tracking and motion forecasting. Argoverse includes sensor data collected by a fleet of autonomous vehicles in Pittsburgh and Miami as well as 3D tracking annotations, 300k extracted interesting vehicle trajectories, and rich semantic maps. The sensor data consists of 360 degree images from 7 cameras with overlapping fields of view, forward-facing stereo imagery, 3D point clouds from long range LiDAR, and 6-DOF pose. Our 290km of mapped lanes contain rich geometric and semantic metadata which are not currently available in any public dataset. All data is released under a Creative Commons license at Argoverse.org. In baseline experiments, we use map information such as lane direction, driveable area, and ground height to improve the accuracy of 3D object tracking. We use 3D object tracking to mine for more than 300k interesting vehicle trajectories to create a trajectory forecasting benchmark. Motion forecasting experiments ranging in complexity from classical methods (k-NN) to LSTMs demonstrate that using detailed vector maps with lane-level information substantially reduces prediction error. Our tracking and forecasting experiments represent only a superficial exploration of the potential of rich maps in robotic perception. We hope that Argoverse will enable the research commun</w:t>
      </w:r>
    </w:p>
    <w:p>
      <w:pPr/>
      <w:r>
        <w:rPr>
          <w:b/>
        </w:rPr>
        <w:t>POSSIBLE 2019:</w:t>
      </w:r>
      <w:r>
        <w:t xml:space="preserve"> Colour forecasting — https://doi.org/10.1080/00405167.2019.1659564</w:t>
      </w:r>
    </w:p>
    <w:p>
      <w:pPr/>
      <w:r>
        <w:rPr>
          <w:b/>
        </w:rPr>
        <w:t>Shared claim-specific concepts:</w:t>
      </w:r>
      <w:r>
        <w:t xml:space="preserve"> drawing, important, view, system; EU scope not established. This is a provisional connection, not an outcome finding.</w:t>
      </w:r>
    </w:p>
    <w:p>
      <w:pPr>
        <w:pStyle w:val="SourceNote"/>
      </w:pPr>
      <w:r>
        <w:rPr>
          <w:b/>
        </w:rPr>
        <w:t>Available abstract (not full text):</w:t>
      </w:r>
      <w:r>
        <w:t xml:space="preserve"> The underlying principles of colour forecasting now have a history spanning a full century. This issue of Textile Progress is somewhat timely as the challenges that industry face now differ from those of the twentieth century, in particular, the increased need to address sustainability and the increased competiveness of the global marketplace. This Textile Progress provides an overview of the historical context drawing out the importance of the role of colour forecasting in the fashion and textile industries. It provides a detailed analysis of the more-recently established and establishing trend forecasting methods with a view to thinking more innovatively about the potential of colour forecasting. It investigates the effects and impact of colour and trend forecasting with a particular focus on the consequences of the process and system on business, on consumers and on the environment. In reviewing the developments in colour forecasting, we begin with the subjective techniques highlighting the strengths and weaknesses of the approaches. The more-objective characteristics that have emerged from new developments and new thinking provide a focus on the potential for greater accuracy in colour forecasting. This issue of Textile Progress explains how and why colour forecasting is an essential component of the business of making and selling fashion garments, through merchandising, re</w:t>
      </w:r>
    </w:p>
    <w:p>
      <w:pPr/>
      <w:r>
        <w:rPr>
          <w:b/>
        </w:rPr>
        <w:t>POSSIBLE 2019:</w:t>
      </w:r>
      <w:r>
        <w:t xml:space="preserve"> Seasonal streamflow forecasts for Europe – Part 2: Sources of skill — https://doi.org/10.5194/hess-23-371-2019</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Seasonal predictions can be exploited among others to optimize hydropower energy generation, navigability of rivers and irrigation management to decrease crop yield losses. This paper is the second of two papers dealing with a model-based system built to produce seasonal hydrological forecasts (WUSHP: Wageningen University Seamless Hydrological Prediction system), applied here to Europe. Whereas the first paper presents the development and the skill evaluation of the system, this paper provides explanations for the skill. In WUSHP hydrology is simulated by running the Variable Infiltration Capacity (VIC) hydrological model with meteorological forcing from bias-corrected output of ECMWF's Seasonal Forecasting System 4 (S4). WUSHP is probabilistic. For the assessment of skill, hindcast simulations (1981–2010) were carried out. To explain skill, we first looked at the forcing and found considerable skill in the precipitation forecasts of the first lead month but hardly any significant skill for later lead months. Seasonal forecasts for temperature have more skill. Skill in summer temperature is related to climate change and more or less independent of lead time. Skill in February and March is unrelated to climate change. Sources of skill in runoff were isolated with Ensemble Streamflow Prediction (ESP) experiments. These revealed that beyond the second lead month simulat</w:t>
      </w:r>
    </w:p>
    <w:p>
      <w:pPr/>
      <w:r>
        <w:rPr>
          <w:b/>
        </w:rPr>
        <w:t>POSSIBLE 2018:</w:t>
      </w:r>
      <w:r>
        <w:t xml:space="preserve"> How Can Existing Ground-Based Profiling Instruments Improve European Weather Forecasts? — https://doi.org/10.1175/bams-d-17-0231.1</w:t>
      </w:r>
    </w:p>
    <w:p>
      <w:pPr/>
      <w:r>
        <w:rPr>
          <w:b/>
        </w:rPr>
        <w:t>Shared claim-specific concepts:</w:t>
      </w:r>
      <w:r>
        <w:t xml:space="preserve"> forecasts, important, abstract; EU scope visible. This is a provisional connection, not an outcome finding.</w:t>
      </w:r>
    </w:p>
    <w:p>
      <w:pPr>
        <w:pStyle w:val="SourceNote"/>
      </w:pPr>
      <w:r>
        <w:rPr>
          <w:b/>
        </w:rPr>
        <w:t>Available abstract (not full text):</w:t>
      </w:r>
      <w:r>
        <w:t xml:space="preserve"> Abstract To realize the promise of improved predictions of hazardous weather such as flash floods, wind storms, fog, and poor air quality from high-resolution mesoscale models, the forecast models must be initialized with an accurate representation of the current state of the atmosphere, but the lowest few kilometers are hardly accessible by satellite, especially in dynamically active conditions. We report on recent European developments in the exploitation of existing ground-based profiling instruments so that they are networked and able to send data in real time to forecast centers. The three classes of instruments are i) automatic lidars and ceilometers providing backscatter profiles of clouds, aerosols, dust, fog, and volcanic ash, the last two being especially important for air traffic control; ii) Doppler wind lidars deriving profiles of wind, turbulence, wind shear, wind gusts, and low-level jets; and iii) microwave radiometers estimating profiles of temperature and humidity in nearly all weather conditions. The project includes collaboration from 22 European countries and 15 European national weather services, which involves the implementation of common operating procedures, instrument calibrations, data formats, and retrieval algorithms. Currently, data from 265 ceilometers in 19 countries are being distributed in near–real time to national weather forecast centers; th</w:t>
      </w:r>
    </w:p>
    <w:p>
      <w:pPr/>
      <w:r>
        <w:rPr>
          <w:b/>
        </w:rPr>
        <w:t>POSSIBLE 2018:</w:t>
      </w:r>
      <w:r>
        <w:t xml:space="preserve"> Drawing: the point of contact — https://doi.org/10.5287/ora-8reoo61db</w:t>
      </w:r>
    </w:p>
    <w:p>
      <w:pPr/>
      <w:r>
        <w:rPr>
          <w:b/>
        </w:rPr>
        <w:t>Shared claim-specific concepts:</w:t>
      </w:r>
      <w:r>
        <w:t xml:space="preserve"> drawing, point, view, present; EU scope not established. This is a provisional connection, not an outcome finding.</w:t>
      </w:r>
    </w:p>
    <w:p>
      <w:pPr>
        <w:pStyle w:val="SourceNote"/>
      </w:pPr>
      <w:r>
        <w:rPr>
          <w:b/>
        </w:rPr>
        <w:t>Available abstract (not full text):</w:t>
      </w:r>
      <w:r>
        <w:t xml:space="preserve"> This thesis is a study of the point of contact between pencil and paper during certain acts of drawing. It comprises three elements. Firstly, five ‘drawings’ which together raise the central question of the thesis: what arrests me, in the manner of a Barthesian punctum, about the point of contact between pencil and paper (and their proxies) in these particular drawings? These drawings are in evidence through written accounts introducing each chapter, and they are: (1) a practice of ‘half-blind’ life drawing; (2) a line drawn around the internal perimeter of a house; (3) several voice recordings made while walking in the dark; (4) a biro line drawn across a bed sheet; (5) a row of ink blots at the foot of a page. Secondly, the present document, which shows the endeavour of answering this question. Thirdly, a display of artefacts left over from the five drawings and the writing, which pose a question at the close of the thesis: when the writing is completed, what is left of the drawings that set it going? The present document is undertaken ‘drawingly’: employing a methodology and form learned from the point of contact at its centre and developed as a mode of enquiry adequate to this punctum’s apparent resistance to being named or wholly analysed. Building upon Jean-Luc Nancy’s characterization of a working drawing as a search for form, Derrida’s description of the ‘aperspective’ </w:t>
      </w:r>
    </w:p>
    <w:p>
      <w:pPr/>
      <w:r>
        <w:rPr>
          <w:b/>
        </w:rPr>
        <w:t>POSSIBLE 2017:</w:t>
      </w:r>
      <w:r>
        <w:t xml:space="preserve"> Summer drought predictability over Europe: empirical versus dynamical forecasts — https://doi.org/10.1088/1748-9326/aa7859</w:t>
      </w:r>
    </w:p>
    <w:p>
      <w:pPr/>
      <w:r>
        <w:rPr>
          <w:b/>
        </w:rPr>
        <w:t>Shared claim-specific concepts:</w:t>
      </w:r>
      <w:r>
        <w:t xml:space="preserve"> forecasts, important, system; EU scope visible. This is a provisional connection, not an outcome finding.</w:t>
      </w:r>
    </w:p>
    <w:p>
      <w:pPr>
        <w:pStyle w:val="SourceNote"/>
      </w:pPr>
      <w:r>
        <w:rPr>
          <w:b/>
        </w:rPr>
        <w:t>Available abstract (not full text):</w:t>
      </w:r>
      <w:r>
        <w:t xml:space="preserve"> Seasonal climate forecasts could be an important planning tool for farmers, government and insurance companies that can lead to better and timely management of seasonal climate risks. However, climate seasonal forecasts are often under-used, because potential users are not well aware of the capabilities and limitations of these products. This study aims at assessing the merits and caveats of a statistical empirical method, the ensemble streamflow prediction system (ESP, an ensemble based on reordering historical data) and an operational dynamical forecast system, the European Centre for Medium-Range Weather Forecasts—System 4 (S4) in predicting summer drought in Europe. Droughts are defined using the Standardized Precipitation Evapotranspiration Index for the month of August integrated over 6 months. Both systems show useful and mostly comparable deterministic skill. We argue that this source of predictability is mostly attributable to the observed initial conditions. S4 shows only higher skill in terms of ability to probabilistically identify drought occurrence. Thus, currently, both approaches provide useful information and ESP represents a computationally fast alternative to dynamical prediction applications for drought prediction.</w:t>
      </w:r>
    </w:p>
    <w:p>
      <w:pPr>
        <w:pStyle w:val="Heading2"/>
      </w:pPr>
      <w:r>
        <w:t>923.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Human Resource Management in Knowledge-Based Companies — https://doi.org/10.61838/kman.jrmde.4.2.4</w:t>
      </w:r>
    </w:p>
    <w:p>
      <w:pPr/>
      <w:r>
        <w:rPr>
          <w:b/>
        </w:rPr>
        <w:t>Shared claim-specific concepts:</w:t>
      </w:r>
      <w:r>
        <w:t xml:space="preserve"> based, foresight, level; EU scope not established. This is a provisional connection, not an outcome finding.</w:t>
      </w:r>
    </w:p>
    <w:p>
      <w:pPr>
        <w:pStyle w:val="SourceNote"/>
      </w:pPr>
      <w:r>
        <w:rPr>
          <w:b/>
        </w:rPr>
        <w:t>Available abstract (not full text):</w:t>
      </w:r>
      <w:r>
        <w:t xml:space="preserve"> The present study was conducted with the aim of foresight in human resource management in knowledge-based companies. This research falls under the category of mixed-method studies (qualitative and quantitative). The qualitative strategy employed was thematic analysis, and the quantitative strategy was a survey approach. The qualitative sample consisted of 14 experts and managers from knowledge-based companies, selected through purposive and snowball sampling methods. In-depth interviews were conducted with these participants. MAXQDA software (2018) was used to analyze the data. Based on the interviews, components were extracted, and through the coding process and subsequent tests, the final model of the study was developed. Findings from the qualitative section indicated that the dimensions for designing a human resource management model in knowledge-based companies include the individual approach, organizational characteristics, environmental conditions, and technology. In the quantitative section, the statistical population consisted of all employees, deputies, and managers of knowledge-based companies, and 384 questionnaires were distributed and collected using convenience sampling. To analyze the research questions, Structural Equation Modeling (SEM) was performed using SmartPLS 3 software. The results of model evaluation showed that all research hypotheses had a significan</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based, foresight, different;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2022:</w:t>
      </w:r>
      <w:r>
        <w:t xml:space="preserve"> Foresight and regulation: anticipatory governance and administrative foresight in times of transition and recovery — https://openalex.org/W7125625500</w:t>
      </w:r>
    </w:p>
    <w:p>
      <w:pPr/>
      <w:r>
        <w:rPr>
          <w:b/>
        </w:rPr>
        <w:t>Shared claim-specific concepts:</w:t>
      </w:r>
      <w:r>
        <w:t xml:space="preserve"> based, general, foresight, exercise, group, external; EU scope visible. This is a provisional connection, not an outcome finding.</w:t>
      </w:r>
    </w:p>
    <w:p>
      <w:pPr>
        <w:pStyle w:val="SourceNote"/>
      </w:pPr>
      <w:r>
        <w:rPr>
          <w:b/>
        </w:rPr>
        <w:t>Available abstract (not full text):</w:t>
      </w:r>
      <w:r>
        <w:t xml:space="preserve"> [EN] Administrative law has the challenge to protect rights without a time and general. Regulation and administrative activity, in its pursuit of the general interest, cannot renounce the creation of spaces for the exercise of executive power in a collaborative or participatory manner. Considering the possible future means adapting the rules and the activity of the administration to the current reality, without compromising the actions of governments in the future in order to respect international consensus, such as the green pact and sustainable economic recovery. Esta situación es objeto de reflexión en esta obra colectiva que constituye la primera reflexión realizada por los investigadores del proyecto de investigación I+D+I financiado por el Ministerio de ciencia e innovación, Gobierno de España con el título: Por un consenso de futuro sostenible: Gobernanza anticipatoria y Prospectiva administrativa (PROFUTURE) PID2020-116401GB-I00 Foresight offers a range of experiences for a practical application of foresight to administrative planning and policy development. These tools are based on the bureaucratic reality and the competences of public administrations. As a consequence of the health, economic and energy crises, administrations will have to face planning and decision-making for recovery. Are they prepared? Administrations make decisions with models that do not foresee t</w:t>
      </w:r>
    </w:p>
    <w:p>
      <w:pPr/>
      <w:r>
        <w:rPr>
          <w:b/>
        </w:rPr>
        <w:t>POSSIBLE 2022:</w:t>
      </w:r>
      <w:r>
        <w:t xml:space="preserve"> ANALYSIS OF SECURITY RISKS BASED ON THE INFORMATION PROVIDED IN THE GENERAL DECLARATION OF ARRIVAL IN THE EUROPEAN UNION — https://doi.org/10.31891/2307-5740-2022-312-6(1)-20</w:t>
      </w:r>
    </w:p>
    <w:p>
      <w:pPr/>
      <w:r>
        <w:rPr>
          <w:b/>
        </w:rPr>
        <w:t>Shared claim-specific concepts:</w:t>
      </w:r>
      <w:r>
        <w:t xml:space="preserve"> based, general, out, submitted; EU scope visible. This is a provisional connection, not an outcome finding.</w:t>
      </w:r>
    </w:p>
    <w:p>
      <w:pPr>
        <w:pStyle w:val="SourceNote"/>
      </w:pPr>
      <w:r>
        <w:rPr>
          <w:b/>
        </w:rPr>
        <w:t>Available abstract (not full text):</w:t>
      </w:r>
      <w:r>
        <w:t xml:space="preserve"> The purpose of the article is to study the experience of European countries regarding the peculiarities of security risk analysis based on the information provided in the general declaration of arrival and to develop proposals for bringing domestic customs legislation closer to the legislation of the European Union. The article analyzes the features of security risk analysis based on the information provided in the general declaration of arrival in the European Union. The regulatory and legal bases for the use of the general declaration of arrival in European countries have been determined. The parties responsible for submitting preliminary data to the customs authorities, the deadlines for submitting the general declaration of arrival and the amount of data that must be submitted to the customs authority, depending on the type of transport on which the goods will be imported into the customs territory of the EU, were found. It was found that the data are specified in the general declaration arrival, the so-called “security notices”, which are submitted to border customs before the import of goods into the customs territory of the European Union, enable customs authorities to carry out a risk analysis, primarily with the aim of determining the degree of security and the appropriate way of conducting customs control. Studied the procedure for assessing security risks based on th</w:t>
      </w:r>
    </w:p>
    <w:p>
      <w:pPr/>
      <w:r>
        <w:rPr>
          <w:b/>
        </w:rPr>
        <w:t>POSSIBLE 2022:</w:t>
      </w:r>
      <w:r>
        <w:t xml:space="preserve"> Prevalence of most common skin diseases in Europe: a population‐based study — https://doi.org/10.1111/jdv.18050</w:t>
      </w:r>
    </w:p>
    <w:p>
      <w:pPr/>
      <w:r>
        <w:rPr>
          <w:b/>
        </w:rPr>
        <w:t>Shared claim-specific concepts:</w:t>
      </w:r>
      <w:r>
        <w:t xml:space="preserve"> based, general, who;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r>
        <w:rPr>
          <w:b/>
        </w:rPr>
        <w:t>POSSIBLE 2022:</w:t>
      </w:r>
      <w:r>
        <w:t xml:space="preserve"> Over the shoulder enforcement in European regulatory networks:the role of arbitrage mitigation mechanisms in the General Data Protection Regulation — https://doi.org/10.1080/13501763.2022.2069845</w:t>
      </w:r>
    </w:p>
    <w:p>
      <w:pPr/>
      <w:r>
        <w:rPr>
          <w:b/>
        </w:rPr>
        <w:t>Shared claim-specific concepts:</w:t>
      </w:r>
      <w:r>
        <w:t xml:space="preserve"> general, out, national; EU scope visible. This is a provisional connection, not an outcome finding.</w:t>
      </w:r>
    </w:p>
    <w:p>
      <w:pPr>
        <w:pStyle w:val="SourceNote"/>
      </w:pPr>
      <w:r>
        <w:rPr>
          <w:b/>
        </w:rPr>
        <w:t>Available abstract (not full text):</w:t>
      </w:r>
      <w:r>
        <w:t xml:space="preserve"> Across many domains, the European Union relies on a system of regulatory network-based enforcement. National agencies work with peers to carry out on-the-ground implementation of supranational law. Network-based enforcement, however, raises concerns including regulatory capture and shirking. We explore how a novel governance tool – arbitrage mitigation mechanisms – may address some of these issues. These mechanisms are formal institutional procedures, which attempt to generate equivalent application of EU law for cross border regulation, and include horizontal checks among regulatory peers as well as vertical checks that allow civil society to voice accountability concerns. To demonstrate the validity of our argument, we examine the General Data Protection Regulation (GDPR) and European privacy enforcement. Our study contributes to the understanding of enforcement and compliance in European regulatory networks and offers a more fine grained understanding of when and how European citizens’ civil liberties will be upheld.</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national, level, analysed, horizon;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2022:</w:t>
      </w:r>
      <w:r>
        <w:t xml:space="preserve"> Foresight: a new approach based on the Z-number cognitive map — https://doi.org/10.1186/s40309-022-00188-5</w:t>
      </w:r>
    </w:p>
    <w:p>
      <w:pPr/>
      <w:r>
        <w:rPr>
          <w:b/>
        </w:rPr>
        <w:t>Shared claim-specific concepts:</w:t>
      </w:r>
      <w:r>
        <w:t xml:space="preserve"> based, foresight, then, finally; EU scope not established. This is a provisional connection, not an outcome finding.</w:t>
      </w:r>
    </w:p>
    <w:p>
      <w:pPr>
        <w:pStyle w:val="SourceNote"/>
      </w:pPr>
      <w:r>
        <w:rPr>
          <w:b/>
        </w:rPr>
        <w:t>Available abstract (not full text):</w:t>
      </w:r>
      <w:r>
        <w:t xml:space="preserve"> Abstract Foresight has recently emerged as one of the most attractive and practical fields of study, while being used to draw up a preferable future and formulate appropriate strategies for achieving predetermined goals. The present research aimed at providing a framework for foresight with a primary focus on the role of a cognitive approach and its combination with the concept of fuzzy cognitive map in the environments of uncertainty and ambiguity. The proposed framework consisted of the 3 phases: pre-foresight, foresight, and post-foresight. The main stage (foresight) focused on the role of imagination and intuition in drawing the future in the experts’ minds and depicting their perceptions above perceptions in the form of a fuzzy cognitive map influenced by variables related to the subject under study in order to determine a preferable future. The use of a Z-number concept and integrating it with fuzzy cognitive maps in the foresight-oriented decision-making space, which was mainly saturated with uncertainty and ambiguity, was one of the main strengths of the proposed framework in the current investigation. The present paper focused primarily on the evolution of expert’s knowledge with regard to the topic of foresight. The role of Z-number in various processes, from data collection to illustration, analysis, and aggregation of cognitive maps, was considered for gaining knowl</w:t>
      </w:r>
    </w:p>
    <w:p>
      <w:pPr>
        <w:pStyle w:val="Heading2"/>
      </w:pPr>
      <w:r>
        <w:t>924.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2020:</w:t>
      </w:r>
      <w:r>
        <w:t xml:space="preserve"> The Making of the New European Wind Atlas – Part 2: Production and evaluation — https://doi.org/10.5194/gmd-13-5079-2020</w:t>
      </w:r>
    </w:p>
    <w:p>
      <w:pPr/>
      <w:r>
        <w:rPr>
          <w:b/>
        </w:rPr>
        <w:t>Shared claim-specific concepts:</w:t>
      </w:r>
      <w:r>
        <w:t xml:space="preserve"> present, set, all, two; EU scope visible. This is a provisional connection, not an outcome finding.</w:t>
      </w:r>
    </w:p>
    <w:p>
      <w:pPr>
        <w:pStyle w:val="SourceNote"/>
      </w:pPr>
      <w:r>
        <w:rPr>
          <w:b/>
        </w:rPr>
        <w:t>Available abstract (not full text):</w:t>
      </w:r>
      <w:r>
        <w:t xml:space="preserve"> Abstract. This is the second of two papers that document the creation of the New European Wind Atlas (NEWA). In Part 1, we described the sensitivity experiments and accompanying evaluation done to arrive at the final mesoscale model setup used to produce the mesoscale wind atlas. In this paper, Part 2, we document how we made the final wind atlas product, covering both the production of the mesoscale climatology generated with the Weather Research and Forecasting (WRF) model and the microscale climatology generated with the Wind Atlas Analysis and Applications Program (WAsP). The paper includes a detailed description of the technical and practical aspects that went into running the mesoscale simulations and the downscaling using WAsP. We show the main results from the final wind atlas and present a comprehensive evaluation of each component of the NEWA model chain using observations from a large set of tall masts located all over Europe. The added value of the WRF and WAsP downscaling of wind climatologies is evaluated relative to the performance of the driving ERA5 reanalysis and shows that the WRF downscaling reduces the mean wind speed bias and spread relative to that of ERA5 from −1.50 ± 1.30 to 0.02 ± 0.78 ms−1. The WAsP downscaling has an added positive impact relative to that of the WRF model in simple terrain. In complex terrain, where the assumptions of the linearised </w:t>
      </w:r>
    </w:p>
    <w:p>
      <w:pPr/>
      <w:r>
        <w:rPr>
          <w:b/>
        </w:rPr>
        <w:t>POSSIBLE 2020:</w:t>
      </w:r>
      <w:r>
        <w:t xml:space="preserve"> Evidence for reducing cancer-specific mortality due to screening for breast cancer in Europe: A systematic review — https://doi.org/10.1016/j.ejca.2019.12.010</w:t>
      </w:r>
    </w:p>
    <w:p>
      <w:pPr/>
      <w:r>
        <w:rPr>
          <w:b/>
        </w:rPr>
        <w:t>Shared claim-specific concepts:</w:t>
      </w:r>
      <w:r>
        <w:t xml:space="preserve"> reducing, all, two; EU scope visible. This is a provisional connection, not an outcome finding.</w:t>
      </w:r>
    </w:p>
    <w:p>
      <w:pPr>
        <w:pStyle w:val="SourceNote"/>
      </w:pPr>
      <w:r>
        <w:rPr>
          <w:b/>
        </w:rPr>
        <w:t>Available abstract (not full text):</w:t>
      </w:r>
      <w:r>
        <w:t xml:space="preserve"> BACKGROUND: The aim of this study was to quantify the impact of organised mammography screening on breast cancer mortality across European regions. Therefore, a systematic review was performed including different types of studies from all European regions and stringently used clearly defined quality appraisal to summarise the best evidence. METHODS: Six databases were searched including Embase, Medline and Web of Science from inception to March 2018. To identify all eligible studies which assessed the effect of organised screening on breast cancer mortality, two reviewers independently applied predefined inclusion and exclusion criteria. Original studies in English with a minimum follow-up of five years that were randomised controlled trials (RCTs) or observational studies were included. The Cochrane risk of bias instrument and the Newcastle-Ottawa Scale were used to assess the risk of bias. RESULTS: Of the 5015 references initially retrieved, 60 were included in the final analysis. Those comprised 36 cohort studies, 17 case-control studies and 7 RCTs. None were from Eastern Europe. The quality of the included studies varied: Nineteen of these studies were of very good or good quality. Of those, the reduction in breast cancer mortality in attenders versus non-attenders ranged between 33% and 43% (Northern Europe), 43%-45% (Southern Europe) and 12%-58% (Western Europe). The esti</w:t>
      </w:r>
    </w:p>
    <w:p>
      <w:pPr/>
      <w:r>
        <w:rPr>
          <w:b/>
        </w:rPr>
        <w:t>POSSIBLE 2019:</w:t>
      </w:r>
      <w:r>
        <w:t xml:space="preserve"> Evaluation of data availability on population health indicators at the regional level across the European Union — https://doi.org/10.1186/s12963-019-0188-6</w:t>
      </w:r>
    </w:p>
    <w:p>
      <w:pPr/>
      <w:r>
        <w:rPr>
          <w:b/>
        </w:rPr>
        <w:t>Shared claim-specific concepts:</w:t>
      </w:r>
      <w:r>
        <w:t xml:space="preserve"> evaluate, set, all; EU scope visible. This is a provisional connection, not an outcome finding.</w:t>
      </w:r>
    </w:p>
    <w:p>
      <w:pPr>
        <w:pStyle w:val="SourceNote"/>
      </w:pPr>
      <w:r>
        <w:rPr>
          <w:b/>
        </w:rPr>
        <w:t>Available abstract (not full text):</w:t>
      </w:r>
      <w:r>
        <w:t xml:space="preserve"> BACKGROUND: The ability to measure regional health inequalities across Europe and to build adequate population health indices depends significantly on the availability of reliable and comparable data at the regional level. Within the scope of the EU-funded project EURO-HEALTHY, a Population Health Index (PHI) was built. This model aggregates 39 indicators considered relevant by experts and stakeholders to evaluate and monitor population health on the regional level within the European Union (269 regions). The aim of this research was to assess the data availability for those indicators. As a subsequent aim, an adequate protocol to overcome issues arising from missing data will be presented, as well as key messages for both national and European statistical authorities meant to improve data collection on population health. METHODS: The methodology for the study includes three consecutive phases: (i) assessing the data availability for the respective indicators at the regional level for the last year available (ii) applying a protocol for missing data and completing the database and (iii) developing a scoring system ranging from 0 (no data available; worst) to 1 (all data available; best) to evaluate the availability of data by indicator and EU region. RESULTS: Although the missing data on the set of the PHI indicators was significant, the mean availability score for the EURO-HEA</w:t>
      </w:r>
    </w:p>
    <w:p>
      <w:pPr/>
      <w:r>
        <w:rPr>
          <w:b/>
        </w:rPr>
        <w:t>POSSIBLE 2018:</w:t>
      </w:r>
      <w:r>
        <w:t xml:space="preserve"> The Evaluation of Implementation of Agricultural Sustainable Development Policy in the European Union — https://doi.org/10.22630/prs.2018.18.2.45</w:t>
      </w:r>
    </w:p>
    <w:p>
      <w:pPr/>
      <w:r>
        <w:rPr>
          <w:b/>
        </w:rPr>
        <w:t>Shared claim-specific concepts:</w:t>
      </w:r>
      <w:r>
        <w:t xml:space="preserve"> present, evaluate, set, two; EU scope visible. This is a provisional connection, not an outcome finding.</w:t>
      </w:r>
    </w:p>
    <w:p>
      <w:pPr>
        <w:pStyle w:val="SourceNote"/>
      </w:pPr>
      <w:r>
        <w:rPr>
          <w:b/>
        </w:rPr>
        <w:t>Available abstract (not full text):</w:t>
      </w:r>
      <w:r>
        <w:t xml:space="preserve"> Author tries to evaluate two elements of implementation of agricultural sustainable development policy in the European Union. Those elements are: “greening” and European innovation partnership. Greening is carried out by: crop diversification, maintenance of permanent grassland (PG), maintenance of ecological focus areas (EFA). Diversification of crops was carried out for three fourth of areas of arable lands in the EU. Diversification prevents soil erosion. Share of PG in the overall area of agricultural land in the EU is 29 %. The highest indicator is at present in the United Kingdom (90%), and the lowest in Cyprus, Malta, Denmark and Finland. From the set of actions maintaining the pro-environmental areas (EFA), the most popular were: setting aside (27 member states), and the least popular – afforestation (only 11 countries). When it comes to EFA area, the biggest share was the area for legume plants. New pro-environmental instrument is European Innovation Partnership for productive and sustainable agriculture. There has already been some results of this action in the EU countries.</w:t>
      </w:r>
    </w:p>
    <w:p>
      <w:pPr/>
      <w:r>
        <w:rPr>
          <w:b/>
        </w:rPr>
        <w:t>POSSIBLE 2017:</w:t>
      </w:r>
      <w:r>
        <w:t xml:space="preserve"> The role of humidity in determining scenarios of perceived temperature extremes in Europe — https://doi.org/10.1088/1748-9326/aa8cdd</w:t>
      </w:r>
    </w:p>
    <w:p>
      <w:pPr/>
      <w:r>
        <w:rPr>
          <w:b/>
        </w:rPr>
        <w:t>Shared claim-specific concepts:</w:t>
      </w:r>
      <w:r>
        <w:t xml:space="preserve"> present, evaluate, set, two, human, impacts; EU scope visible. This is a provisional connection, not an outcome finding.</w:t>
      </w:r>
    </w:p>
    <w:p>
      <w:pPr>
        <w:pStyle w:val="SourceNote"/>
      </w:pPr>
      <w:r>
        <w:rPr>
          <w:b/>
        </w:rPr>
        <w:t>Available abstract (not full text):</w:t>
      </w:r>
      <w:r>
        <w:t xml:space="preserve"> An increase of the 2 m temperature over Europe is expected within the current century.In order to consider health impacts, it is important to evaluate the combined effect of temperature and humidity on the human body.To achieve this, projections of a basic index-the humidex-representative of the perceived temperature, under different scenarios and periods, have been investigated.The simultaneous occurrence of observed extreme temperature events and perceived extreme temperature events is seldom found within the present climate, reinforcing the importance of investigating the combination of the two fields.A set of 10 km resolution regional climate simulations, provided within the EURO-CORDEX multi-model effort, demonstrates an ability in representing moderate to extreme events of perceived temperature over the present climate, and to be useful as a tool for quantifying future changes in geographical patterns of exposed areas over Europe.Following the RCP8.5 emission scenario, an expansion of the area subject to dangerous conditions is suggested from the middle of the current century, reaching 60 • N. The most significant increase of perceived extreme temperature conditions is found comparing the 2066-2095 projections to the 1976-2005 period; bearing in mind that changes in relative humidity may either amplify or offset the health effects of temperature, a less pronounced project</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set, nitrogen, emissions, anthropogenic, all, two;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r>
        <w:rPr>
          <w:b/>
        </w:rPr>
        <w:t>POSSIBLE 2016:</w:t>
      </w:r>
      <w:r>
        <w:t xml:space="preserve"> Reassessing changes in diurnal temperature range: Intercomparison and evaluation of existing global data set estimates — https://doi.org/10.1002/2015jd024584</w:t>
      </w:r>
    </w:p>
    <w:p>
      <w:pPr/>
      <w:r>
        <w:rPr>
          <w:b/>
        </w:rPr>
        <w:t>Shared claim-specific concepts:</w:t>
      </w:r>
      <w:r>
        <w:t xml:space="preserve"> set, all, two; EU scope visible. This is a provisional connection, not an outcome finding.</w:t>
      </w:r>
    </w:p>
    <w:p>
      <w:pPr>
        <w:pStyle w:val="SourceNote"/>
      </w:pPr>
      <w:r>
        <w:rPr>
          <w:b/>
        </w:rPr>
        <w:t>Available abstract (not full text):</w:t>
      </w:r>
      <w:r>
        <w:t xml:space="preserve"> Abstract Changes in diurnal temperature range (DTR) over global land areas are compared from a broad range of independent data sets. All data sets agree that global‐mean DTR has decreased significantly since 1950, with most of that decrease occurring over 1960–1980. The since‐1979 trends are not significant, with inter‐data set disagreement even over the sign of global changes. Inter‐data set spread becomes greater regionally and in particular at the grid box level. Despite this, there is general agreement that DTR decreased in North America, Europe, and Australia since 1951, with this decrease being partially reversed over Australia and Europe since the early 1980s. There is substantive disagreement between data sets prior to the middle of the twentieth century, particularly over Europe, which precludes making any meaningful conclusions about DTR changes prior to 1950, either globally or regionally. Several variants that undertake a broad range of approaches to postprocessing steps of gridding and interpolation were analyzed for two of the data sets. These choices have a substantial influence in data sparse regions or periods. The potential of further insights is therefore inextricably linked with the efficacy of data rescue and digitization for maximum and minimum temperature series prior to 1950 everywhere and in data sparse regions throughout the period of record. Over Nort</w:t>
      </w:r>
    </w:p>
    <w:p>
      <w:pPr/>
      <w:r>
        <w:rPr>
          <w:b/>
        </w:rPr>
        <w:t>POSSIBLE 2016:</w:t>
      </w:r>
      <w:r>
        <w:t xml:space="preserve"> Reducing burden of disease from residential indoor air exposures in Europe (HEALTHVENT project) — https://doi.org/10.1186/s12940-016-0101-8</w:t>
      </w:r>
    </w:p>
    <w:p>
      <w:pPr/>
      <w:r>
        <w:rPr>
          <w:b/>
        </w:rPr>
        <w:t>Shared claim-specific concepts:</w:t>
      </w:r>
      <w:r>
        <w:t xml:space="preserve"> present, reducing, emissions, all; EU scope visible. This is a provisional connection, not an outcome finding.</w:t>
      </w:r>
    </w:p>
    <w:p>
      <w:pPr>
        <w:pStyle w:val="SourceNote"/>
      </w:pPr>
      <w:r>
        <w:rPr>
          <w:b/>
        </w:rPr>
        <w:t>Available abstract (not full text):</w:t>
      </w:r>
      <w:r>
        <w:t xml:space="preserve"> BACKGROUND: The annual burden of disease caused indoor air pollution, including polluted outdoor air used to ventilate indoor spaces, is estimated to correspond to a loss of over 2 million healthy life years in the European Union (EU). Based on measurements of the European Environment Agency (EEA), approximately 90 % of EU citizens live in areas where the World Health Organization (WHO) guidelines for air quality of particulate matter sized &lt; 2.5 mm (PM2.5) are not met. Since sources of pollution reside in both indoor and outdoor air, selecting the most appropriate ventilation strategy is not a simple and straightforward task. METHODS: A framework for developing European health-based ventilation guidelines was created in 2010-2013 in the EU-funded HEALTHVENT project. As a part of the project, the potential efficiency of control policies to health effects caused by residential indoor exposures of fine particulate matter (PM2.5), outdoor bioaerosols, volatile organic compounds (VOC), carbon oxide (CO) radon and dampness was estimated. The analysis was based on scenario comparison, using an outdoor-indoor mass-balance model and varying the ventilation rates. Health effects were estimated with burden of diseases (BoD) calculations taking into account asthma, cardiovascular (CV) diseases, acute toxication, respiratory infections, lung cancer and chronic obstructive pulmonary disease</w:t>
      </w:r>
    </w:p>
    <w:p>
      <w:pPr/>
      <w:r>
        <w:rPr>
          <w:b/>
        </w:rPr>
        <w:t>POSSIBLE 2015:</w:t>
      </w:r>
      <w:r>
        <w:t xml:space="preserve"> Histopathological evaluation of thrombus in patients presenting with stent thrombosis. A multicenter European study: a report of the prevention of late stent thrombosis by an interdisciplinary global European effort consortium — https://doi.org/10.1093/eurheartj/ehv419</w:t>
      </w:r>
    </w:p>
    <w:p>
      <w:pPr/>
      <w:r>
        <w:rPr>
          <w:b/>
        </w:rPr>
        <w:t>Shared claim-specific concepts:</w:t>
      </w:r>
      <w:r>
        <w:t xml:space="preserve"> present, evaluate, all; EU scope visible. This is a provisional connection, not an outcome finding.</w:t>
      </w:r>
    </w:p>
    <w:p>
      <w:pPr>
        <w:pStyle w:val="SourceNote"/>
      </w:pPr>
      <w:r>
        <w:rPr>
          <w:b/>
        </w:rPr>
        <w:t>Available abstract (not full text):</w:t>
      </w:r>
      <w:r>
        <w:t xml:space="preserve"> BACKGROUND: Stent thrombosis (ST) is a rare but serious complication following percutaneous coronary intervention. Analysis of thrombus composition from patients undergoing catheter thrombectomy may provide important insights into the pathological processes leading to thrombus formation. We performed a large-scale multicentre study to evaluate thrombus specimens in patients with ST across Europe. METHODS: Patients presenting with ST and undergoing thrombus aspiration were eligible for inclusion. Thrombus collection was performed according to a standardized protocol and specimens were analysed histologically at a core laboratory. Serial tissue cross sections were stained with haematoxylin-eosin (H&amp;E), Carstairs and Luna. Immunohistochemistry was performed to identify leukocyte subsets, prothrombotic neutrophil extracellular traps (NETs), erythrocytes, platelets, and fibrinogen. RESULTS: Overall 253 thrombus specimens were analysed; 79 (31.2%) from patients presenting with early ST, 174 (68.8%) from late ST; 79 (31.2%) were from bare metal stents, 166 (65.6%) from drug-eluting stents, 8 (3.2%) were from stents of unknown type. Thrombus specimens displayed heterogeneous morphology with platelet-rich thrombus and fibrin/fibrinogen fragments most abundant; mean platelet coverage was 57% of thrombus area. Leukocyte infiltrations were hallmarks of both early and late ST (early: 2260 ±</w:t>
      </w:r>
    </w:p>
    <w:p>
      <w:pPr>
        <w:pStyle w:val="Heading2"/>
      </w:pPr>
      <w:r>
        <w:t>925.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2026:</w:t>
      </w:r>
      <w:r>
        <w:t xml:space="preserve"> The European Union’s energy security based on renewables — https://doi.org/10.18559/978-83-8211-309-9/13</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Energy security is considered through the EU’s efforts to reduce dependence on imported fossil fuels by expanding renewables. The chapter reviews energy-security concepts, import-dependency patterns, post-2022 shifts in supplier relations, EU climate policy and supply chains for solar photovoltaics and wind turbines. Renewable energy can reduce exposure to imported gas, oil and coal, but it does not automatically remove dependency risks. Photovoltaic production is dominated by Chinese firms across raw materials, components and assembly, creating a new vulnerability for Europe. Wind energy offers a stronger European position because EU companies remain important turbine producers and assemblers. The chapter points to a broader resilience agenda: domestic technological capacity, supplier diversification, grid expansion, storage, recycling and sustainable lifecycle management must accompany renewable deployment.</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r>
        <w:rPr>
          <w:b/>
        </w:rPr>
        <w:t>POSSIBLE 2025:</w:t>
      </w:r>
      <w:r>
        <w:t xml:space="preserve"> The Long‐term Socioeconomic Impacts of Renewable Energy Deployment: Lessons From Case Studies in European Rural Regions — https://doi.org/10.1111/jors.12775</w:t>
      </w:r>
    </w:p>
    <w:p>
      <w:pPr/>
      <w:r>
        <w:rPr>
          <w:b/>
        </w:rPr>
        <w:t>Shared claim-specific concepts:</w:t>
      </w:r>
      <w:r>
        <w:t xml:space="preserve"> deployment, renewable, energy, both, regions, energies; EU scope visible. This is a provisional connection, not an outcome finding.</w:t>
      </w:r>
    </w:p>
    <w:p>
      <w:pPr>
        <w:pStyle w:val="SourceNote"/>
      </w:pPr>
      <w:r>
        <w:rPr>
          <w:b/>
        </w:rPr>
        <w:t>Available abstract (not full text):</w:t>
      </w:r>
      <w:r>
        <w:t xml:space="preserve">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pPr/>
      <w:r>
        <w:rPr>
          <w:b/>
        </w:rPr>
        <w:t>POSSIBLE 2025:</w:t>
      </w:r>
      <w:r>
        <w:t xml:space="preserve"> Employment effects of the energy transition : renewable energy sources in Europe — https://doi.org/10.60644/9058</w:t>
      </w:r>
    </w:p>
    <w:p>
      <w:pPr/>
      <w:r>
        <w:rPr>
          <w:b/>
        </w:rPr>
        <w:t>Shared claim-specific concepts:</w:t>
      </w:r>
      <w:r>
        <w:t xml:space="preserve"> deployment, renewable, energy, both, local, electricity; EU scope visible. This is a provisional connection, not an outcome finding.</w:t>
      </w:r>
    </w:p>
    <w:p>
      <w:pPr>
        <w:pStyle w:val="SourceNote"/>
      </w:pPr>
      <w:r>
        <w:rPr>
          <w:b/>
        </w:rPr>
        <w:t>Available abstract (not full text):</w:t>
      </w:r>
      <w:r>
        <w:t xml:space="preserve"> The energy transition is a necessary response to climate change and its environmental consequences. In this thesis, I investigate the labour market implications of the energy transition; specifically, I examine how the deployment of renewable energy sources – measured as installed capacity for electricity generation – affects local employment in renewables in the member states of the European Union between 2017 and 2023, including both direct and indirect employment in renewable sources. Although renewables are job creators, an arising concern in switching to renewable energy is that most of the employment increase may not be in the country that installs the renewables. Thus, the purpose of this thesis is to uncover whether such an increase shows up on the country level, using a panel data approach that analyses countries over time, with country and time fixed effects and additional control variables. I compile a new dataset and examine total renewables, along with specific sources such as solar, wind and hydropower. I find that approximately two jobs are created for an additional MW of renewable capacity installed. Thus, my results imply a significantly positive effect of the deployment of renewable energy sources on local employment in renewables. However, to examine the net impact – which includes job losses from fossil fuels – additional research is needed. Overall, this th</w:t>
      </w:r>
    </w:p>
    <w:p>
      <w:pPr/>
      <w:r>
        <w:rPr>
          <w:b/>
        </w:rPr>
        <w:t>POSSIBLE 2025:</w:t>
      </w:r>
      <w:r>
        <w:t xml:space="preserve"> Faster deployment of renewables stabilizes electricity prices in Europe — https://doi.org/10.1038/s41560-025-01715-x</w:t>
      </w:r>
    </w:p>
    <w:p>
      <w:pPr/>
      <w:r>
        <w:rPr>
          <w:b/>
        </w:rPr>
        <w:t>Shared claim-specific concepts:</w:t>
      </w:r>
      <w:r>
        <w:t xml:space="preserve"> deployment, energy, electricity, generation; EU scope visible. This is a provisional connection, not an outcome finding.</w:t>
      </w:r>
    </w:p>
    <w:p>
      <w:pPr>
        <w:pStyle w:val="SourceNote"/>
      </w:pPr>
      <w:r>
        <w:rPr>
          <w:b/>
        </w:rPr>
        <w:t>Available abstract (not full text):</w:t>
      </w:r>
      <w:r>
        <w:t xml:space="preserve"> Increasing solar photovoltaic and wind generation capacity beyond European 2030 targets could make electricity prices more stable, with reductions in sensitivity to fluctuations in the price of natural gas possibly outweighing the increasing influence of weather effects. Energy policies should account for the macroeconomic benefits of more stable energy prices as an important motivation for the deployment of renewables, in addition to their contribution to the mitigation of climate change.</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north, africa, electricity;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Renewable energy, energy efficiency, and economic complexity in the middle East and North Africa: A panel data analysis — https://doi.org/10.1016/j.energy.2024.133300</w:t>
      </w:r>
    </w:p>
    <w:p>
      <w:pPr/>
      <w:r>
        <w:rPr>
          <w:b/>
        </w:rPr>
        <w:t>Shared claim-specific concepts:</w:t>
      </w:r>
      <w:r>
        <w:t xml:space="preserve"> renewable, energy, technologies, north, africa; EU scope not established. This is a provisional connection, not an outcome finding.</w:t>
      </w:r>
    </w:p>
    <w:p>
      <w:pPr>
        <w:pStyle w:val="SourceNote"/>
      </w:pPr>
      <w:r>
        <w:rPr>
          <w:b/>
        </w:rPr>
        <w:t>Available abstract (not full text):</w:t>
      </w:r>
      <w:r>
        <w:t xml:space="preserve"> This paper aims to investigate how economic complexity and structural transformation affect energy security. This study differs from previous research by focusing on energy efficiency and renewable energy transition as indicators of energy security. The employed methods include econometric techniques such as Panel-Corrected Standard Errors, Driscoll and Kraay's Spatial Correlation Consistent (SCC) method, and Generalized Least Squares, covering data from the Middle East and North Africa (MENA) countries between 1990 and 2017. The results show that economic complexity has a negative effect on energy efficiency but a positive impact on renewable energy. However, economic growth positively affects energy efficiency but negatively influences renewable energy. These results imply that economic complexity is energy-intensive but green, whereas economic growth is energy-saving but brown. The comparative analysis reveals that the negative effects of economic complexity and growth are larger than their positive effects, highlighting the necessity of restructuring economic activities and sectors. Accordingly, decision-makers should encourage the utilization of more energy-efficient technologies in economic activities and production, while promoting renewable energy consumption to enhance energy security in the MENA region. • Economic complexity is energy-intensive while promoting renewab</w:t>
      </w:r>
    </w:p>
    <w:p>
      <w:pPr>
        <w:pStyle w:val="Heading2"/>
      </w:pPr>
      <w:r>
        <w:t>926.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2026:</w:t>
      </w:r>
      <w:r>
        <w:t xml:space="preserve"> Modern Stochastic Techniques for Multifaceted Sensitivity Analysis — https://doi.org/10.3390/engproc2026150036</w:t>
      </w:r>
    </w:p>
    <w:p>
      <w:pPr/>
      <w:r>
        <w:rPr>
          <w:b/>
        </w:rPr>
        <w:t>Shared claim-specific concepts:</w:t>
      </w:r>
      <w:r>
        <w:t xml:space="preserve"> sensitivity, techniques, further; EU scope visible. This is a provisional connection, not an outcome finding.</w:t>
      </w:r>
    </w:p>
    <w:p>
      <w:pPr>
        <w:pStyle w:val="SourceNote"/>
      </w:pPr>
      <w:r>
        <w:rPr>
          <w:b/>
        </w:rPr>
        <w:t>Available abstract (not full text):</w:t>
      </w:r>
      <w:r>
        <w:t xml:space="preserve"> This paper introduces a sophisticated stochastic methodology grounded in a lattice rule featuring an optimized generating vector, which has been rigorously developed and comprehensively analyzed. At the heart of this investigation lies the Unified Danish Eulerian Model (UNI-DEM), an extensive large-scale mathematical framework designed to accurately capture the complex physical and chemical processes occurring within the atmosphere. The proposed lattice-based approach is systematically compared against state-of-the-art techniques, including the modified Sobol sequence and the Fibonacci lattice rule. The comparative analysis demonstrates the superiority of the proposed method in the estimation of high-dimensional integrals, highlighting its enhanced robustness and computational efficiency. These characteristics render it particularly well-suited for the computation of sensitivity indices, which are crucial for ensuring the reliability of scientific models. Furthermore, the study employs variance-based sensitivity analysis methods, notably the Sobol technique, to quantify the influence of input parameters on model outputs rigorously. A comprehensive experimental evaluation is undertaken, integrating advanced Monte Carlo algorithms in conjunction with stochastic scrambling strategies to further enhance computational performance. In addition, the research examines the effects of va</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r>
        <w:rPr>
          <w:b/>
        </w:rPr>
        <w:t>POSSIBLE 2021:</w:t>
      </w:r>
      <w:r>
        <w:t xml:space="preserve"> Reshaping Europe in complex Covid-19 times Need for cultural sensitivity in the European reconstruction process — https://doi.org/10.51149/roea.1.2021.1</w:t>
      </w:r>
    </w:p>
    <w:p>
      <w:pPr/>
      <w:r>
        <w:rPr>
          <w:b/>
        </w:rPr>
        <w:t>Shared claim-specific concepts:</w:t>
      </w:r>
      <w:r>
        <w:t xml:space="preserve"> sensitivity, need; EU scope visible. This is a provisional connection, not an outcome finding.</w:t>
      </w:r>
    </w:p>
    <w:p>
      <w:pPr>
        <w:pStyle w:val="SourceNote"/>
      </w:pPr>
      <w:r>
        <w:rPr>
          <w:b/>
        </w:rPr>
        <w:t>Available abstract (not full text):</w:t>
      </w:r>
      <w:r>
        <w:t xml:space="preserve"> The main aim of the article is to argue for a values-driven and cultural sensitivity approach in responding to the current challenges for a true European integration process, made even more necessary with the Covid-19 pandemic. In particular, the paper proposes a number of reflections and policy suggestions on the need of reshaping Europe in the turbulent Covid-19 times. In doing so, a four-section approach is adopted. The first section puts the European future in perspective. It refers to the historical development of the integration process from a mainly economic project to a sui generis international organisation and briefly overviews the current challenges and opportunities faced by the European Union. The second section identifies two major fundamental guiding lines for the EU’s future: the strengthening of a values-oriented European future, and development of a true European citizenship. The third section emphasises European solidarity as one of the crucial aspects of a sustainable and values-driven European future. This is especially evident in the necessarily cross-border approach to the Corona pandemic. The final section argues for cultural sensitivity in the EU reconstruction process in dealing with the Covid-19 crisis.</w:t>
      </w:r>
    </w:p>
    <w:p>
      <w:pPr/>
      <w:r>
        <w:rPr>
          <w:b/>
        </w:rPr>
        <w:t>POSSIBLE 2021:</w:t>
      </w:r>
      <w:r>
        <w:t xml:space="preserve"> Probabilistic Inverse Method for Source Localization Applied to ETEX and the 2017 Case of Ru-106 including Analyses of Sensitivity to Measurement Data — https://doi.org/10.3390/atmos12121567</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In recent years, cases of unexplained, elevated levels of radioactive particles have demonstrated an increasing need for efficient and robust source localization methods. In this study, a Bayesian method for source localization is developed and applied to two cases. First, the method is validated against the European tracer experiment (ETEX) and then applied to the still unaccounted for release of Ru-106 in the fall of 2017. The ETEX dataset, however, differs significantly from the Ru-106 dataset with regard to time resolution and the distance from the release site to the nearest measurements. Therefore, sensitivity analyses are conducted in order to test the method’s sensitivity to these parameters. The analyses show that the resulting source localization depends on both the observed temporal resolution and the existence of sampling stations close to the source. However, the method is robust, in the sense that reducing the amount of information in the dataset merely reduces the accuracy, and hence, none of the results are contradictory. When applied to the Ru-106 case, the results indicate that the Southern Ural region is the most plausible release area, and, as hypothesized by other studies, that the Mayak nuclear facility is the most likely release location.</w:t>
      </w:r>
    </w:p>
    <w:p>
      <w:pPr/>
      <w:r>
        <w:rPr>
          <w:b/>
        </w:rPr>
        <w:t>POSSIBLE 2020:</w:t>
      </w:r>
      <w:r>
        <w:t xml:space="preserve"> Sensitivity Analysis in Probabilistic Structural Design: A Comparison of Selected Techniques — https://doi.org/10.3390/su12114788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Although more and more reliability-oriented sensitivity analysis (ROSA) techniques are now available, review and comparison articles of ROSA are absent. In civil engineering, many of the latest indices have never been used to analyse structural reliability for very small failure probability. This article aims to analyse and compare different sensitivity analysis (SA) techniques and discusses their strengths and weaknesses. For this purpose, eight selected sensitivity indices are first described and then applied in two different test cases. Four ROSA type indices are directly oriented on the failure probability or reliability index beta, and four other indices (of a different type) are oriented on the output of the limit state function. The case study and results correspond to cases under common engineering assumptions, where only two independent input variables with Gaussian distribution of the load action and the resistance are applied in the ultimate limit state. The last section of the article is dedicated to the analysis of the different results. Large differences between first-order sensitivity indices and very strong interaction effects obtained from ROSA are observed for very low values of failure probability. The obtained numerical results show that ROSA methods lack a common platform that clearly interprets the relationship of indices to their information value. This p</w:t>
      </w:r>
    </w:p>
    <w:p>
      <w:pPr/>
      <w:r>
        <w:rPr>
          <w:b/>
        </w:rPr>
        <w:t>POSSIBLE 2019:</w:t>
      </w:r>
      <w:r>
        <w:t xml:space="preserve"> An experimental sensitivity comparison of the schlieren and background-oriented schlieren techniques applied to hypersonic flow — https://doi.org/10.1088/1361-6501/ab1582</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An experimental study was performed to evaluate the spatial resolution, sensitivity and dynamic range of schlieren and background-oriented schlieren (BOS) applied to hypersonic flows with multiple density gradients. For a single Mach number, shock profile extracts for three values of freestream density are compared. Three processing metrics are proposed for BOS to optimise the sharpness of captured shocks and minimise processing blur are presented. The BOS results have a lower spatial resolution and sharpness than the schlieren images, but captured the model flow field features that were resolved by schlieren. A higher dynamic range was afforded for BOS due to the user-determined synthetic knife edge cut-off.</w:t>
      </w:r>
    </w:p>
    <w:p>
      <w:pPr>
        <w:pStyle w:val="Heading2"/>
      </w:pPr>
      <w:r>
        <w:t>927.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2026:</w:t>
      </w:r>
      <w:r>
        <w:t xml:space="preserve"> Indigenous Pastoral Counseling Model in the Evangelical Christian Church in Halmahera — https://doi.org/10.64753/jcasc.v11i1.4299</w:t>
      </w:r>
    </w:p>
    <w:p>
      <w:pPr/>
      <w:r>
        <w:rPr>
          <w:b/>
        </w:rPr>
        <w:t>Shared claim-specific concepts:</w:t>
      </w:r>
      <w:r>
        <w:t xml:space="preserve"> indigenous, resources; EU scope not established. This is a provisional connection, not an outcome finding.</w:t>
      </w:r>
    </w:p>
    <w:p>
      <w:pPr>
        <w:pStyle w:val="SourceNote"/>
      </w:pPr>
      <w:r>
        <w:rPr>
          <w:b/>
        </w:rPr>
        <w:t>Available abstract (not full text):</w:t>
      </w:r>
      <w:r>
        <w:t xml:space="preserve"> This research aimed to explore indigenous pastoral counseling practices in the Evangelical Christian Church in Halmahera, focusing on the integration of local cultural values into the process. The main problems identified were the lack of counseling approach contextual to local culture, as well as challenges such as limited resources and stigma regarding psychological problems. Specifically, this research mapped existing pastoral counseling practices, identified local cultural elements, and developed an effective indigenous model. A qualitative case study design was used to collect data through in-depth interviews with church leaders, pastoral counselors, and congregation members, as well as participant observation and document analysis. The results showed that integrating local cultural values, such as in-depth dialogue, family and community inclusion, as well as the use of cultural rituals and symbols, increased the effectiveness of pastoral counseling. This approach helped the congregation feel more holistically connected and supported. However, challenges such as limited resources and stigma remained barriers. A critical discussion connected the result to theories of culture-based counseling, emphasizing the importance of a holistic approach that integrated spiritual, psychological, and social aspects. The development of an indigenous pastoral counseling model contextualize</w:t>
      </w:r>
    </w:p>
    <w:p>
      <w:pPr/>
      <w:r>
        <w:rPr>
          <w:b/>
        </w:rPr>
        <w:t>POSSIBLE 2025:</w:t>
      </w:r>
      <w:r>
        <w:t xml:space="preserve"> TRANSFORMATIVE EMBODIMENT IN INDIGENOUS DANCES: TOWARDS A PERFORMATIVE SUSTAINABILITY MODEL — https://doi.org/10.52152/7cnmbj06</w:t>
      </w:r>
    </w:p>
    <w:p>
      <w:pPr/>
      <w:r>
        <w:rPr>
          <w:b/>
        </w:rPr>
        <w:t>Shared claim-specific concepts:</w:t>
      </w:r>
      <w:r>
        <w:t xml:space="preserve"> indigenous, resources, show; EU scope not established. This is a provisional connection, not an outcome finding.</w:t>
      </w:r>
    </w:p>
    <w:p>
      <w:pPr>
        <w:pStyle w:val="SourceNote"/>
      </w:pPr>
      <w:r>
        <w:rPr>
          <w:b/>
        </w:rPr>
        <w:t>Available abstract (not full text):</w:t>
      </w:r>
      <w:r>
        <w:t xml:space="preserve"> The study proposes a novel Performative Sustainability Model based on the analysis of meanings of symbols present in the Bukidnon Dances using Charles Sanders Peirce’ Semiotic Theory. The findings show that the symbols common in Bukidnon Indigenous are the foot, hand, head, and body movements of the dancers; the distance between them and the materials they use such as white and red cloths, and spear. These symbols represent the movements of certain animals in Mt. Kitanglad and the cultural practices of as courtship, rituals, war, and weaving. Animals being mimicked in the indigenous dances are found in the air, the trees, the waters, and the land. The cultural practices imitated in the dance movements are usually performed in reverence to guardians of nature, utilization of natural resources, natural tendencies of choosing purity and peace. The dances’ mimesis to the elements of nature signifies recognition and respect to the guardians of nature, and failing to perform these activities means the absence of guidance and providence. It means that the indigenous dances communicate the interdependence between animals and people on nature and transform attitude towards the environment. Based on this, a Performative Sustainability Model (PSM) is proposed. This research outcome offers a significant contribution to the area of environmental sustainability through art and culture as exe</w:t>
      </w:r>
    </w:p>
    <w:p>
      <w:pPr/>
      <w:r>
        <w:rPr>
          <w:b/>
        </w:rPr>
        <w:t>POSSIBLE 2023:</w:t>
      </w:r>
      <w:r>
        <w:t xml:space="preserve"> Indigenous Mentorship for the Health Sciences: An Appraisal of a Contemporary Model by Indigenous Stakeholders — https://doi.org/10.1080/10401334.2023.2230577</w:t>
      </w:r>
    </w:p>
    <w:p>
      <w:pPr/>
      <w:r>
        <w:rPr>
          <w:b/>
        </w:rPr>
        <w:t>Shared claim-specific concepts:</w:t>
      </w:r>
      <w:r>
        <w:t xml:space="preserve"> indigenous, primary; EU scope not established. This is a provisional connection, not an outcome finding.</w:t>
      </w:r>
    </w:p>
    <w:p>
      <w:pPr>
        <w:pStyle w:val="SourceNote"/>
      </w:pPr>
      <w:r>
        <w:rPr>
          <w:b/>
        </w:rPr>
        <w:t>Available abstract (not full text):</w:t>
      </w:r>
      <w:r>
        <w:t xml:space="preserve"> Construct: In 2021, Murry et al. put forward a model of Indigenous mentorship within the health sciences based on the behaviors of Indigenous mentors toward their Indigenous mentees. This study explored mentees’ endorsements and/or criticisms of the IM model and how IM constructs and behaviors described in the model benefited them. Background: Models of Indigenous mentorship have been developed previously yet have not yet been empirically examined, restricting our ability to measure or make claims as to their consequences, correlates, and antecedents. Approach: Interviews with six Indigenous mentees asked about their: 1) resonance with the model, 2) stories related to mentors’ behaviors, 3) perceived benefits of their mentors’ behaviors on their journey, and 4) components they felt were missing from the model. Data were analyzed using qualitative content analysis. Findings: Overall, the model resonated with participants. Mentees told stories about mentors engaging in the IM constructs practicing relationalism most frequently, followed by fostering Indigenous identity development, utilizing a mentee-centered focus, and imbuing criticality, advocacy, and abiding by Indigenous ethics. Benefits included improved career and work attitudes, motivation, and overall well-being, engaging in helping behaviors, and enhanced criticality. Recommendations to expand the model included incorpo</w:t>
      </w:r>
    </w:p>
    <w:p>
      <w:pPr/>
      <w:r>
        <w:rPr>
          <w:b/>
        </w:rPr>
        <w:t>POSSIBLE 2023:</w:t>
      </w:r>
      <w:r>
        <w:t xml:space="preserve"> A systematic review of modeling approaches for flexible energy resources — https://doi.org/10.1016/j.rser.2023.113541</w:t>
      </w:r>
    </w:p>
    <w:p>
      <w:pPr/>
      <w:r>
        <w:rPr>
          <w:b/>
        </w:rPr>
        <w:t>Shared claim-specific concepts:</w:t>
      </w:r>
      <w:r>
        <w:t xml:space="preserve"> shows, resources, energy, systems; EU scope not established. This is a provisional connection, not an outcome finding.</w:t>
      </w:r>
    </w:p>
    <w:p>
      <w:pPr>
        <w:pStyle w:val="SourceNote"/>
      </w:pPr>
      <w:r>
        <w:rPr>
          <w:b/>
        </w:rPr>
        <w:t>Available abstract (not full text):</w:t>
      </w:r>
      <w:r>
        <w:t xml:space="preserve"> Due to increasing amounts of energy being supplied by intermittent renewable energy sources, future energy systems need to be able to react flexibly to sudden changes. To address this challenge, a large body of research is devoted to improving the utilization of energy flexibility of various types of energy resources on the supply and demand side. This is commonly done by applying mathematical models. The objective of this paper is to review such models and identify common modeling approaches used to quantify and optimize the use of flexible energy resources. The literature review is conducted systematically, encompassing 215 publications that feature 694 models of different energy resources. The main distinction of this work, in comparison to other reviews on the topic of energy flexibility lies in its focus on the mathematical formulation of models of energy resources and the quantification of the models’ level of detail. The aim is to identify common modeling approaches and the corresponding research problems they address. The review shows that the majority of research efforts are directed towards the management and optimization of distributed energy resources. The most commonly employed modeling approach involves abstract black-box models with limited levels of detail. Linear programming and meta-heuristics are frequently used to optimize energy flexibility. A critical refl</w:t>
      </w:r>
    </w:p>
    <w:p>
      <w:pPr/>
      <w:r>
        <w:rPr>
          <w:b/>
        </w:rPr>
        <w:t>POSSIBLE 2023:</w:t>
      </w:r>
      <w:r>
        <w:t xml:space="preserve"> Indigenous Technology Empowerment Model: A Community-based Design Framework — https://doi.org/10.1109/ice/itmc58018.2023.10332432</w:t>
      </w:r>
    </w:p>
    <w:p>
      <w:pPr/>
      <w:r>
        <w:rPr>
          <w:b/>
        </w:rPr>
        <w:t>Shared claim-specific concepts:</w:t>
      </w:r>
      <w:r>
        <w:t xml:space="preserve"> shows, indigenous, systems; EU scope not established. This is a provisional connection, not an outcome finding.</w:t>
      </w:r>
    </w:p>
    <w:p>
      <w:pPr>
        <w:pStyle w:val="SourceNote"/>
      </w:pPr>
      <w:r>
        <w:rPr>
          <w:b/>
        </w:rPr>
        <w:t>Available abstract (not full text):</w:t>
      </w:r>
      <w:r>
        <w:t xml:space="preserve"> This paper addresses the lack of social and cultural inclusion in the design of systems and products based on emerging technologies. Through a review of existing design processes, and focusing on Virtual Reality (VR) and Indigenous Peoples as examples, we conclude that existing design approaches for such technologies are not socially and culturally inclusive, don’t consider users as a community with its protocols and knowledge, and are not suitable for marginalized groups such as Indigenous Peoples. Through a collaborative project aiming at a prototype VR gathering place for Indigenous communities, we investigate the needs and concerns of community members and propose a framework consisting of a new information system model and its design process. We refer to this framework as Indigenous Technology Empowerment Model (ITEM), which is implemented using a hierarchical community involvement approach and elements we call Participatory Action Unit (PAU). Our prototype development follows this framework, and a qualitative analysis of community participation shows the initial success of our approach in empowering the communities to play an active role in the design process and identify the important technical features to be worked on. Our research also identifies proper community training as an essential component of a community-based design process.</w:t>
      </w:r>
    </w:p>
    <w:p>
      <w:pPr/>
      <w:r>
        <w:rPr>
          <w:b/>
        </w:rPr>
        <w:t>POSSIBLE 2023:</w:t>
      </w:r>
      <w:r>
        <w:t xml:space="preserve"> Environmental Conservation Policy Model Based on the Protection of Indigenous Peoples in Indonesia — https://doi.org/10.47268/sasi.v29i1.1274</w:t>
      </w:r>
    </w:p>
    <w:p>
      <w:pPr/>
      <w:r>
        <w:rPr>
          <w:b/>
        </w:rPr>
        <w:t>Shared claim-specific concepts:</w:t>
      </w:r>
      <w:r>
        <w:t xml:space="preserve"> indigenous, resources, show, provide, primary; EU scope not established. This is a provisional connection, not an outcome finding.</w:t>
      </w:r>
    </w:p>
    <w:p>
      <w:pPr>
        <w:pStyle w:val="SourceNote"/>
      </w:pPr>
      <w:r>
        <w:rPr>
          <w:b/>
        </w:rPr>
        <w:t>Available abstract (not full text):</w:t>
      </w:r>
      <w:r>
        <w:t xml:space="preserve"> Introduction: Indigenous peoples are an order of society that existed even before the Indonesian nation was born. The Indonesian state recognizes the existence of indigenous peoples and their rights. The legal protection of indigenous peoples is the responsibility of the state as mandated by the constitution and other relevant laws and regulations regarding the management of natural resources. However, there are still conflicts between indigenous peoples, the government, and companies that have received management permits from the government.Purposes of the Research: This study aims to review and provide a policy model formulation regarding the protection of indigenous peoples in the context of environmental conservation.Methods of the Research: Researchers use normative legal research methods that examine through a statutory approach and a case approach. Legal materials are obtained through literature studies, both primary and secondary legal materials that are relevant to the problem under study.Results of the Research: The results show that currently the arrangements that are a form of recognition and protection of indigenous peoples are still scattered in many laws and regulations. Even though it has been regulated, the arrangement is still not enough, so a policy model for the protection of indigenous peoples is needed that also firmly provides protection in the context of</w:t>
      </w:r>
    </w:p>
    <w:p>
      <w:pPr/>
      <w:r>
        <w:rPr>
          <w:b/>
        </w:rPr>
        <w:t>POSSIBLE 2022:</w:t>
      </w:r>
      <w:r>
        <w:t xml:space="preserve"> Remote sensing, snow modelling, survey data and Indigenous Knowledge show how snow and sea-ice conditions affect Peary caribou (Rangifer tarandus pearyi) distribution and inter-island and island–mainland movements — https://doi.org/10.33265/polar.v41.7964</w:t>
      </w:r>
    </w:p>
    <w:p>
      <w:pPr/>
      <w:r>
        <w:rPr>
          <w:b/>
        </w:rPr>
        <w:t>Shared claim-specific concepts:</w:t>
      </w:r>
      <w:r>
        <w:t xml:space="preserve"> shows, indigenous, show; EU scope not established. This is a provisional connection, not an outcome finding.</w:t>
      </w:r>
    </w:p>
    <w:p>
      <w:pPr>
        <w:pStyle w:val="SourceNote"/>
      </w:pPr>
      <w:r>
        <w:rPr>
          <w:b/>
        </w:rPr>
        <w:t>Available abstract (not full text):</w:t>
      </w:r>
      <w:r>
        <w:t xml:space="preserve"> Accelerated warming of the Arctic has reduced sea ice and has increased the occurrence of winter extreme events like rain-on-snow and storms that impact snow-cover densification, affecting Peary caribou (Rangifer tarandus pearyi) seasonal movements and grazing conditions. We used caribou movements between Banks, Melville and Victoria islands and mainland Canada, documented from Indigenous Knowledge, to assess whether spatiotemporal trends in sea-ice anomalies (1983–2019) can be used as an indicator of caribou movement. We used the SNOWPACK model to evaluate how foraging conditions (as indexed by simulated snow properties) contribute to the prediction of caribou presence. Our results suggest that changes in sea-ice anomalies over time have impacted caribou crossings between islands: caribou no longer use areas with less sea ice whilst they continue to use areas with more sea ice. Our model evaluation shows that, when the simulated snow conditions are paired with other environmental variables, the ability of models to predict Peary caribou occurrence on land was enhanced across Banks and Melville islands. Overall, the land models suggest that caribou are more likely to occupy areas with lower density of snow accumulation and a majority of forb tundra with dwarf shrubs for Banks Island and cryptogam tundra, rush and grass for the Melville Island Complex. Our results suggest that f</w:t>
      </w:r>
    </w:p>
    <w:p>
      <w:pPr/>
      <w:r>
        <w:rPr>
          <w:b/>
        </w:rPr>
        <w:t>POSSIBLE 2022:</w:t>
      </w:r>
      <w:r>
        <w:t xml:space="preserve"> NONLINEAR GROWTH MODELS FOR INDIGENOUS VIETNAMESE RI CHICKEN — https://doi.org/10.36899/japs.2022.6.0562</w:t>
      </w:r>
    </w:p>
    <w:p>
      <w:pPr/>
      <w:r>
        <w:rPr>
          <w:b/>
        </w:rPr>
        <w:t>Shared claim-specific concepts:</w:t>
      </w:r>
      <w:r>
        <w:t xml:space="preserve"> indigenous, industry; EU scope not established. This is a provisional connection, not an outcome finding.</w:t>
      </w:r>
    </w:p>
    <w:p>
      <w:pPr>
        <w:pStyle w:val="SourceNote"/>
      </w:pPr>
      <w:r>
        <w:rPr>
          <w:b/>
        </w:rPr>
        <w:t>Available abstract (not full text):</w:t>
      </w:r>
      <w:r>
        <w:t xml:space="preserve"> Chicken growth performance is an important economic trait, so finding the growth curve is essential for the chicken industry including indigenous chicken. Vietnam has many different native chicken breeds and Ri is one of the most famous native chickens. The objective of this study was to find out the best model to estimate the growth of Ri chicken. The body weight of 358 Ri chicken was measured every week until week 20 of age and growth data was analyzed in R using six mathematical functions (Bertalanffy, Bridges, Janoschek, Gompertz, Logistic, and Richards). The results showed that the best models to describe the growth of Ri males and females were Gompertz and Bridges, respectively. The upper asymptotic body weight (α) was estimated for males from 2,130 g (Logistic) to 2,600 g (Bertalanffy), whereas this α value for females was from 1,500 g (Logistic) and 1,816 g (Bertalanffy). Age at the start of the growth acceleration phase was estimated from 2.80 to 3.90 weeks for males and from 2.00 to 3.30 weeks for females. The inflection point for males (7.54 to 9.72 weeks of age) was higher than for females (7.10 to 9.43 weeks of age). Age at the end of the growth deceleration phase was estimated from 16.65 to 24.80 weeks for males and from 12.70 to 25.15 weeks for females. In conclusion, the best model for reporting the Ri chickens’ growth curve was the Gompertz for males and Bridge</w:t>
      </w:r>
    </w:p>
    <w:p>
      <w:pPr/>
      <w:r>
        <w:rPr>
          <w:b/>
        </w:rPr>
        <w:t>POSSIBLE 2021:</w:t>
      </w:r>
      <w:r>
        <w:t xml:space="preserve"> A robust model for aggregated bidding of energy storages and wind resources in the joint energy and reserve markets — https://doi.org/10.1016/j.energy.2021.121735</w:t>
      </w:r>
    </w:p>
    <w:p>
      <w:pPr/>
      <w:r>
        <w:rPr>
          <w:b/>
        </w:rPr>
        <w:t>Shared claim-specific concepts:</w:t>
      </w:r>
      <w:r>
        <w:t xml:space="preserve"> resources, energy, service, show, robust, resource; EU scope not established. This is a provisional connection, not an outcome finding.</w:t>
      </w:r>
    </w:p>
    <w:p>
      <w:pPr>
        <w:pStyle w:val="SourceNote"/>
      </w:pPr>
      <w:r>
        <w:rPr>
          <w:b/>
        </w:rPr>
        <w:t>Available abstract (not full text):</w:t>
      </w:r>
      <w:r>
        <w:t xml:space="preserve"> The high reliability and flexibility of Battery Energy Storage (BES) resources in comparison with other renewable technologies promote the development of this technology in smart grids. The fast response of BES to load variations could help the power system operators to maintain the balance of generation and consumption in real-time, and improve the flexibility of the smart grid, effectively. In this work, a new model is presented that determines the aggregated scheduling of BES and Wind Power Resource (WPR) in the joint energy and reserve markets. To evaluate the performance of BES in different markets, the proposed model is divided into day-ahead and real-time planning horizons. According to market prices, ramp rates, marginal costs, and technical constraints of units, the optimal participation levels in different markets are determined. The deployed power in real-time and wind power are considered as the uncertain parameters and the Robust Optimization (RO) framework is proposed to manage the related financial risk based on the worst-case realizations of uncertain parameters. The robust strategy is formulated based on the Mixed Integer Linear Programming (MILP) technique, which can be solved via the branch-and-bound method. Finally, the performance and effectiveness of the model are analyzed via different case studies. Simulation results show that the day-ahead and real-time</w:t>
      </w:r>
    </w:p>
    <w:p>
      <w:pPr/>
      <w:r>
        <w:rPr>
          <w:b/>
        </w:rPr>
        <w:t>POSSIBLE 2021:</w:t>
      </w:r>
      <w:r>
        <w:t xml:space="preserve"> Modelling and Characterisation of Flexibility From Distributed Energy Resources — https://doi.org/10.1109/tpwrs.2021.3096971</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Harnessing flexibility from distributed energy resources (DER) to participate in various markets while accounting for relevant technical and commercial constraints is essential for the development of low-carbon grids. However, there is no clear definition or even description of the salient features of aggregated DER flexibility, including its steady-state and dynamic features and how these are impacted by network constraints and market requirements. This paper proposes a comprehensive DER flexibility modelling and characterisation framework that is based on the concept ofnodal operating envelope(NOE). In particular, capacity, ramp, duration and cost are identified as key flexibility metrics and associated with different but consistent NOEs describingcapability,feasibility,ramp,duration,economic,technicalandcommercial flexibilityfeatures. These NOEs, which conceptually arise from a Venn diagram, can be built via optimal power flow (OPF) analysis, visualised in the active-reactive power space, and used by different stakeholders. Results from a canonical test system and a real distribution system illustrate the value and applicability of the proposed framework to model and characterise provision of flexibility and market services from DER for different use cases.</w:t>
      </w:r>
    </w:p>
    <w:p>
      <w:pPr/>
      <w:r>
        <w:rPr>
          <w:b/>
        </w:rPr>
        <w:t>POSSIBLE 2021:</w:t>
      </w:r>
      <w:r>
        <w:t xml:space="preserve"> Optimal Operation of Energy Hubs With Large-Scale Distributed Energy Resources for Distribution Network Congestion Management — https://doi.org/10.1109/tste.2021.3064375</w:t>
      </w:r>
    </w:p>
    <w:p>
      <w:pPr/>
      <w:r>
        <w:rPr>
          <w:b/>
        </w:rPr>
        <w:t>Shared claim-specific concepts:</w:t>
      </w:r>
      <w:r>
        <w:t xml:space="preserve"> resources, energy, systems, show, provide; EU scope not established. This is a provisional connection, not an outcome finding.</w:t>
      </w:r>
    </w:p>
    <w:p>
      <w:pPr>
        <w:pStyle w:val="SourceNote"/>
      </w:pPr>
      <w:r>
        <w:rPr>
          <w:b/>
        </w:rPr>
        <w:t>Available abstract (not full text):</w:t>
      </w:r>
      <w:r>
        <w:t xml:space="preserve"> Congestion problems might occur in distribution networks as the penetration of distributed energy resources (DERs) progresses. This study focuses on the complementarity of multiple energy resources in energy hubs (EHs) to solve possible distribution network congestions. First, we consider an EH in which combined cooling, heating and power (CCHP) units and heat pumps are integrated with renewable energy resources. The EH models the intrinsic coupling relationship among various energy carriers, forming a flexible operation where electricity, natural gas, cooling and heat can complement each other. Next, an optimal operation strategy of multiple energy hubs enables gas-to-electricity to provide local energy supply for EH during electricity peak periods, and consume renewable energy generation by the complementarity of electricity, heat and cooling. In addition, the uncertainty of renewable energy resources is taken into account via scenario-based stochastic programming. Numerical results show that the proposed operation strategy explores EHs' operation flexibility to mitigate distribution network congestion when we consider high renewable energy penetration in power systems.</w:t>
      </w:r>
    </w:p>
    <w:p>
      <w:pPr/>
      <w:r>
        <w:rPr>
          <w:b/>
        </w:rPr>
        <w:t>POSSIBLE 2021:</w:t>
      </w:r>
      <w:r>
        <w:t xml:space="preserve"> Exploring the driving forces of distributed energy resources in China: Using a semiparametric regression model — https://doi.org/10.1016/j.energy.2021.121452</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pStyle w:val="Heading2"/>
      </w:pPr>
      <w:r>
        <w:t>928.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r>
        <w:rPr>
          <w:b/>
        </w:rPr>
        <w:t>POSSIBLE 2023:</w:t>
      </w:r>
      <w:r>
        <w:t xml:space="preserve"> European Federation of Neurological Societies: parent to the European Academy of Neurology — https://doi.org/10.1111/ene.15680</w:t>
      </w:r>
    </w:p>
    <w:p>
      <w:pPr/>
      <w:r>
        <w:rPr>
          <w:b/>
        </w:rPr>
        <w:t>Shared claim-specific concepts:</w:t>
      </w:r>
      <w:r>
        <w:t xml:space="preserve"> creation, scientific, important, political, level; EU scope visible. This is a provisional connection, not an outcome finding.</w:t>
      </w:r>
    </w:p>
    <w:p>
      <w:pPr>
        <w:pStyle w:val="SourceNote"/>
      </w:pPr>
      <w:r>
        <w:rPr>
          <w:b/>
        </w:rPr>
        <w:t>Available abstract (not full text):</w:t>
      </w:r>
      <w:r>
        <w:t xml:space="preserve"> BACKGROUND AND PURPOSE: The European Academy of Neurology (EAN) is a vigorous organization of great importance for all neurologists and for our patients. But how did neurology get organized at the European level? That is the topic of this article. METHODS: Most important sources are memories and documents of the author, who was a moving force in developing the European Federation of Neurological Societies (EFNS), one of the two parents of the EAN. RESULTS: All European national neurological societies and the World Federation of Neurology were involved in a difficult political interaction resulting in the EFNS. Organizational and administrative development was the initial task. Scientific panels led by a scientific committee, teaching courses for young neurologists, teaching courses in middle and eastern Europe and successful congresses were developed. The purchase of headquarters as well as the creation of a fully owned scientific journal (European Journal of Neurology) were important and financially beneficial. The EFNS also promoted the formation of the European Brain Council and of the patient organization European Federation of Neurological Associations. All these elements have continued after fusion with the European Neurological Society to form the EAN. CONCLUSION: The very successful development of the EFNS has largely been carried on into the EAN.</w:t>
      </w:r>
    </w:p>
    <w:p>
      <w:pPr/>
      <w:r>
        <w:rPr>
          <w:b/>
        </w:rPr>
        <w:t>POSSIBLE 2023:</w:t>
      </w:r>
      <w:r>
        <w:t xml:space="preserve"> Firm value determinants: Panel evidence from European listed companies — https://doi.org/10.5937/straman2300052v</w:t>
      </w:r>
    </w:p>
    <w:p>
      <w:pPr/>
      <w:r>
        <w:rPr>
          <w:b/>
        </w:rPr>
        <w:t>Shared claim-specific concepts:</w:t>
      </w:r>
      <w:r>
        <w:t xml:space="preserve"> panel, strategy, level; EU scope visible. This is a provisional connection, not an outcome finding.</w:t>
      </w:r>
    </w:p>
    <w:p>
      <w:pPr>
        <w:pStyle w:val="SourceNote"/>
      </w:pPr>
      <w:r>
        <w:rPr>
          <w:b/>
        </w:rPr>
        <w:t>Available abstract (not full text):</w:t>
      </w:r>
      <w:r>
        <w:t xml:space="preserve"> Background: To manage growth opportunities effectively and to make a significant impact on superior longterm performance, it is necessary to analyze firm value and diagnose its determinants. Increasing profit, providing prosperity to the company's stakeholders, and improving company value are the goals of every company's business. Purpose: The paper aims to build a model of the company's optimal value by assessing company performance based on financial statement analysis of European companies over the period 2015-2020. Study design/methodology/approach: The impact of financial indicators such as financial leverage, profitability, size, liquidity, growth, and asset tangibility on company value was thoroughly considered. The empirical research was founded on a sample of 158 Eastern and Western European companies, generating 948 observations. Panel regression analysis was conducted. Findings/conclusions: The obtained results revealed that debt-to-assets ratio, return on equity, and assets tangibility have a significant adverse effect on company value, whereas the return on assets and firm size have a significant favorable effect. The obtained conclusions should serve as a beneficial tool for the strategy of reaching the targeted market company's value and ensuring the company's future viability by the market. Hence, stakeholders could assess the perspective of the future company's</w:t>
      </w:r>
    </w:p>
    <w:p>
      <w:pPr/>
      <w:r>
        <w:rPr>
          <w:b/>
        </w:rPr>
        <w:t>POSSIBLE 2022:</w:t>
      </w:r>
      <w:r>
        <w:t xml:space="preserve"> Short Food Supply Chains in Europe: Scientific Research Directions — https://doi.org/10.3390/su14063602</w:t>
      </w:r>
    </w:p>
    <w:p>
      <w:pPr/>
      <w:r>
        <w:rPr>
          <w:b/>
        </w:rPr>
        <w:t>Shared claim-specific concepts:</w:t>
      </w:r>
      <w:r>
        <w:t xml:space="preserve"> scientific, important, contribution; EU scope visible. This is a provisional connection, not an outcome finding.</w:t>
      </w:r>
    </w:p>
    <w:p>
      <w:pPr>
        <w:pStyle w:val="SourceNote"/>
      </w:pPr>
      <w:r>
        <w:rPr>
          <w:b/>
        </w:rPr>
        <w:t>Available abstract (not full text):</w:t>
      </w:r>
      <w:r>
        <w:t xml:space="preserve"> In the food sector, new configurations of supply chains, as opposed to global conventional ones, are drawing the attention of researchers and institutions all over the world. These are presented as a panacea for the recovery of rural economies and, in general, of food system sustainability. In this context the short food supply chains (SFSCs) become relevant, as happens in Europe, where strategies and regulations designed on their implementation were adopted. Recognising that scientific research always plays an important role in guiding institutions’ choices in many fields, it seems important to focus on how SFSCs are considered in the European academic panorama. Therefore, this contribution presents a study performed on a sample of 108 papers published in journals during the last decade. The findings concerning the investigated issues and the approaches to analysing SFSC development and effects are reported from both the producer and consumer perspective. The review strongly emphasizes the factors affecting participation in SFSCs. Moreover, it highlights that the positive perception of SFSC sustainability is not based on scientific evidence. The analysis outlines current research directions and identifies challenges that are still open in order to offer researchers food for thought with a view to developing further future insights.</w:t>
      </w:r>
    </w:p>
    <w:p>
      <w:pPr/>
      <w:r>
        <w:rPr>
          <w:b/>
        </w:rPr>
        <w:t>POSSIBLE 2021:</w:t>
      </w:r>
      <w:r>
        <w:t xml:space="preserve"> Scientific Opinion of the Scientific Panel on Plant Protection Products and their Residues (PPR Panel) on testing and interpretation of comparative in vitro metabolism studies — https://doi.org/10.2903/j.efsa.2021.6970</w:t>
      </w:r>
    </w:p>
    <w:p>
      <w:pPr/>
      <w:r>
        <w:rPr>
          <w:b/>
        </w:rPr>
        <w:t>Shared claim-specific concepts:</w:t>
      </w:r>
      <w:r>
        <w:t xml:space="preserve"> scientific, panel, important, strategy, level; EU scope not established. This is a provisional connection, not an outcome finding.</w:t>
      </w:r>
    </w:p>
    <w:p>
      <w:pPr>
        <w:pStyle w:val="SourceNote"/>
      </w:pPr>
      <w:r>
        <w:rPr>
          <w:b/>
        </w:rPr>
        <w:t>Available abstract (not full text):</w:t>
      </w:r>
      <w:r>
        <w:t xml:space="preserve"> Abstract EFSA asked the Panel on Plant Protection Products and their residues to deliver a Scientific Opinion on testing and interpretation of comparative in vitro metabolism studies for both new active substances and existing ones. The main aim of comparative in vitro metabolism studies of pesticide active substances is to evaluate whether all significant metabolites formed in the human in vitro test system, as a surrogate of the in vivo situation, are also present at comparable level in animal species tested in toxicological studies and, therefore, if their potential toxicity has been appropriately covered by animal studies. The studies may also help to decide which animal model, with regard to a particular compound, is the most relevant for humans. In the experimental strategy, primary hepatocytes in suspension or culture are recommended since hepatocytes are considered the most representative in vitro system for prediction of in vivo metabolites. The experimental design of 3 × 3 × 3 (concentrations, time points, technical replicates, on pooled hepatocytes) will maximise the chance to identify unique (UHM) and disproportionate (DHM) human metabolites. When DHM and UHM are being assessed, test item‐related radioactivity recovery and metabolite profile are the most important parameters. Subsequently, structural characterisation of the assigned metabolites is performed with app</w:t>
      </w:r>
    </w:p>
    <w:p>
      <w:pPr/>
      <w:r>
        <w:rPr>
          <w:b/>
        </w:rPr>
        <w:t>POSSIBLE 2021:</w:t>
      </w:r>
      <w:r>
        <w:t xml:space="preserve"> Collaboration towards value creation for end-of-life solar photovoltaic panel in Ghana — https://doi.org/10.1016/j.jclepro.2021.129969</w:t>
      </w:r>
    </w:p>
    <w:p>
      <w:pPr/>
      <w:r>
        <w:rPr>
          <w:b/>
        </w:rPr>
        <w:t>Shared claim-specific concepts:</w:t>
      </w:r>
      <w:r>
        <w:t xml:space="preserve"> creation, panel, need; EU scope not established. This is a provisional connection, not an outcome finding.</w:t>
      </w:r>
    </w:p>
    <w:p>
      <w:pPr>
        <w:pStyle w:val="SourceNote"/>
      </w:pPr>
      <w:r>
        <w:rPr>
          <w:b/>
        </w:rPr>
        <w:t>Available abstract (not full text):</w:t>
      </w:r>
      <w:r>
        <w:t xml:space="preserve"> This paper identifies value creation strategies and the role of stakeholders in advancing sustainable practices for end-of-life (henceforth EOL) solar photovoltaic panels (solar PV) in Ghana. This is preceded by an overview of the global outlook of sustainable practices for EOL solar PV as well as how these can be promoted in a developing country like Ghana. The framework discusses and promotes efficient collaboration towards value creation by stakeholders in advancing sustainable practices for end-of-life solar PV in Ghana. The methodology centers on an integrative review aimed at identifying the different aspects leading to a value creation framework for EOL solar PV. The paper discusses a hybrid public-private partnership (HPPP), which includes the types of synergy between different actors as well as their clear roles. The core options available to government, businesses and end-users in the value creation includes the provision of a technical solution, improved logistics and innovative business opportunities. The aforementioned options will achieve reduction, reuse, repair and/or recycling, targeted at promoting a unique collaboration between all relevant stakeholders. Furthermore, such options present an opportunity to promote awareness utilizing education in sustainability, thus promoting the need for extending the useful lifecycle of the products.</w:t>
      </w:r>
    </w:p>
    <w:p>
      <w:pPr/>
      <w:r>
        <w:rPr>
          <w:b/>
        </w:rPr>
        <w:t>POSSIBLE 2021:</w:t>
      </w:r>
      <w:r>
        <w:t xml:space="preserve"> Role of Knowledge Creation and Absorptive Capacity: A Panel Data Study of Innovation — https://doi.org/10.33215/sjom.v4i2.579</w:t>
      </w:r>
    </w:p>
    <w:p>
      <w:pPr/>
      <w:r>
        <w:rPr>
          <w:b/>
        </w:rPr>
        <w:t>Shared claim-specific concepts:</w:t>
      </w:r>
      <w:r>
        <w:t xml:space="preserve"> creation, panel, innovation; EU scope not established. This is a provisional connection, not an outcome finding.</w:t>
      </w:r>
    </w:p>
    <w:p>
      <w:pPr>
        <w:pStyle w:val="SourceNote"/>
      </w:pPr>
      <w:r>
        <w:rPr>
          <w:b/>
        </w:rPr>
        <w:t>Available abstract (not full text):</w:t>
      </w:r>
      <w:r>
        <w:t xml:space="preserve"> Purpose- Knowledge creation refers to the ability of firms to create new knowledge that starts from individuals to integrating the firms and then the overall economy. This study suggests that knowledge acquisition in a country has a significant relationship with innovative performance. Design/Methodology- Data from 48 highly HDI countries is taken from World Bank and World Economic Forum. Based on 480 country-year observations in a panel mediator model, it is revealed that the national efforts of boosting knowledge acquisition influence the firms’ innovative performance. Findings- Further, it is found that absorptive capacity in the employability of knowledgeable workers works as a mediator between knowledge acquisition and innovation. Whereby higher knowledge acquisition leads to higher absorptive capacity and higher innovation. Practical Implications- This study builds a quantitative model for the macroeconomic context of knowledge-based view.</w:t>
      </w:r>
    </w:p>
    <w:p>
      <w:pPr/>
      <w:r>
        <w:rPr>
          <w:b/>
        </w:rPr>
        <w:t>POSSIBLE 2020:</w:t>
      </w:r>
      <w:r>
        <w:t xml:space="preserve"> IMPORTANT CONTRIBUTION TO THE CREATION OF THEATRE ENCYCLOPEDIA OF TATARSTAN — https://doi.org/10.26907/2311-2042-2020-14-1-161-170</w:t>
      </w:r>
    </w:p>
    <w:p>
      <w:pPr/>
      <w:r>
        <w:rPr>
          <w:b/>
        </w:rPr>
        <w:t>Shared claim-specific concepts:</w:t>
      </w:r>
      <w:r>
        <w:t xml:space="preserve"> creation, important, contribution; EU scope not established. This is a provisional connection, not an outcome finding.</w:t>
      </w:r>
    </w:p>
    <w:p>
      <w:pPr>
        <w:pStyle w:val="SourceNote"/>
      </w:pPr>
      <w:r>
        <w:rPr>
          <w:b/>
        </w:rPr>
        <w:t>Available abstract (not full text):</w:t>
      </w:r>
      <w:r>
        <w:t xml:space="preserve"> The review notes the combination of different approaches in the analysis of the Tatar theater scenography (cultural-historical, art history), the use of a wide range of sources, and the painstaking work on the systematization of factual material.In the monograph, the analysis of scenography is presented as a history of the search and struggle for the renewal of the theater at the turn of the era, unique in its complexity, characterized by radical contradictions and the struggle of ideas.The review highlights the significance of the research findings on the national identity of the Tatar theater scenography.</w:t>
      </w:r>
    </w:p>
    <w:p>
      <w:pPr/>
      <w:r>
        <w:rPr>
          <w:b/>
        </w:rPr>
        <w:t>POSSIBLE 2020:</w:t>
      </w:r>
      <w:r>
        <w:t xml:space="preserve"> Hunters as citizen scientists: Contributions to biodiversity monitoring in Europe — https://doi.org/10.1016/j.gecco.2020.e01077</w:t>
      </w:r>
    </w:p>
    <w:p>
      <w:pPr/>
      <w:r>
        <w:rPr>
          <w:b/>
        </w:rPr>
        <w:t>Shared claim-specific concepts:</w:t>
      </w:r>
      <w:r>
        <w:t xml:space="preserve"> scientific, community, comprehensive; EU scope visible. This is a provisional connection, not an outcome finding.</w:t>
      </w:r>
    </w:p>
    <w:p>
      <w:pPr>
        <w:pStyle w:val="SourceNote"/>
      </w:pPr>
      <w:r>
        <w:rPr>
          <w:b/>
        </w:rPr>
        <w:t>Available abstract (not full text):</w:t>
      </w:r>
      <w:r>
        <w:t xml:space="preserve"> Monitoring biodiversity characteristics at large scales and with adequate resolution requires considerable effort and resources. Overall, there is clearly a huge scope for European hunters, a special and often overlooked group of citizen scientist, to contribute even more to biodiversity monitoring, especially because of their presence across the entire European landscape. Using the Essential Biodiversity Variables (EBVs) framework we reviewed the published and grey literature and contacted experts to provide a comprehensive overview of hunters’ contributions to biodiversity monitoring. We examined the methods used to collect data in hunter-based monitoring, the geographic and taxonomic extent of such contributions and the scientific output stemming from hunter-based monitoring data. Our study suggests that hunter-based monitoring is widely distributed across Europe and across taxa as 32 out of the 36 European countries included in our analysis involve hunters in the monitoring of at least one species group with ungulates and small game species groups which have the widest hunter-based monitoring coverage. We found that it is possible to infer characteristics on Genetic composition, Species population, Species traits and Community composition with data that are being routinely collected by hunters in at least some countries. The main types of data provided are hunting bags data</w:t>
      </w:r>
    </w:p>
    <w:p>
      <w:pPr/>
      <w:r>
        <w:rPr>
          <w:b/>
        </w:rPr>
        <w:t>POSSIBLE 2020:</w:t>
      </w:r>
      <w:r>
        <w:t xml:space="preserve"> Characterization of Globally Important Agricultural Heritage Systems (GIAHS) in Europe — https://doi.org/10.3390/su12041611</w:t>
      </w:r>
    </w:p>
    <w:p>
      <w:pPr/>
      <w:r>
        <w:rPr>
          <w:b/>
        </w:rPr>
        <w:t>Shared claim-specific concepts:</w:t>
      </w:r>
      <w:r>
        <w:t xml:space="preserve"> panel, important, contribution, facilitate; EU scope visible. This is a provisional connection, not an outcome finding.</w:t>
      </w:r>
    </w:p>
    <w:p>
      <w:pPr>
        <w:pStyle w:val="SourceNote"/>
      </w:pPr>
      <w:r>
        <w:rPr>
          <w:b/>
        </w:rPr>
        <w:t>Available abstract (not full text):</w:t>
      </w:r>
      <w:r>
        <w:t xml:space="preserve"> The recognition and safeguarding of agricultural heritage in Europe are new concepts that are gaining attention due to the contribution they make to sustainability. Of the 57 Globally Important Agricultural Heritage Systems (GIAHS) that exist in the world today, only six have been designated in Europe. Through a qualitative analysis of the proposal documents submitted by these six European GIAHS to the Food and Agriculture Organization of the United Nations (FAO) during the designation process, this study provides a comparative characterization of these sites supported by expert assessment. During the first phase, 24 specific sub-criteria were observed based on the five main criteria that a site has to meet in order to demonstrate its global relevance as an agricultural heritage of humanity. The relevance of the resulting sub-criteria was then assessed by a Delphi panel of experts and the validated ones were applied in an assessment of the six European sites. The European GIAHS sites are characterized by the high value of their cultural landscapes’ evolution, modeled by traditional and adaptive agriculture knowledge and practices that are promoted and maintained thanks to organized and committed social organizations. The results of structuring of sub-criteria can facilitate the application of other possible European GIAHS sites.</w:t>
      </w:r>
    </w:p>
    <w:p>
      <w:pPr/>
      <w:r>
        <w:rPr>
          <w:b/>
        </w:rPr>
        <w:t>POSSIBLE 2020:</w:t>
      </w:r>
      <w:r>
        <w:t xml:space="preserve"> Agricultural Entrepreneurship in the European Union: Contributions for a Sustainable Development — https://doi.org/10.3390/app10062080</w:t>
      </w:r>
    </w:p>
    <w:p>
      <w:pPr/>
      <w:r>
        <w:rPr>
          <w:b/>
        </w:rPr>
        <w:t>Shared claim-specific concepts:</w:t>
      </w:r>
      <w:r>
        <w:t xml:space="preserve"> creation, scientific, viewed, contribution; EU scope visible. This is a provisional connection, not an outcome finding.</w:t>
      </w:r>
    </w:p>
    <w:p>
      <w:pPr>
        <w:pStyle w:val="SourceNote"/>
      </w:pPr>
      <w:r>
        <w:rPr>
          <w:b/>
        </w:rPr>
        <w:t>Available abstract (not full text):</w:t>
      </w:r>
      <w:r>
        <w:t xml:space="preserve"> Entrepreneurship is sometimes seen as a glimmer of hope which may bring about some contribution towards improving economic dynamics and performance, specifically in the creation of employment by young people, in general, with further educational training, greater flexibility and who are better prepared for working with new technologies. However, entrepreneurship in the agricultural sector is, in certain circumstances, viewed as being something incompatible or, at least, difficult to implement. More scientific studies in these fields could provide interesting contributions on the road to highlighting new ideas inside the farming sector. In this framework, the objective of this study is to explore the entrepreneurship dimensions within the European Union agriculture towards a more sustainable sector. In fact, without an economic dimension in farm management, its sustainability in the medium and long run may be compromised, increasing the abandonment of farming, namely in more disadvantaged regions. For this, the literature which is available on the platform Web of Science relating to the following three topics was initially analysed: entrepreneurship, agriculture, and the European Union. This literature was clustered through the VOSviewer software, an interesting tool for performing bibliometric analysis. Secondly, statistical information related to European Union agricultural en</w:t>
      </w:r>
    </w:p>
    <w:p>
      <w:pPr>
        <w:pStyle w:val="Heading2"/>
      </w:pPr>
      <w:r>
        <w:t>929.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2026:</w:t>
      </w:r>
      <w:r>
        <w:t xml:space="preserve"> Short-term renewable energy forecast errors in Europe: Spatial dependence and smoothing potential — https://doi.org/10.1016/j.renene.2026.126047</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forecast errors result in costly countermeasures, including countertrading, redispatch, and increased operating reserves. Correlated regional forecast errors increase risks in renewable energy portfolios, yet their spatial dependencies are poorly understood. Therefore, we derive site-specific correlation lengths and assess the potential for spatial smoothing of forecast errors across Europe for intraday up to two-days-ahead lead time. By increasing site separation beyond 150 km, weather-driven renewable energy forecast errors effectively become uncorrelated, reducing mean absolute errors and extreme forecast error events by over 33% for wind energy and approximately 25% for solar energy at day-ahead lead times. Additionally, accounting for principal error directions can reduce the necessary site separation for effective error mitigation. Finally, we evaluate current and planned renewable energy sites in Europe based on these findings and identify regions with elevated forecast errors. This study provides a characterization of renewable energy forecast errors in Europe and offers actionable insights for decision-makers designing resilient renewable energy portfolios.</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Friend, Not Foe - Energy Prices and European Monetary Policy — https://doi.org/10.2139/ssrn.4892583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Energy Economic Development in Europe — https://doi.org/10.3390/books978-3-0365-7112-6</w:t>
      </w:r>
    </w:p>
    <w:p>
      <w:pPr/>
      <w:r>
        <w:rPr>
          <w:b/>
        </w:rPr>
        <w:t>Shared claim-specific concepts:</w:t>
      </w:r>
      <w:r>
        <w:t xml:space="preserve"> energy, efficiency, also;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2022:</w:t>
      </w:r>
      <w:r>
        <w:t xml:space="preserve"> Primary Energy Factors for Electricity Production in Europe — https://doi.org/10.3390/en16010093</w:t>
      </w:r>
    </w:p>
    <w:p>
      <w:pPr/>
      <w:r>
        <w:rPr>
          <w:b/>
        </w:rPr>
        <w:t>Shared claim-specific concepts:</w:t>
      </w:r>
      <w:r>
        <w:t xml:space="preserve"> finally, energy, efficiency, also; EU scope visible. This is a provisional connection, not an outcome finding.</w:t>
      </w:r>
    </w:p>
    <w:p>
      <w:pPr>
        <w:pStyle w:val="SourceNote"/>
      </w:pPr>
      <w:r>
        <w:rPr>
          <w:b/>
        </w:rPr>
        <w:t>Available abstract (not full text):</w:t>
      </w:r>
      <w:r>
        <w:t xml:space="preserve"> The European Union (EU) has committed to supporting the United Nations’ efforts in line with the Paris Agreement for addressing climate change and has set ambitious targets to reduce primary energy consumption and emissions. Similar commitments have also been set by EU-27 member states. For this purpose, it is necessary to use a primary energy factor (PEF) for converting electricity use to primary energy units and for assessing energy conservation measures. Lower PEFs reflect efficiency improvements in power generation, an increased share of renewable energy sources in the fuel mix for electricity generation, and lower transmission and distribution losses. Over the past decades, there have been intensive efforts and notable progress in the EU-27 for increasing the use of renewables in the energy mix for electricity generation. However, the EU default PEF value for electricity was not regularly updated and remained at 2.5 for several years till it was finally recalculated at 2.1 in the 2018 recast of the Energy Efficiency Directive. This paper reviews different calculation options for estimating the PEF for electricity from official annual statistics, presents the historical evolution of the calculated conversion factors, and provides simple linear correlations for projecting the PEF values that can be used to facilitate more-realistic forward-looking calculations and assess nat</w:t>
      </w:r>
    </w:p>
    <w:p>
      <w:pPr/>
      <w:r>
        <w:rPr>
          <w:b/>
        </w:rPr>
        <w:t>POSSIBLE 2022:</w:t>
      </w:r>
      <w:r>
        <w:t xml:space="preserve"> Changing European Energy Policy : The Challenge of the Energy Price Storm — https://doi.org/10.18096/tmp.2022.02.04</w:t>
      </w:r>
    </w:p>
    <w:p>
      <w:pPr/>
      <w:r>
        <w:rPr>
          <w:b/>
        </w:rPr>
        <w:t>Shared claim-specific concepts:</w:t>
      </w:r>
      <w:r>
        <w:t xml:space="preserve"> finally, energy, also, target; EU scope visible. This is a provisional connection, not an outcome finding.</w:t>
      </w:r>
    </w:p>
    <w:p>
      <w:pPr>
        <w:pStyle w:val="SourceNote"/>
      </w:pPr>
      <w:r>
        <w:rPr>
          <w:b/>
        </w:rPr>
        <w:t>Available abstract (not full text):</w:t>
      </w:r>
      <w:r>
        <w:t xml:space="preserve"> This paper examines the roots of the European energy crisis within the period of 2021–2022, the reasons for the European gas shortage, the effect of the Russian invasion of Ukraine, and the potential EU responses. The current crisis is a result of several factors, starting from the Covid-19 pandemic in 2020 and amplified severely by the current conflict between Russia and Ukraine. In addition, five reasons were identified as worsening the EU energy situation. These include market-based gas prices, external dependency, global imbalances, the EU's climate policies, and low European energy stocks. The Russian invasion of Ukraine put pressure on the oil and gas supplies to the EU. This situation led the EU to introduce sanctions and measures that target increasing the share of renewable energy while reducing the dependence on Russian gas. Finally, we shed light on the energy transition as an opportunity to deal with climate change and limited energy resources while also showing the challenges that would hinder a just transition.</w:t>
      </w:r>
    </w:p>
    <w:p>
      <w:pPr/>
      <w:r>
        <w:rPr>
          <w:b/>
        </w:rPr>
        <w:t>POSSIBLE 2022:</w:t>
      </w:r>
      <w:r>
        <w:t xml:space="preserve"> The politics of vaccine hesitancy in Europe — https://doi.org/10.1093/eurpub/ckac041</w:t>
      </w:r>
    </w:p>
    <w:p>
      <w:pPr/>
      <w:r>
        <w:rPr>
          <w:b/>
        </w:rPr>
        <w:t>Shared claim-specific concepts:</w:t>
      </w:r>
      <w:r>
        <w:t xml:space="preserve"> finally, also, but; EU scope visible. This is a provisional connection, not an outcome finding.</w:t>
      </w:r>
    </w:p>
    <w:p>
      <w:pPr>
        <w:pStyle w:val="SourceNote"/>
      </w:pPr>
      <w:r>
        <w:rPr>
          <w:b/>
        </w:rPr>
        <w:t>Available abstract (not full text):</w:t>
      </w:r>
      <w:r>
        <w:t xml:space="preserve"> BACKGROUND: Vaccine hesitancy threatens public health. Some evidence suggests that vaccine hesitancy in Europe may be linked with the success of populist parties, but more systematic analysis is needed. METHODS: We examine the prevalence of individual-level vaccine hesitancy across the European Union (EU) and its association with political orientations. We also analyze whether success of populist parties is linked with vaccine hesitancy and uptake. We draw on individual-level Eurobarometer data from 2019, with a total of 27 524 respondents across the EU. We also rely on national and regional-level populist party vote shares. Finally, for a time-series analysis, we rely on aggregated populist party support as measured in the European Social Survey waves 1-9 (2002-18), and national immunization coverage rates from the WHO from 2002 to 2018. RESULTS: While vaccine hesitancy is confined to a minority of the population, this group is large enough to risk herd immunity. Political orientations on a left-right dimension are not strongly linked to vaccine hesitancy. Instead, vaccine hesitancy is associated with anti-elite world views and culturally closed rather than cosmopolitan positions. CONCLUSIONS: Vaccine hesitancy is not only present in all EU member states but also maps on broader dimensions of cultural conflict. Hesitancy is rooted in a broader worldview, rather than mispercept</w:t>
      </w:r>
    </w:p>
    <w:p>
      <w:pPr/>
      <w:r>
        <w:rPr>
          <w:b/>
        </w:rPr>
        <w:t>POSSIBLE 2022:</w:t>
      </w:r>
      <w:r>
        <w:t xml:space="preserve"> Development of Renewable Energy Sources in the European Union in the Context of Sustainable Development Policy — https://doi.org/10.3390/en15041545</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sources play a key role in decarbonizing the economy of the European Union (EU) and the world. The aim of this research is to present the development of the renewable energy sources (RES) sector in the European Union (EU), with particular emphasis on sustainable development. The EU guidelines, requirements, and directives were analyzed in order to meet the provisions of the energy policy to ensure energy and climate security. The potential of the RES was studied in the EU countries, and the possibility of its use in cogeneration with the use of local renewable resources. The results are presented in tabular, graphic, and descriptive forms. The results are presented based on the extensive literature on the subject and data from Eurostat. The data covered 2004–2019. We used different methods to evaluate the changes in the RES in the EU countries. First, we compiled descriptive statistics; second, we used the Augmented Dickey–Fuller test (ADF test); and, finally, we used the Generalized Autoregressive Conditional Heteroscedasticity model (GARCH model). Our analysis found that the EU increased the share of RES. The biggest share of energy from renewable energy sources was found in 2019 in Iceland (78%), Norway (74%), and Sweden (56%). The biggest increase in the share of RES in 2004–19 was found in Malta (8322%), Great Britain (1126%), and Luxemburg (784%). The res</w:t>
      </w:r>
    </w:p>
    <w:p>
      <w:pPr/>
      <w:r>
        <w:rPr>
          <w:b/>
        </w:rPr>
        <w:t>POSSIBLE 2022:</w:t>
      </w:r>
      <w:r>
        <w:t xml:space="preserve"> The role of energy prices and economic growth in renewable energy capacity expansion – Evidence from OECD Europe — https://doi.org/10.1016/j.renene.2022.03.011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Energy efficiencies of European countries — https://doi.org/10.1080/00036846.2021.1994520</w:t>
      </w:r>
    </w:p>
    <w:p>
      <w:pPr/>
      <w:r>
        <w:rPr>
          <w:b/>
        </w:rPr>
        <w:t>Shared claim-specific concepts:</w:t>
      </w:r>
      <w:r>
        <w:t xml:space="preserve"> finally, energy, efficiency; EU scope visible. This is a provisional connection, not an outcome finding.</w:t>
      </w:r>
    </w:p>
    <w:p>
      <w:pPr>
        <w:pStyle w:val="SourceNote"/>
      </w:pPr>
      <w:r>
        <w:rPr>
          <w:b/>
        </w:rPr>
        <w:t>Available abstract (not full text):</w:t>
      </w:r>
      <w:r>
        <w:t xml:space="preserve"> Improving energy efficiency is essential for sustainable development; therefore, an accurate assessment of energy efficiency is needed to inform policymakers on how to set energy efficiency goals. Using a stochastic frontier model, we estimate energy efficiencies of 44 countries in Europe from 1990 to 2015. Comparing average energy efficiencies across countries among three time periods, 1990 to 1998, 1999 to 2007, and 2008 to 2015, we find the following trends: (1) countries with highest energy efficiency cluster geographically suggesting spillover effects; (2) from the first period to the second period, 67.44% of European countries’ average energy efficiency increased, while only 59.09% of European countries’ average energy efficiencies increased between the first and the third period; (3) gains in energy efficiency may be levelling off or decreasing over time; and (4) when countries face economic downturn, they experience a decrease in energy efficiency signalling possible future decreases in energy efficiency in light of the recent recessions caused by the Covid-19 pandemic. Finally, we compute potential energy savings from a counterfactual experiment in which countries realize full efficiency. The results show substantial energy savings can be obtained by Russia in particular, and less savings can be obtained by countries with smaller populations.</w:t>
      </w:r>
    </w:p>
    <w:p>
      <w:pPr>
        <w:pStyle w:val="Heading2"/>
      </w:pPr>
      <w:r>
        <w:t>930.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2026:</w:t>
      </w:r>
      <w:r>
        <w:t xml:space="preserve"> Four Risks for Europe — https://doi.org/10.1007/978-3-032-29056-4_6</w:t>
      </w:r>
    </w:p>
    <w:p>
      <w:pPr/>
      <w:r>
        <w:rPr>
          <w:b/>
        </w:rPr>
        <w:t>Shared claim-specific concepts:</w:t>
      </w:r>
      <w:r>
        <w:t xml:space="preserve"> four, strategies, services; EU scope visible. This is a provisional connection, not an outcome finding.</w:t>
      </w:r>
    </w:p>
    <w:p>
      <w:pPr>
        <w:pStyle w:val="SourceNote"/>
      </w:pPr>
      <w:r>
        <w:rPr>
          <w:b/>
        </w:rPr>
        <w:t>Available abstract (not full text):</w:t>
      </w:r>
      <w:r>
        <w:t xml:space="preserve"> This chapter consolidates earlier analyses to outline four central risks of ageing for Europe and the Netherlands: economic stagnation, high government debt and divergence, upward pressure on inflation, and social and political tensions within and between member states. It traces how rising pension costs can drive higher tax burdens, crowd out growth-enhancing public services, and drive divergence among member states, while planned austerity may depress aggregate demand and risk impoverishment of the elderly. If reforms prove politically fragile, debt-financing can heighten financial instability and complicate ECB policy, potentially reinforcing inflationary pressures. The chapter emphasises that enlarging the total pie through higher labour participation is the most attractive route, complemented by trade diversification and investment strategies that account for demographic dividends, while keeping a broad European and Dutch interest central.</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2024:</w:t>
      </w:r>
      <w:r>
        <w:t xml:space="preserve"> Children’s understanding of well-being related questions: results of cognitive interviews in four European countries — https://doi.org/10.1080/13645579.2024.2312621</w:t>
      </w:r>
    </w:p>
    <w:p>
      <w:pPr/>
      <w:r>
        <w:rPr>
          <w:b/>
        </w:rPr>
        <w:t>Shared claim-specific concepts:</w:t>
      </w:r>
      <w:r>
        <w:t xml:space="preserve"> create, four, different, aim; EU scope visible. This is a provisional connection, not an outcome finding.</w:t>
      </w:r>
    </w:p>
    <w:p>
      <w:pPr>
        <w:pStyle w:val="SourceNote"/>
      </w:pPr>
      <w:r>
        <w:rPr>
          <w:b/>
        </w:rPr>
        <w:t>Available abstract (not full text):</w:t>
      </w:r>
      <w:r>
        <w:t xml:space="preserve"> This paper presents the results of cognitive interviews with 8-year-old children from four European countries – Croatia, France, Finland, and Ireland. The aim of the interviews was to pre-test a selection of well-being-related questions as a part of questionnaire development for the first European multinational birth cohort study – Growing up in Digital Europe (GUIDE)/EuroCohort. Unlike most previous studies, we focused on a younger and more age-homogenous sample, as well as a more diverse set of well-known questionnaires. A total of 68 children participated in the study. The main suggestion for the interviewing procedure is to create a safe environment yet minimize the parents’ interference in answering. The questionnaires should use child-friendly vocabulary, tangible examples, avoid complex sentence structure and negative statements. The use of timeframes in questions should be minimal. The children can use Likert-type scales, but the number of different scales in the questionnaire should be limited.</w:t>
      </w:r>
    </w:p>
    <w:p>
      <w:pPr/>
      <w:r>
        <w:rPr>
          <w:b/>
        </w:rPr>
        <w:t>POSSIBLE 2023:</w:t>
      </w:r>
      <w:r>
        <w:t xml:space="preserve"> The role of the spatial relationships between visitor attractions in shaping visiting patterns — https://doi.org/10.1080/13683500.2023.2173055</w:t>
      </w:r>
    </w:p>
    <w:p>
      <w:pPr/>
      <w:r>
        <w:rPr>
          <w:b/>
        </w:rPr>
        <w:t>Shared claim-specific concepts:</w:t>
      </w:r>
      <w:r>
        <w:t xml:space="preserve"> attraction, visitors; EU scope not established. This is a provisional connection, not an outcome finding.</w:t>
      </w:r>
    </w:p>
    <w:p>
      <w:pPr>
        <w:pStyle w:val="SourceNote"/>
      </w:pPr>
      <w:r>
        <w:rPr>
          <w:b/>
        </w:rPr>
        <w:t>Available abstract (not full text):</w:t>
      </w:r>
      <w:r>
        <w:t xml:space="preserve"> Visitor attractions are a primary tourism product. Yet, little is known about the interrelationships between attractions’ spatial characteristics, their thematic similarities, and product complementarities, and inter-attractions’ compatibility. Furthermore, at the intra-attraction level, the relationships between thematic diversity, complementarities and attraction's appeal remain overlooked. This paper suggests a conceptual framework and empirical approach to explore these relationships econometrically while controlling for tourism cluster density. Based on the conceptual model, several hypotheses were drawn and tested via empirical models by using the primary data from 300 visiting tracks of a random sample of visitors to attractions, surveyed in-situ during a single trip. These observations created the secondary data for 161 combinations (bundles) of attractions. Employing a negative-binomial regression to explain compatibility, we found that intra-level thematic diversity decreases compatibility between attractions and that visitors preferred to visit fewer attractions with more thematic diversity, than visiting more attractions that are less diversified. The paper concludes with policy implications and provides insights into bundling in the context of tourism diversification.</w:t>
      </w:r>
    </w:p>
    <w:p>
      <w:pPr/>
      <w:r>
        <w:rPr>
          <w:b/>
        </w:rPr>
        <w:t>POSSIBLE 2023:</w:t>
      </w:r>
      <w:r>
        <w:t xml:space="preserve"> Dimensions of Visitor Satisfaction at Attractions: A Study of Kakum National Park, Ghana — https://doi.org/10.2478/ejthr-2023-0014</w:t>
      </w:r>
    </w:p>
    <w:p>
      <w:pPr/>
      <w:r>
        <w:rPr>
          <w:b/>
        </w:rPr>
        <w:t>Shared claim-specific concepts:</w:t>
      </w:r>
      <w:r>
        <w:t xml:space="preserve"> used, strategies, visitors; EU scope not established. This is a provisional connection, not an outcome finding.</w:t>
      </w:r>
    </w:p>
    <w:p>
      <w:pPr>
        <w:pStyle w:val="SourceNote"/>
      </w:pPr>
      <w:r>
        <w:rPr>
          <w:b/>
        </w:rPr>
        <w:t>Available abstract (not full text):</w:t>
      </w:r>
      <w:r>
        <w:t xml:space="preserve"> Abstract Attractions are crucial in contributing to the overall satisfaction of visitors in tourism, and ensuring the satisfaction of visitors is key to the sustenance of attractions at destinations. Therefore, this study sought to ascertain the extent to which visitors are satisfied with the service dimensions at Kakum National Park (KNP), and to ascertain whether service dimensions vary with visitors’ socio-demographic characteristics. The study adopted a cross-sectional field survey and sampled 367 respondents for data collection using a questionnaire. Data were analysed via the mean scores and standard deviation. Independent t-tests and ANOVA were used to explore the difference between dimensions of satisfaction and socio-demographic characteristics of visitors. The study found that some satisfaction dimensions at the KNP in the Central region of Ghana vary with certain socio-demographic characteristics of visitors, namely age, continent of origin and level of education, at p-value ≤ 0.05. Visitors were found to be satisfied with all measured dimensions except the price. The study therefore recommends that the management of the attractions adopt conscious service strategies to enrich the experience of visitors in order to ensure better value for their money. This study’s findings expand knowledge about visitor satisfaction and how satisfaction dimensions vary with socio-dem</w:t>
      </w:r>
    </w:p>
    <w:p>
      <w:pPr/>
      <w:r>
        <w:rPr>
          <w:b/>
        </w:rPr>
        <w:t>POSSIBLE 2023:</w:t>
      </w:r>
      <w:r>
        <w:t xml:space="preserve"> Application of Machine Learning Techniques to Predict Visitors to the Tourist Attractions of the Moche Route in Peru — https://doi.org/10.3390/su15118967</w:t>
      </w:r>
    </w:p>
    <w:p>
      <w:pPr/>
      <w:r>
        <w:rPr>
          <w:b/>
        </w:rPr>
        <w:t>Shared claim-specific concepts:</w:t>
      </w:r>
      <w:r>
        <w:t xml:space="preserve"> used, four, develop, visitors; EU scope not established. This is a provisional connection, not an outcome finding.</w:t>
      </w:r>
    </w:p>
    <w:p>
      <w:pPr>
        <w:pStyle w:val="SourceNote"/>
      </w:pPr>
      <w:r>
        <w:rPr>
          <w:b/>
        </w:rPr>
        <w:t>Available abstract (not full text):</w:t>
      </w:r>
      <w:r>
        <w:t xml:space="preserve"> Due to the COVID-19 pandemic, the tourism sector has been one of the most affected sectors and requires management entities to develop urgent measures to reactivate and achieve digital transformation using emerging disruptive technologies. The objective of this research is to apply machine learning techniques to predict visitors to tourist attractions on the Moche Route in northern Peru, for which a methodology based on four main stages was applied: (1) data collection, (2) model analysis, (3) model development, and (4) model evaluation. Public data from official sources and internet data (TripAdvisor and Google Trends) during the period from January 2011 to May 2022 are used. Four algorithms are evaluated: linear regression, KNN regression, decision tree, and random forest. In conclusion, for both the prediction of national and foreign tourists, the best algorithm is linear regression, and the results allow for taking the necessary actions to achieve the digital transformation to promote the Moche Route and, thus, reactivate tourism and the economy in the north of Peru.</w:t>
      </w:r>
    </w:p>
    <w:p>
      <w:pPr/>
      <w:r>
        <w:rPr>
          <w:b/>
        </w:rPr>
        <w:t>POSSIBLE 2022:</w:t>
      </w:r>
      <w:r>
        <w:t xml:space="preserve"> Sports Marketing as a Tool for Creating an Image of Leading European Football Clubs — https://doi.org/10.15611/2022.29.9.03</w:t>
      </w:r>
    </w:p>
    <w:p>
      <w:pPr/>
      <w:r>
        <w:rPr>
          <w:b/>
        </w:rPr>
        <w:t>Shared claim-specific concepts:</w:t>
      </w:r>
      <w:r>
        <w:t xml:space="preserve"> used, create, four, different; EU scope visible. This is a provisional connection, not an outcome finding.</w:t>
      </w:r>
    </w:p>
    <w:p>
      <w:pPr>
        <w:pStyle w:val="SourceNote"/>
      </w:pPr>
      <w:r>
        <w:rPr>
          <w:b/>
        </w:rPr>
        <w:t>Available abstract (not full text):</w:t>
      </w:r>
      <w:r>
        <w:t xml:space="preserve"> The purpose of the article was to describe the sports marketing tools used by leading European football clubs. As the topic was complex, the paper also included a description of the most popular marketing tools in sport. The essence of the article was to present how the image was created by four selected football clubs. The analysis of the above-mentioned activities allowed the author to confirm that the sports marketing tools they use are an effective way to achieve the intended image goals. The main thesis put forward in the paper is that sports marketing is an effective tool for creating a brand image for European sports clubs. Thanks to the availability of contents in literature, internet materials and reports, the said thesis has been proven. When used correctly, sports marketing can create a positive image of a football club in many ways, mainly thanks to modern technology and the development of social media. However, a significant function is still performed by traditional forms of advertising which cannot be replaced by modern marketing. Each football club builds a promotional strategy in a different way, and therefore the topic is complex.</w:t>
      </w:r>
    </w:p>
    <w:p>
      <w:pPr/>
      <w:r>
        <w:rPr>
          <w:b/>
        </w:rPr>
        <w:t>POSSIBLE 2021:</w:t>
      </w:r>
      <w:r>
        <w:t xml:space="preserve"> Creating the European Literary Text Collection (ELTeC): Challenges and Perspectives — https://doi.org/10.3828/mlo.v0i0.364</w:t>
      </w:r>
    </w:p>
    <w:p>
      <w:pPr/>
      <w:r>
        <w:rPr>
          <w:b/>
        </w:rPr>
        <w:t>Shared claim-specific concepts:</w:t>
      </w:r>
      <w:r>
        <w:t xml:space="preserve"> used, four, different, aim; EU scope visible. This is a provisional connection, not an outcome finding.</w:t>
      </w:r>
    </w:p>
    <w:p>
      <w:pPr>
        <w:pStyle w:val="SourceNote"/>
      </w:pPr>
      <w:r>
        <w:rPr>
          <w:b/>
        </w:rPr>
        <w:t>Available abstract (not full text):</w:t>
      </w:r>
      <w:r>
        <w:t xml:space="preserve"> The aim of this contribution is to reflect on the process of building the multilingual European Literary Text Collection (ELTeC) that is being created in the framework of the networking project Distant Reading for European Literary History funded by COST (European Cooperation in Science and Technology). To provide some background, we briefly introduce the basic idea of ELTeC with a focus on the overall goals and intended usage scenarios. We then describe the collection composition principles that we have derived from the usage scenarios. In our discussion of the corpus-building process, we focus on collections of novels from four different literary traditions as components of ELTeC: French, Portuguese, Romanian, and Slovenian, selected from the more than twenty collections that are currently in preparation. For each collection, we describe some of the challenges we have encountered and the solutions developed while building ELTeC. In each case, the literary tradition, the history of the language, the current state of digitization of cultural heritage, the resources available locally, and the scholars’ training level with regard to digitization and corpus building have been vastly different. How can we, in this context, hope to build comparable collections of novels that can usefully be integrated into a multilingual resource such as ELTeC and used in Distant Reading research? B</w:t>
      </w:r>
    </w:p>
    <w:p>
      <w:pPr/>
      <w:r>
        <w:rPr>
          <w:b/>
        </w:rPr>
        <w:t>POSSIBLE 2021:</w:t>
      </w:r>
      <w:r>
        <w:t xml:space="preserve"> Towards a visitor taxonomy at (film-induced) heritage attractions — https://doi.org/10.1080/1743873x.2021.2002340</w:t>
      </w:r>
    </w:p>
    <w:p>
      <w:pPr/>
      <w:r>
        <w:rPr>
          <w:b/>
        </w:rPr>
        <w:t>Shared claim-specific concepts:</w:t>
      </w:r>
      <w:r>
        <w:t xml:space="preserve"> four, products, visitors; EU scope not established. This is a provisional connection, not an outcome finding.</w:t>
      </w:r>
    </w:p>
    <w:p>
      <w:pPr>
        <w:pStyle w:val="SourceNote"/>
      </w:pPr>
      <w:r>
        <w:rPr>
          <w:b/>
        </w:rPr>
        <w:t>Available abstract (not full text):</w:t>
      </w:r>
      <w:r>
        <w:t xml:space="preserve"> Film-induced tourism at heritage attractions (HAs) is a growing industry of international relevance. It can influence visitors’ expectations of the site and further their preferences for interpretation to include a degree of reference to the film(s). Drawing upon in-depth interviews with visitors at a UK HA further popularised through book and film, this paper explores visitors’ preferences for heritage interpretation. The paper identifies four visitor taxonomies – vigorous followers, curious investigators, versatile explorers and purposeful avoiders. It ultimately highlights the value of data-driven visitor taxonomies, providing an in-depth insight into heritage tourism in general and film-induced tourism at this heritage site in particular. Thus, this paper contributes to a greater understanding of the popular media products’ influence on visitor preferences for on-site heritage interpretation.</w:t>
      </w:r>
    </w:p>
    <w:p>
      <w:pPr/>
      <w:r>
        <w:rPr>
          <w:b/>
        </w:rPr>
        <w:t>POSSIBLE 2021:</w:t>
      </w:r>
      <w:r>
        <w:t xml:space="preserve"> Creating the European Literary Text Collection (ELTeC): Challenges and Perspectives — https://doi.org/10.5281/zenodo.4742420</w:t>
      </w:r>
    </w:p>
    <w:p>
      <w:pPr/>
      <w:r>
        <w:rPr>
          <w:b/>
        </w:rPr>
        <w:t>Shared claim-specific concepts:</w:t>
      </w:r>
      <w:r>
        <w:t xml:space="preserve"> used, four, different, aim; EU scope visible. This is a provisional connection, not an outcome finding.</w:t>
      </w:r>
    </w:p>
    <w:p>
      <w:pPr>
        <w:pStyle w:val="SourceNote"/>
      </w:pPr>
      <w:r>
        <w:rPr>
          <w:b/>
        </w:rPr>
        <w:t>Available abstract (not full text):</w:t>
      </w:r>
      <w:r>
        <w:t xml:space="preserve"> Please refer to the version of record, published in open access and available here: http://doi.org/10.3828/mlo.v0i0.364. The aim of this contribution is to reflect on the process of building the multilingual European Literary Text Collection (ELTeC) that is being created in the framework of the COST Action on Distant Reading for European Literary History. To provide some background, we briefly introduce the basic idea of the ELTeC with a focus on the overall goals and the intended usage scenarios. We then describe the collection composition principles we have derived from the usage scenarios. In our discussion of the corpus building process, we focus on collections of novels from four different literary traditions as components of ELTeC: French, Portuguese, Romanian, and Slovenian, selected from 18 collections that are currently in preparation. For each collection, we describe some of the challenges we have encountered and the solutions we have developed while building ELTeC. In each case, the literary tradition, the history of the language, the current state of digitization of cultural heritage, the resources available locally, and the scholars' training level with regard to digitization and corpus building have been vastly different. How can we, in this context, hope to build comparable collections of novels that can usefully be integrated into a multilingual resource such as</w:t>
      </w:r>
    </w:p>
    <w:p>
      <w:pPr>
        <w:pStyle w:val="Heading2"/>
      </w:pPr>
      <w:r>
        <w:t>931.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Climate at what cost? A survey experiment on trade-offs between decarbonization ambitions and socioeconomic costs — https://doi.org/10.1016/j.erss.2026.104877</w:t>
      </w:r>
    </w:p>
    <w:p>
      <w:pPr/>
      <w:r>
        <w:rPr>
          <w:b/>
        </w:rPr>
        <w:t>Shared claim-specific concepts:</w:t>
      </w:r>
      <w:r>
        <w:t xml:space="preserve"> decarbonization, suggests, role; EU scope visible. This is a provisional connection, not an outcome finding.</w:t>
      </w:r>
    </w:p>
    <w:p>
      <w:pPr>
        <w:pStyle w:val="SourceNote"/>
      </w:pPr>
      <w:r>
        <w:rPr>
          <w:b/>
        </w:rPr>
        <w:t>Available abstract (not full text):</w:t>
      </w:r>
      <w:r>
        <w:t xml:space="preserve"> Survey research typically suggests strong support for climate and decarbonization policies. These findings contrast with anecdotal and observational evidence suggesting that individuals are sensitive to personal and collective losses incurred from climate policies. To address this, we field an experiment in five Western European countries, where respondents are asked to trade-off personal and collective income losses expected with different decarbonization paths. Our results show that, while respondents support ambitious decarbonization strategies ceteris paribus , this support softens in the face of possible individual and collective income losses associated with a given decarbonization path. Next, we explore the moderating role of income, profession, education, green values, and climate and inflation concerns. The experimental focus on different distributional consequences at different levels of citizen experience contribute to a growing literature focusing on the socioeconomic implications of climate change policies, offering a sobering look at the actual level of political support these policies enjoy in western Europe, suggesting that existing compensation policies are likely insufficient.</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2024:</w:t>
      </w:r>
      <w:r>
        <w:t xml:space="preserve"> Climate Obstruction in the European Union — https://doi.org/10.1093/oso/9780197762042.003.0013</w:t>
      </w:r>
    </w:p>
    <w:p>
      <w:pPr/>
      <w:r>
        <w:rPr>
          <w:b/>
        </w:rPr>
        <w:t>Shared claim-specific concepts:</w:t>
      </w:r>
      <w:r>
        <w:t xml:space="preserve"> abstract, union, ambition, role, capture;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Wanted Refugees: The Forming of an Instrument Constituency for Refugee Resettlement in the European Union — https://doi.org/10.1093/rsq/hdae006</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Agency for Asylum has emerged as an important actor in the Common European Asylum System in the past few years. In this article, we explore how the agency engages in capacity-building by looking at the development of bureaucratic instruments. We deploy the theoretical framework of instrument constituencies to investigate the agency’s development of instruments around resettlement. In relation to the literature on European migration management, deploying the theoretical framework of instrument constituencies is a novel approach. Given the European Union’s limited mandate to directly influence Member States resettlement programmes, we argue that the development of bureaucratic instruments is one of the few avenues through which the European Union can facilitate resettlement. This study reveals how the proliferation in the use of these instruments by Member State authorities is driven by a political ambition to create a more orderly form of migration and is contrasted with the seemingly uncontrollable nature of asylum. Beyond being a direct solution to a practical problem, the policy instruments studied here reveal how new bureaucratic practices around resettlement are gradually being established. We show how resettlement is continuously evolving in the intersection between Member States and the European Union in the governing of migration.</w:t>
      </w:r>
    </w:p>
    <w:p>
      <w:pPr/>
      <w:r>
        <w:rPr>
          <w:b/>
        </w:rPr>
        <w:t>POSSIBLE 2024:</w:t>
      </w:r>
      <w:r>
        <w:t xml:space="preserve"> Children’s Rights and the European Union – Framework — https://doi.org/10.71009/2024.ar.crirhrs_3</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According to the Principle of conferral, the European Union has no competences over family law, including the regulation of children’s rights. Therefore, legally binding documents (Treaty on European Union, Treaty on the Functioning of the European Union, and the Charter of Fundamental Rights of the European Union) refer to (some) children’s rights and the principles of treatment of children at a generic level. This fact does not present a major obstacle because all the European Union Member States are parties to the Convention on the Rights of the Child and many other treaties that regulate children’s rights in greater detail. Non-binding documents appear in a frenzy and show an ambition to resolve many children’s problems typically observed in developed countries of the world, including those of the European Union. As their provisions often overlap and aim to achieve many objectives, the question arises as to the purposefulness of many soft law documents, such as strategies, guidelines, resolutions, communications, recommendations, and agendas. They reflect the significant and specific problems encountered by children in the European Union and indicate the need for children’s rights to be exercised. Moreover, they are a signal to adults, not only parents, to do more for the protection of children and their rights. However, it is unclear to what extent soft law can provide an </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union, achieve, decarbonization;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decarbonization, carbon, capture, storage, source;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pStyle w:val="Heading2"/>
      </w:pPr>
      <w:r>
        <w:t>932.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Building ‘implicit partnerships’? Financial long-term care entitlements in Europe — https://doi.org/10.1007/s11077-020-09403-1</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Abstract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2020:</w:t>
      </w:r>
      <w:r>
        <w:t xml:space="preserve"> Agroforestry Benefits and Challenges for Adoption in Europe and Beyond — https://doi.org/10.3390/su12177001</w:t>
      </w:r>
    </w:p>
    <w:p>
      <w:pPr/>
      <w:r>
        <w:rPr>
          <w:b/>
        </w:rPr>
        <w:t>Shared claim-specific concepts:</w:t>
      </w:r>
      <w:r>
        <w:t xml:space="preserve"> finally, they, financial; EU scope visible. This is a provisional connection, not an outcome finding.</w:t>
      </w:r>
    </w:p>
    <w:p>
      <w:pPr>
        <w:pStyle w:val="SourceNote"/>
      </w:pPr>
      <w:r>
        <w:rPr>
          <w:b/>
        </w:rPr>
        <w:t>Available abstract (not full text):</w:t>
      </w:r>
      <w:r>
        <w:t xml:space="preserve"> Soil degradation is a global concern, decreasing the soil’s ability to perform a multitude of functions. In Europe, one of the leading causes of soil degradation is unsustainable agricultural practices. Hence, there is a need to explore alternative production systems for enhanced agronomic productivity and environmental performance, such as agroforestry systems (AFS). Given this, the objective of the study is to enumerate the major benefits and challenges in the adoption of AFS. AFS can improve agronomic productivity, carbon sequestration, nutrient cycling, soil biodiversity, water retention, and pollination. Furthermore, they can reduce soil erosion and incidence of fire and provide recreational and cultural benefits. There are several challenges to the adoption and uptake of AFS in Europe, including high costs for implementation, lack of financial incentives, limited AFS product marketing, lack of education, awareness, and field demonstrations. Policies for financial incentives such as subsidies and payments for ecosystem services provided by AFS must be introduced or amended. Awareness of AFS products must be increased for consumers through appropriate marketing strategies, and landowners need more opportunities for education on how to successfully manage diverse, economically viable AFS. Finally, field-based evidence is required for informed decision-making by farmers, advi</w:t>
      </w:r>
    </w:p>
    <w:p>
      <w:pPr/>
      <w:r>
        <w:rPr>
          <w:b/>
        </w:rPr>
        <w:t>POSSIBLE 2020:</w:t>
      </w:r>
      <w:r>
        <w:t xml:space="preserve"> Building ‘implicit partnerships’? Financial long-term care entitlements in Europe — https://openalex.org/W3185178917</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2019:</w:t>
      </w:r>
      <w:r>
        <w:t xml:space="preserve"> Social enterprises and their ecosystems in Europe — https://doi.org/10.2767/330252</w:t>
      </w:r>
    </w:p>
    <w:p>
      <w:pPr/>
      <w:r>
        <w:rPr>
          <w:b/>
        </w:rPr>
        <w:t>Shared claim-specific concepts:</w:t>
      </w:r>
      <w:r>
        <w:t xml:space="preserve"> they, present, since;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Industry Concentration in Europe and North America — https://doi.org/10.1787/2ff98246-en</w:t>
      </w:r>
    </w:p>
    <w:p>
      <w:pPr/>
      <w:r>
        <w:rPr>
          <w:b/>
        </w:rPr>
        <w:t>Shared claim-specific concepts:</w:t>
      </w:r>
      <w:r>
        <w:t xml:space="preserve"> observed, trends, two; EU scope visible. This is a provisional connection, not an outcome finding.</w:t>
      </w:r>
    </w:p>
    <w:p>
      <w:pPr>
        <w:pStyle w:val="SourceNote"/>
      </w:pPr>
      <w:r>
        <w:rPr>
          <w:b/>
        </w:rPr>
        <w:t>Available abstract (not full text):</w:t>
      </w:r>
      <w:r>
        <w:t xml:space="preserve"> This report presents new evidence on industry concentration trends in Europe and in North America. It uses two novel data sources: representative firm-level concentration measures from the OECD MultiProd project, and business-group-level concentration measures using matched Orbis-Worldscope-Zephyr data. Based on the MultiProd data, it finds that between 2001 and 2012 the average industry across 10 European economies saw a 2-3-percentage-point increase in the share of the 10% largest companies in industry sales. Using the Orbis-Worldscope-Zephyr data, it documents a clear increase in industry concentration in Europe as well as in North America between 2000 and 2014 of the order of 4-8 percentage points for the average industry. Over the period, about 3 out of 4 (2-digit) industries in each region saw their concentration increase. The increase is observed for both manufacturing and non-financial services and is not driven by digital-intensive sectors.</w:t>
      </w:r>
    </w:p>
    <w:p>
      <w:pPr/>
      <w:r>
        <w:rPr>
          <w:b/>
        </w:rPr>
        <w:t>POSSIBLE 2019:</w:t>
      </w:r>
      <w:r>
        <w:t xml:space="preserve"> Trichinella and trichinellosis in Europe — https://doi.org/10.2298/vetgl190411017p</w:t>
      </w:r>
    </w:p>
    <w:p>
      <w:pPr/>
      <w:r>
        <w:rPr>
          <w:b/>
        </w:rPr>
        <w:t>Shared claim-specific concepts:</w:t>
      </w:r>
      <w:r>
        <w:t xml:space="preserve"> they, main, used, findings, among, two; EU scope visible. This is a provisional connection, not an outcome finding.</w:t>
      </w:r>
    </w:p>
    <w:p>
      <w:pPr>
        <w:pStyle w:val="SourceNote"/>
      </w:pPr>
      <w:r>
        <w:rPr>
          <w:b/>
        </w:rPr>
        <w:t>Available abstract (not full text):</w:t>
      </w:r>
      <w:r>
        <w:t xml:space="preserve"> Background: Trichinellosis, the proper term for the human zoonotic disease is caused by nematodes of the genus Trichinella. These zoonotic parasites show a cosmopolitan distribution in all the continents but Antarctica. They circulate in nature by synanthropic-domestic and sylvatic cycles that are correlated with each other. Today, nine species and three genotypes are recognized in this genus, all of which infect mammals, including humans, while one species also infects birds, and two other species also infect reptiles. Scope and Approach: To review the recent literature on these pathogens, which are unusual among the other nematodes in that the worm undergoes a complete developmental cycle, from larva to adult to larva, in the body of a single host, which has a profound influence on the epidemiology of trichinellosis as a zoonosis. When the cycle is complete, the muscles of the infected animal contain a reservoir of larvae capable of long-term survival. Humans and other hosts become infected by ingesting muscle tissues containing viable larvae. Key Findings and Conclusions: The main source of human infection is raw or under-cooked meat products from pig, wild boar, bear, walrus, and horses, but meat products from other animals have been implicated. Both pre-slaughter prevention and post-slaughter control can be used to prevent Trichinella infections in animals. The first invol</w:t>
      </w:r>
    </w:p>
    <w:p>
      <w:pPr/>
      <w:r>
        <w:rPr>
          <w:b/>
        </w:rPr>
        <w:t>POSSIBLE 2019:</w:t>
      </w:r>
      <w:r>
        <w:t xml:space="preserve"> Implementing Green Infrastructure in Spatial Planning in Europe — https://doi.org/10.3390/land8040062</w:t>
      </w:r>
    </w:p>
    <w:p>
      <w:pPr/>
      <w:r>
        <w:rPr>
          <w:b/>
        </w:rPr>
        <w:t>Shared claim-specific concepts:</w:t>
      </w:r>
      <w:r>
        <w:t xml:space="preserve"> they, tools, used, since; EU scope visible. This is a provisional connection, not an outcome finding.</w:t>
      </w:r>
    </w:p>
    <w:p>
      <w:pPr>
        <w:pStyle w:val="SourceNote"/>
      </w:pPr>
      <w:r>
        <w:rPr>
          <w:b/>
        </w:rPr>
        <w:t>Available abstract (not full text):</w:t>
      </w:r>
      <w:r>
        <w:t xml:space="preserve">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pStyle w:val="Heading2"/>
      </w:pPr>
      <w:r>
        <w:t>933.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2024:</w:t>
      </w:r>
      <w:r>
        <w:t xml:space="preserve"> USA AND CHINA IN THE WORLD ECONOMY — https://doi.org/10.34660/inf.2020.27.60235</w:t>
      </w:r>
    </w:p>
    <w:p>
      <w:pPr/>
      <w:r>
        <w:rPr>
          <w:b/>
        </w:rPr>
        <w:t>Shared claim-specific concepts:</w:t>
      </w:r>
      <w:r>
        <w:t xml:space="preserve"> world, economy, international, issues; EU scope not established. This is a provisional connection, not an outcome finding.</w:t>
      </w:r>
    </w:p>
    <w:p>
      <w:pPr>
        <w:pStyle w:val="SourceNote"/>
      </w:pPr>
      <w:r>
        <w:rPr>
          <w:b/>
        </w:rPr>
        <w:t>Available abstract (not full text):</w:t>
      </w:r>
      <w:r>
        <w:t xml:space="preserve"> We thank all participants of our conference "Scientific research of the SCO countries: synergy and integration" for the interest shown, for your speeches and reports.Such a wide range of participants, representing all the countries that are members of the Shanghai Cooperation Organization, speaks about the necessity and importance of this event.The reports of the participants cover a wide range of topical scientific problems and our joint interaction will contribute to the further development of both theoretical and applied modern scientific research by scientists from different countries.The result of the conference was the participation of 56 authors from 7 countries (China, Russia, Uzbekistan, Kazakhstan, Azerbaijan, Tajikistan, Kyrgyzstan).This conference was a result of the serious interest of the world academic community, the state authorities of China and the Chinese Communist Party to preserve and strengthen international cooperation in the field of science.We also thank our Russian partner Infinity Publishing House for assistance in organizing the conference, preparing and publishing the conference proceedings in Chinese Part and English Part.I hope that the collection of this conference will be useful to a wide range of readers.It will help to consider issues, that would interest the public, under a new point of view.It will also allow to find contacts among scientist</w:t>
      </w:r>
    </w:p>
    <w:p>
      <w:pPr/>
      <w:r>
        <w:rPr>
          <w:b/>
        </w:rPr>
        <w:t>POSSIBLE 2023:</w:t>
      </w:r>
      <w:r>
        <w:t xml:space="preserve"> Rebuilding the fortress? Europe in a changing world economy — https://doi.org/10.1080/09692290.2023.2211281</w:t>
      </w:r>
    </w:p>
    <w:p>
      <w:pPr/>
      <w:r>
        <w:rPr>
          <w:b/>
        </w:rPr>
        <w:t>Shared claim-specific concepts:</w:t>
      </w:r>
      <w:r>
        <w:t xml:space="preserve"> world, economy, international, trade; EU scope visible. This is a provisional connection, not an outcome finding.</w:t>
      </w:r>
    </w:p>
    <w:p>
      <w:pPr>
        <w:pStyle w:val="SourceNote"/>
      </w:pPr>
      <w:r>
        <w:rPr>
          <w:b/>
        </w:rPr>
        <w:t>Available abstract (not full text):</w:t>
      </w:r>
      <w:r>
        <w:t xml:space="preserve">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pPr/>
      <w:r>
        <w:rPr>
          <w:b/>
        </w:rPr>
        <w:t>POSSIBLE 2023:</w:t>
      </w:r>
      <w:r>
        <w:t xml:space="preserve"> The Contested World Economy — https://doi.org/10.1017/9781009337489</w:t>
      </w:r>
    </w:p>
    <w:p>
      <w:pPr/>
      <w:r>
        <w:rPr>
          <w:b/>
        </w:rPr>
        <w:t>Shared claim-specific concepts:</w:t>
      </w:r>
      <w:r>
        <w:t xml:space="preserve"> world, economy, international; EU scope visible. This is a provisional connection, not an outcome finding.</w:t>
      </w:r>
    </w:p>
    <w:p>
      <w:pPr>
        <w:pStyle w:val="SourceNote"/>
      </w:pPr>
      <w:r>
        <w:rPr>
          <w:b/>
        </w:rPr>
        <w:t>Available abstract (not full text):</w:t>
      </w:r>
      <w:r>
        <w:t xml:space="preserve">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pPr/>
      <w:r>
        <w:rPr>
          <w:b/>
        </w:rPr>
        <w:t>POSSIBLE 2022:</w:t>
      </w:r>
      <w:r>
        <w:t xml:space="preserve"> Assessment of the impact of Circular Economy competitiveness and innovation on European economic growth — https://doi.org/10.5937/ejae19-39057</w:t>
      </w:r>
    </w:p>
    <w:p>
      <w:pPr/>
      <w:r>
        <w:rPr>
          <w:b/>
        </w:rPr>
        <w:t>Shared claim-specific concepts:</w:t>
      </w:r>
      <w:r>
        <w:t xml:space="preserve"> four, world, economy, aims; EU scope visible. This is a provisional connection, not an outcome finding.</w:t>
      </w:r>
    </w:p>
    <w:p>
      <w:pPr>
        <w:pStyle w:val="SourceNote"/>
      </w:pPr>
      <w:r>
        <w:rPr>
          <w:b/>
        </w:rPr>
        <w:t>Available abstract (not full text):</w:t>
      </w:r>
      <w:r>
        <w:t xml:space="preserve"> The world usage of raw materials is 70% higher than what the Earth can safely renew. Circular Economy represents a new model of economic development relying on the 7Rs (redesign, reduce, reuse, repair, renovate, recycle, and recover) to provide operational and strategic benefits on the micro, meso, and macro levels. This research aims to determine the impact that circular economy competitiveness and innovation have on economic growth within European countries by evaluating the impact of four independent variables selected from the European Commission Circular Economy monitoring framework on the GNI per capita. This paper analyses the competitiveness through Values Added at Factor Cost (VAFC), Gross Investment in Tangible Goods (GITG), and Number of Employees (EMP) in Circular Economy, innovation through the Number of Patents in climate change mitigation technologies related to wastewater treatment or waste management (PAT), while the economic growth was estimated based on the GNI per capita annual growth rate (GNIpc). Correlation and regression methods were applied to the sample of 25 European countries using the log-transformed data. The results show that the correlation between VAFC and GNIpc is moderate and significant but negative, while the correlation between GITG and EMP and GNIpc is not statistically significant.</w:t>
      </w:r>
    </w:p>
    <w:p>
      <w:pPr/>
      <w:r>
        <w:rPr>
          <w:b/>
        </w:rPr>
        <w:t>POSSIBLE 2021:</w:t>
      </w:r>
      <w:r>
        <w:t xml:space="preserve"> Sustainable entrepreneurship education for circular economy: emerging perspectives in Europe — https://doi.org/10.1108/ijebr-03-2021-0210</w:t>
      </w:r>
    </w:p>
    <w:p>
      <w:pPr/>
      <w:r>
        <w:rPr>
          <w:b/>
        </w:rPr>
        <w:t>Shared claim-specific concepts:</w:t>
      </w:r>
      <w:r>
        <w:t xml:space="preserve"> four, world, economy, aims, analyse, main; EU scope visible. This is a provisional connection, not an outcome finding.</w:t>
      </w:r>
    </w:p>
    <w:p>
      <w:pPr>
        <w:pStyle w:val="SourceNote"/>
      </w:pPr>
      <w:r>
        <w:rPr>
          <w:b/>
        </w:rPr>
        <w:t>Available abstract (not full text):</w:t>
      </w:r>
      <w:r>
        <w:t xml:space="preserve"> Purpose The paper aims to contribute to the Circular Economy debate from the Entrepreneurship Education perspective. Despite scholars' growing interest in both these research streams, scarce consideration is given to the comprehension of their mutual implications and meaning. Design/methodology/approach The paper is based on a cross-case analysis. It compares 16 higher education programmes launched by Universities in Europe aimed to create competences and skills for Circular Economy in students with different profiles. The analysis provides a critical view of the emerging trends for the entrepreneurship education skills and competencies needed for the emerging circular entrepreneurship paradigm. Findings The paper discusses the main trends of Entrepreneurship Education focused on Circular Economy debate at the European level: rationale and learning objectives (why); contents (what), target students and stakeholders (who) and the learning processes (how). Four thematic areas are identified as common patterns: circular economy business model, green supply chain management, technology entrepreneurship and innovation and public policies and institutional frameworks. Research limitations/implications The paper sheds new light on a still under-researched area, suggesting several implications and avenues for future research in Circular Economy and Entrepreneurship Education. Limitatio</w:t>
      </w:r>
    </w:p>
    <w:p>
      <w:pPr/>
      <w:r>
        <w:rPr>
          <w:b/>
        </w:rPr>
        <w:t>POSSIBLE 2021:</w:t>
      </w:r>
      <w:r>
        <w:t xml:space="preserve"> Bioeconomic development in Europe and in the world — https://doi.org/10.1051/e3sconf/202124410061</w:t>
      </w:r>
    </w:p>
    <w:p>
      <w:pPr/>
      <w:r>
        <w:rPr>
          <w:b/>
        </w:rPr>
        <w:t>Shared claim-specific concepts:</w:t>
      </w:r>
      <w:r>
        <w:t xml:space="preserve"> world, international, challenges, present; EU scope visible. This is a provisional connection, not an outcome finding.</w:t>
      </w:r>
    </w:p>
    <w:p>
      <w:pPr>
        <w:pStyle w:val="SourceNote"/>
      </w:pPr>
      <w:r>
        <w:rPr>
          <w:b/>
        </w:rPr>
        <w:t>Available abstract (not full text):</w:t>
      </w:r>
      <w:r>
        <w:t xml:space="preserve"> Bioeconomy is one of the leading science directions at the present time; countries and international organizations around the world pay close attention to it. They are actively working on policies and strategies for the transition to a bioeconomy. Bioeconomy is based on advances in microbiology that can be used in various processes associated with the use of biological resources; it is changing consumer preferences by bringing a new understanding of resource constraints. Despite the fact that a great contribution has already been made to the science of bioeconomy, much in it still refers to promising scientific developments in such areas as biology, biomedicine, engineering, artificial intelligence, technology, chemistry, etc. This paper provides an overview of the current strategies of different countries in the development and implementation of bioeconomy. Purpose of the work: systematization of target indicators and identification of the most significant among them for different economies. The results of the study point to the need for an in-depth analysis of the challenges and opportunities the world faces on the road to bioeconomy. In addition, it is shown the need to develop common global criteria for assessing the bioeconomic development.</w:t>
      </w:r>
    </w:p>
    <w:p>
      <w:pPr/>
      <w:r>
        <w:rPr>
          <w:b/>
        </w:rPr>
        <w:t>POSSIBLE 2021:</w:t>
      </w:r>
      <w:r>
        <w:t xml:space="preserve"> Circular economy: advancement of European Union countries — https://doi.org/10.1186/s12302-021-00549-0</w:t>
      </w:r>
    </w:p>
    <w:p>
      <w:pPr/>
      <w:r>
        <w:rPr>
          <w:b/>
        </w:rPr>
        <w:t>Shared claim-specific concepts:</w:t>
      </w:r>
      <w:r>
        <w:t xml:space="preserve"> economy, challenges, aims; EU scope visible. This is a provisional connection, not an outcome finding.</w:t>
      </w:r>
    </w:p>
    <w:p>
      <w:pPr>
        <w:pStyle w:val="SourceNote"/>
      </w:pPr>
      <w:r>
        <w:rPr>
          <w:b/>
        </w:rPr>
        <w:t>Available abstract (not full text):</w:t>
      </w:r>
      <w:r>
        <w:t xml:space="preserve"> Abstract Background Circular economy (CE) is a development priority of the European Union and it is part of the EU industrial strategy. The transition to a more circular economy is an essential contribution to the EU’s efforts to develop a sustainable, low carbon, resource-efficient and competitive economy. The author focuses her CE-related reflections and research in this paper on the macro-level (research subjects: 28 EU countries), the level which is least represented in scholarly publications addressing CE (as follows from the analysis of literature in the Scopus database). This study aims to fill this gap partially. The aim of this paper is to identify and group the EU-28 countries according to their advancement towards circular economy. CE indicators proposed by the European Commission were used for the analysis. Given the research subjects and after an analysis of the literature they were concluded to be the most adequate. The theoretical part was based on an analysis of the literature, whereas the empirical work used the principal components analysis, hierarchical and k-means clustering and a grade correspondence-cluster analysis. Results On the basis of the research, the existence of a “two-speed Europe” was identified in terms of EU countries’ advancement towards CE. Leading countries, those most advanced in pursuing operation according to CE principles, include Germa</w:t>
      </w:r>
    </w:p>
    <w:p>
      <w:pPr/>
      <w:r>
        <w:rPr>
          <w:b/>
        </w:rPr>
        <w:t>POSSIBLE 2020:</w:t>
      </w:r>
      <w:r>
        <w:t xml:space="preserve"> The European Union in the World Economy: Competitiveness Issues — https://doi.org/10.20542/978-5-9535-0587-1</w:t>
      </w:r>
    </w:p>
    <w:p>
      <w:pPr/>
      <w:r>
        <w:rPr>
          <w:b/>
        </w:rPr>
        <w:t>Shared claim-specific concepts:</w:t>
      </w:r>
      <w:r>
        <w:t xml:space="preserve"> world, economy, international, challenges, issues; EU scope visible. This is a provisional connection, not an outcome finding.</w:t>
      </w:r>
    </w:p>
    <w:p>
      <w:pPr>
        <w:pStyle w:val="SourceNote"/>
      </w:pPr>
      <w:r>
        <w:rPr>
          <w:b/>
        </w:rPr>
        <w:t>Available abstract (not full text):</w:t>
      </w:r>
      <w:r>
        <w:t xml:space="preserve"> This study is prepared by the Center for European Studies of Primakov National Research Institute of World Economy and International Relations. It observes the problems of competitiveness and the challenges faced by European countries and the European Union as a whole in contemporary global economy. The first part of the book presents the general position of the EU in the world economy, examines industrial competitiveness and describes the role of State in its ensuring. The second part is dedicated to national competitiveness of European countries in the European Single Market. The publication is intended for Agencies developing Russia's economic policy, as well as for researchers, higher education professors, postgraduates, students, and anyone interested in the current trends in the world economy and international relations.</w:t>
      </w:r>
    </w:p>
    <w:p>
      <w:pPr/>
      <w:r>
        <w:rPr>
          <w:b/>
        </w:rPr>
        <w:t>POSSIBLE 2019:</w:t>
      </w:r>
      <w:r>
        <w:t xml:space="preserve"> The Soviet Union and the World Economy in the 1980S: A Review of the Alternatives — https://doi.org/10.4324/9780429311130-3</w:t>
      </w:r>
    </w:p>
    <w:p>
      <w:pPr/>
      <w:r>
        <w:rPr>
          <w:b/>
        </w:rPr>
        <w:t>Shared claim-specific concepts:</w:t>
      </w:r>
      <w:r>
        <w:t xml:space="preserve"> four, world, economy, presented, aims, trade; EU scope visible. This is a provisional connection, not an outcome finding.</w:t>
      </w:r>
    </w:p>
    <w:p>
      <w:pPr>
        <w:pStyle w:val="SourceNote"/>
      </w:pPr>
      <w:r>
        <w:rPr>
          <w:b/>
        </w:rPr>
        <w:t>Available abstract (not full text):</w:t>
      </w:r>
      <w:r>
        <w:t xml:space="preserve"> This chapter aims to sketch the likely development of Soviet economic relations with the World Economy over the decade 1976–1985, the period of the Tenth and Eleventh Five-Year plans. Trade between the Soviet Union and Eastern Europe has been disaggregated into four commodity groups: machinery, raw materials, food, other consumer goods. In the past, Soviet exports of fuel and materials to the Council of Mutual Economic Assistance (CMEA) were a function of net material product in Eastern Europe and also determined a smaller flow of material imports from the CMEA. During the construction of the Soviet Econometric Model a new methodology was developed for evaluating the quantitative impact of imported machinery on Soviet industrial production; to a certain extent, this technique provides a measure of the gains from technology transfer. The projections presented were computed using a 1977 version of SOVMOD III, the third generation SRI-WEFA Soviet Econometric Model.</w:t>
      </w:r>
    </w:p>
    <w:p>
      <w:pPr/>
      <w:r>
        <w:rPr>
          <w:b/>
        </w:rPr>
        <w:t>POSSIBLE 2019:</w:t>
      </w:r>
      <w:r>
        <w:t xml:space="preserve"> Risks to human health from ammunition-derived lead in Europe — https://doi.org/10.1007/s13280-019-01194-x</w:t>
      </w:r>
    </w:p>
    <w:p>
      <w:pPr/>
      <w:r>
        <w:rPr>
          <w:b/>
        </w:rPr>
        <w:t>Shared claim-specific concepts:</w:t>
      </w:r>
      <w:r>
        <w:t xml:space="preserve"> world, main, now; EU scope visible. This is a provisional connection, not an outcome finding.</w:t>
      </w:r>
    </w:p>
    <w:p>
      <w:pPr>
        <w:pStyle w:val="SourceNote"/>
      </w:pPr>
      <w:r>
        <w:rPr>
          <w:b/>
        </w:rPr>
        <w:t>Available abstract (not full text):</w:t>
      </w:r>
      <w:r>
        <w:t xml:space="preserve"> It has been known for centuries that lead is toxic to humans. Chronic exposure to lead, even at low levels, is associated with an elevated risk of cardiovascular and chronic kidney disease in adults and of impaired neurodevelopment and subsequent cognitive and behavioural development in the foetus and young children. Health agencies throughout the world have moved from assuming that there are tolerable levels of exposure to lead to a recognition that valid 'no-effect' thresholds cannot currently be defined. Formerly, the most important exposure pathways were occupational exposure, water from lead plumbing, paints, petrol additives and foods. Regulation of products and improved health and safety procedures at work have left dietary lead as the main remaining pathway of exposure in European countries. Ammunition-derived lead is now a significant cause of dietary lead exposure in groups of people who eat wild game meat frequently. These are mostly hunters, shoot employees and their families, but also some people who choose to eat game for ethical, health or other reasons, and their children. Extrapolation from surveys conducted in the UK and a review of studies of game consumption in other countries suggest that approximately 5 million people in the EU may be high-level consumers of lead-shot game meat and that tens of thousands of children in the EU may be consuming game contamin</w:t>
      </w:r>
    </w:p>
    <w:p>
      <w:pPr/>
      <w:r>
        <w:rPr>
          <w:b/>
        </w:rPr>
        <w:t>POSSIBLE 2019:</w:t>
      </w:r>
      <w:r>
        <w:t xml:space="preserve"> The Importance Of SMEs On World Economies — https://doi.org/10.36880/c11.02265</w:t>
      </w:r>
    </w:p>
    <w:p>
      <w:pPr/>
      <w:r>
        <w:rPr>
          <w:b/>
        </w:rPr>
        <w:t>Shared claim-specific concepts:</w:t>
      </w:r>
      <w:r>
        <w:t xml:space="preserve"> world, economy, challenges, trade; EU scope visible. This is a provisional connection, not an outcome finding.</w:t>
      </w:r>
    </w:p>
    <w:p>
      <w:pPr>
        <w:pStyle w:val="SourceNote"/>
      </w:pPr>
      <w:r>
        <w:rPr>
          <w:b/>
        </w:rPr>
        <w:t>Available abstract (not full text):</w:t>
      </w:r>
      <w:r>
        <w:t xml:space="preserve"> The importance of SMEs to world economies is well reported. SMEs (firms with 200 or less employees) construct the biggest business sector in each global economy therefore governments around the world are increase the effort to promote and support SME expansion as their national development strategy. Micro firms and SMEs are forming the majority of firms in most countries (which 95% on average) and for the large majority of jobs. While SMEs are dominating of very great numbers, SMEs are significant due to their importance as priority drivers to employment, economic growth and innovation. According to the World Trade Organization SMEs represent over 90% of the business population, 60-70% of employment and 55% of GDP in developed economies. SMEs held for around 20% of patents, one measure of innovation, in biotechnology-related fields in the Europe. As the world economy faces with prevailing challenges, governments increasingly start to turn on SMEs as a significant element of sustainable and inclusive economic growth. The importance of SMEs to; economic growth, poverty reduction, innovation and job creation also social cohesion are major key.</w:t>
      </w:r>
    </w:p>
    <w:p>
      <w:pPr>
        <w:pStyle w:val="Heading2"/>
      </w:pPr>
      <w:r>
        <w:t>934.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2026:</w:t>
      </w:r>
      <w:r>
        <w:t xml:space="preserve"> Exploring the European Road Freight Transport Survey: Potentials, Challenges, and Limitations — https://doi.org/10.1016/j.trpro.2026.04.188</w:t>
      </w:r>
    </w:p>
    <w:p>
      <w:pPr/>
      <w:r>
        <w:rPr>
          <w:b/>
        </w:rPr>
        <w:t>Shared claim-specific concepts:</w:t>
      </w:r>
      <w:r>
        <w:t xml:space="preserve"> article, different, not; EU scope visible. This is a provisional connection, not an outcome finding.</w:t>
      </w:r>
    </w:p>
    <w:p>
      <w:pPr>
        <w:pStyle w:val="SourceNote"/>
      </w:pPr>
      <w:r>
        <w:rPr>
          <w:b/>
        </w:rPr>
        <w:t>Available abstract (not full text):</w:t>
      </w:r>
      <w:r>
        <w:t xml:space="preserve"> This paper examines the European Road Freight Transport Survey, a comprehensive European microdata set compiled under Regulation (EU) No. 70/2012, to assess its potential, challenges, and limitations. These include both the limitations of the data collected and methodological inaccuracies in the surveys in different countries. The article describes the structure of the data set, which consists of three interlinked data sets: vehicle, journey and goods records. The aim is to explore methodological inconsistencies and data limitations, offering recommendations for enhancing the dataset’s reliability and usability. The analysis shows significant impact of different exclusion criteria such as the weight or age of vehicles. One effect is that the majority of routes that are recorded in one country are not recorded at all in other countries. Limiting to the most restrictive limit would have little impact on the overall data and would filter out less than 5% of the observations Another important result concerns the age structure of vehicles. In some countries, such as Italy and France, there are strict age limits for the vehicles surveyed, which has an impact on the representativeness of the data. The article concludes with recommendations for harmonizing the methodology or providing a harmonized data set and raising awareness of the limitations of this data in official disseminations</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2024:</w:t>
      </w:r>
      <w:r>
        <w:t xml:space="preserve"> IDENTITY AND SCHOOLING IN MINORITY AND REGIONAL LANGUAGES IN EUROPE AND ASIA — https://doi.org/10.33876/2311-0546/2024-3/135-152</w:t>
      </w:r>
    </w:p>
    <w:p>
      <w:pPr/>
      <w:r>
        <w:rPr>
          <w:b/>
        </w:rPr>
        <w:t>Shared claim-specific concepts:</w:t>
      </w:r>
      <w:r>
        <w:t xml:space="preserve"> article, explores, different; EU scope visible. This is a provisional connection, not an outcome finding.</w:t>
      </w:r>
    </w:p>
    <w:p>
      <w:pPr>
        <w:pStyle w:val="SourceNote"/>
      </w:pPr>
      <w:r>
        <w:rPr>
          <w:b/>
        </w:rPr>
        <w:t>Available abstract (not full text):</w:t>
      </w:r>
      <w:r>
        <w:t xml:space="preserve"> This article builds upon the research project “Identity and School Policy in the Multicultural World: An Anthropological Analysis of International Experience.” The focus is on the pressing issue of language in youth education within Russia. From the perspective of a social anthropologist, the article examines the possibilities and consequences of various approaches to addressing the needs of diverse ethnic groups in multicultural societies, drawing on examples from several countries. The author explores the lessons Russia can draw from the practices of other nations, emphasizing the relationship between educational policy concepts and the formation of various identities among the population (national, ethnic, regional, local, etc.). To assess the extent to which minority and regional languages (as defined by the European Charter for Regional or Minority Languages) are incorporated into actual educational programs across Europe and Asia, an analysis was conducted of relevant regulatory and administrative decisions at different levels. The project’s primary objective was to strike a balance between the ethno-cultural competencies of individual citizens and the goals of consolidating the population in the interests of a unified state.</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different, findings, union;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farmers’ perceptions of social sustainability — https://doi.org/10.1007/s10668-023-04140-w</w:t>
      </w:r>
    </w:p>
    <w:p>
      <w:pPr/>
      <w:r>
        <w:rPr>
          <w:b/>
        </w:rPr>
        <w:t>Shared claim-specific concepts:</w:t>
      </w:r>
      <w:r>
        <w:t xml:space="preserve"> perceptions, findings, reveal, managers; EU scope not established. This is a provisional connection, not an outcome finding.</w:t>
      </w:r>
    </w:p>
    <w:p>
      <w:pPr>
        <w:pStyle w:val="SourceNote"/>
      </w:pPr>
      <w:r>
        <w:rPr>
          <w:b/>
        </w:rPr>
        <w:t>Available abstract (not full text):</w:t>
      </w:r>
      <w:r>
        <w:t xml:space="preserve"> Abstract In the farming sector, there is growing awareness of the importance of the social dimension of sustainability and its complex links to environmental and economic sustainability. However, social sustainability is generally the least understood dimension of sustainability. Despite efforts to empirically capture social sustainability, it remains unclear how it is relevant to individual farms and how it depends on their contexts. To generate a comprehensive and contextual understanding of social sustainability, we adopted a mixed-methods approach. We first conducted qualitative interviews with farm managers, which then informed the development of a survey focused on farmers’ perceptions and experiences of social sustainability at their farms. In total, 354 Swiss farm managers completed our online survey. First, we identified social aspects relevant to farmers and compared them across the three main production types in Switzerland (dairy, crop, and other livestock production). Second, we assessed farmers’ perceptions and experiences of social sustainability and the relationship of these perceptions and experiences with farmer identity (i.e., productivist, conservative, passionate caretaker, and forward-looking). The findings reveal differences in the meaning and importance of social sustainability across production types. Farmer identity appears to influence the experience </w:t>
      </w:r>
    </w:p>
    <w:p>
      <w:pPr/>
      <w:r>
        <w:rPr>
          <w:b/>
        </w:rPr>
        <w:t>POSSIBLE 2023:</w:t>
      </w:r>
      <w:r>
        <w:t xml:space="preserve"> Differences in perceptions of fuel duties and emissions trading in road transport — https://doi.org/10.1016/j.tranpol.2023.11.006</w:t>
      </w:r>
    </w:p>
    <w:p>
      <w:pPr/>
      <w:r>
        <w:rPr>
          <w:b/>
        </w:rPr>
        <w:t>Shared claim-specific concepts:</w:t>
      </w:r>
      <w:r>
        <w:t xml:space="preserve"> article, explores, perceptions, not, they; EU scope visible. This is a provisional connection, not an outcome finding.</w:t>
      </w:r>
    </w:p>
    <w:p>
      <w:pPr>
        <w:pStyle w:val="SourceNote"/>
      </w:pPr>
      <w:r>
        <w:rPr>
          <w:b/>
        </w:rPr>
        <w:t>Available abstract (not full text):</w:t>
      </w:r>
      <w:r>
        <w:t xml:space="preserve"> The transport sector is responsible for more than a quarter of global emissions, and road transport alone contributes with over 70% of that share. A separate Emissions Trading System (ETS) in the EU will be implemented in 2027, covering road transport, buildings and additional sectors (mainly small industry). The likely outcomes of such policy are higher fuel prices, leading to less fuel consumption and reduced road transport emissions. Given that the inclusion of road transport in the EU ETS was originally proposed by the UK in the 2000s, and that the UK is exploring possible improvements to its own UK ETS, it is not impossible that the idea of emissions trading in road transport could be revisited in the UK. This article explores differences in perceptions of fuel price increases as a result of an increase in fuel duties or as a result of the introduction of a parallel ETS for road transport. This research employs a Serious Game to elicit perceptions. The game was designed to create situations where drivers would need to make decisions in response to an increase in the pump price of fuel. Ultimately, the idea was to get the study participants to reflect on their travel decisions both in the game and in real life. Possible responses included changing their cars, modifying their travel behaviour or moving house. The data was analyzed using an interpretive approach, which contri</w:t>
      </w:r>
    </w:p>
    <w:p>
      <w:pPr/>
      <w:r>
        <w:rPr>
          <w:b/>
        </w:rPr>
        <w:t>POSSIBLE 2023:</w:t>
      </w:r>
      <w:r>
        <w:t xml:space="preserve"> Towards a sustainable future: exploring the European dimensions of ecological balance and social equity — https://doi.org/10.24263/edsd-2023-5-21</w:t>
      </w:r>
    </w:p>
    <w:p>
      <w:pPr/>
      <w:r>
        <w:rPr>
          <w:b/>
        </w:rPr>
        <w:t>Shared claim-specific concepts:</w:t>
      </w:r>
      <w:r>
        <w:t xml:space="preserve"> article, explores, face, many; EU scope visible. This is a provisional connection, not an outcome finding.</w:t>
      </w:r>
    </w:p>
    <w:p>
      <w:pPr>
        <w:pStyle w:val="SourceNote"/>
      </w:pPr>
      <w:r>
        <w:rPr>
          <w:b/>
        </w:rPr>
        <w:t>Available abstract (not full text):</w:t>
      </w:r>
      <w:r>
        <w:t xml:space="preserve"> Sustainable development is essential for building a prosperous and resilient future for Europe.This article explores the various dimensions of sustainable development in Europe, including environmental, social, and economic sustainability.We used theoretical and empirical research methods in this article.Theoretical methods are analysis, synthesis, generalization and comparison of literary sources.Empirical research methods in this article are observation and measurement.Environmental sustainability in Europe faces challenges such as climate change, biodiversity loss, and pollution.However, there are many successful initiatives being implement, such as the EU Green Deal, to transform the EU economy into a sustainable one.Social sustainability faces issues such as inequality, poverty, and social exclusion, which require policies that promote social cohesion and address these challenges.Economic sustainability involves promoting inclusive and sustainable economic growth, particularly in the face of global challenges such as climate change and technological disruption.To achieve long-term sustainable development in Europe, it is crucial to integrate environmental, social, and economic considerations into decision-making processes.This requires promoting sustainability in all sectors of society, including businesses, governments, and individuals.For the first time, a comparison of </w:t>
      </w:r>
    </w:p>
    <w:p>
      <w:pPr/>
      <w:r>
        <w:rPr>
          <w:b/>
        </w:rPr>
        <w:t>POSSIBLE 2022:</w:t>
      </w:r>
      <w:r>
        <w:t xml:space="preserve"> European Green Deal necropolitics: Exploring ‘green’ energy transition, degrowth &amp; infrastructural colonization — https://doi.org/10.1016/j.polgeo.2022.102640</w:t>
      </w:r>
    </w:p>
    <w:p>
      <w:pPr/>
      <w:r>
        <w:rPr>
          <w:b/>
        </w:rPr>
        <w:t>Shared claim-specific concepts:</w:t>
      </w:r>
      <w:r>
        <w:t xml:space="preserve"> article, different, reveal; EU scope visible. This is a provisional connection, not an outcome finding.</w:t>
      </w:r>
    </w:p>
    <w:p>
      <w:pPr>
        <w:pStyle w:val="SourceNote"/>
      </w:pPr>
      <w:r>
        <w:rPr>
          <w:b/>
        </w:rPr>
        <w:t>Available abstract (not full text):</w:t>
      </w:r>
      <w:r>
        <w:t xml:space="preserve">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pPr/>
      <w:r>
        <w:rPr>
          <w:b/>
        </w:rPr>
        <w:t>POSSIBLE 2021:</w:t>
      </w:r>
      <w:r>
        <w:t xml:space="preserve"> Governing displaced migration in Europe: housing and the role of the “local” — https://doi.org/10.1186/s40878-020-00209-x</w:t>
      </w:r>
    </w:p>
    <w:p>
      <w:pPr/>
      <w:r>
        <w:rPr>
          <w:b/>
        </w:rPr>
        <w:t>Shared claim-specific concepts:</w:t>
      </w:r>
      <w:r>
        <w:t xml:space="preserve"> article, different, about, they; EU scope visible. This is a provisional connection, not an outcome finding.</w:t>
      </w:r>
    </w:p>
    <w:p>
      <w:pPr>
        <w:pStyle w:val="SourceNote"/>
      </w:pPr>
      <w:r>
        <w:rPr>
          <w:b/>
        </w:rPr>
        <w:t>Available abstract (not full text):</w:t>
      </w:r>
      <w:r>
        <w:t xml:space="preserve">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pPr>
        <w:pStyle w:val="Heading2"/>
      </w:pPr>
      <w:r>
        <w:t>935.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2026:</w:t>
      </w:r>
      <w:r>
        <w:t xml:space="preserve"> Monte Carlo Models for Asset Pricing and Financial Risk — https://doi.org/10.4018/979-8-3373-8372-9.ch003</w:t>
      </w:r>
    </w:p>
    <w:p>
      <w:pPr/>
      <w:r>
        <w:rPr>
          <w:b/>
        </w:rPr>
        <w:t>Shared claim-specific concepts:</w:t>
      </w:r>
      <w:r>
        <w:t xml:space="preserve"> monte, carlo, used, simulate; EU scope visible. This is a provisional connection, not an outcome finding.</w:t>
      </w:r>
    </w:p>
    <w:p>
      <w:pPr>
        <w:pStyle w:val="SourceNote"/>
      </w:pPr>
      <w:r>
        <w:rPr>
          <w:b/>
        </w:rPr>
        <w:t>Available abstract (not full text):</w:t>
      </w:r>
      <w:r>
        <w:t xml:space="preserve"> Monte Carlo simulation is now used in modern finance to process complex derivatives, uncertainty in the market and valid risk analysis in non-linear and multi-factor contexts. The traditional models of analysis are often limited by assumptions such as constant volatility and normal returns because real market dynamics are often not captured by traditional analytical models. The chapter provides a well-rounded model that incorporates the theoretical basis of Monte Carlo methods, its computer implementation and business applications. Its code support of useful Python and R functions to simulate the asset path, price European, American, and Asian options, compute Value at risk and Expected shortfall, use variance reduction, and many fundamental stochastic processes, including Geometric Brownian Motion, jump-diffusion and the Heston model. Banking, insurance, asset management, and corporate finance examples are given of applications that are decision-oriented and the regulatory relevance and reliability is demonstrated through convergence diagnostics and back testing.</w:t>
      </w:r>
    </w:p>
    <w:p>
      <w:pPr/>
      <w:r>
        <w:rPr>
          <w:b/>
        </w:rPr>
        <w:t>POSSIBLE 2026:</w:t>
      </w:r>
      <w:r>
        <w:t xml:space="preserve"> Variance Reduction Techniques for Monte Carlo Pricing of European Call Options — https://doi.org/10.5281/zenodo.21727184</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Monte Carlo simulation is one of many methods for pricing financial derivatives, such as European call options, but its slow convergence rate makes it nearly impossible to use in practice. This paper compares four Monte Carlo estimators for pricing a European call option under the Black-Scholes model: basic Monte Carlo, antithetic variates, control variates, and Quasi-Monte Carlo using Sobol low-discrepancy sequences. Using repeated simulations across multiple sample sizes, we measure the standard deviation of pricing errors relative to the analytical Black-Scholes value. Antithetic variates provide acceptable improvement, control variates yield substantially lower variance, and Quasi-Monte Carlo delivers the most impressive results, with variance reductions of up to two orders of magnitude. These results demonstrate the effectiveness of advanced sampling techniques in improving Monte Carlo efficiency.</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r>
        <w:rPr>
          <w:b/>
        </w:rPr>
        <w:t>POSSIBLE 2025:</w:t>
      </w:r>
      <w:r>
        <w:t xml:space="preserve"> European Options with Monte Carlo Simulation — https://doi.org/10.1007/979-8-8688-1793-9_11</w:t>
      </w:r>
    </w:p>
    <w:p>
      <w:pPr/>
      <w:r>
        <w:rPr>
          <w:b/>
        </w:rPr>
        <w:t>Shared claim-specific concepts:</w:t>
      </w:r>
      <w:r>
        <w:t xml:space="preserve"> monte, carlo, used, between; EU scope visible. This is a provisional connection, not an outcome finding.</w:t>
      </w:r>
    </w:p>
    <w:p>
      <w:pPr>
        <w:pStyle w:val="SourceNote"/>
      </w:pPr>
      <w:r>
        <w:rPr>
          <w:b/>
        </w:rPr>
        <w:t>Available abstract (not full text):</w:t>
      </w:r>
      <w:r>
        <w:t xml:space="preserve"> This chapter moves beyond analytical pricing formulas like the Black–Scholes model and explores how to price European options using Monte Carlo simulation. Monte Carlo methods are powerful numerical techniques widely used in finance when closed-form solutions are difficult or impossible to obtain. They rely on simulating a large number of possible paths for the underlying asset price and then estimating option payoffs statistically. This chapter is a bridge between theory (closed-form Black–Scholes) and practice (numerical methods for complex derivatives). After working through it, you’ll have both the coding skills and quantitative intuition to tackle more advanced derivatives (Asian, barrier, and American options) using Monte Carlo methods.</w:t>
      </w:r>
    </w:p>
    <w:p>
      <w:pPr/>
      <w:r>
        <w:rPr>
          <w:b/>
        </w:rPr>
        <w:t>POSSIBLE 2024:</w:t>
      </w:r>
      <w:r>
        <w:t xml:space="preserve"> EUROPEAN OPTION PRICING BY MONTE CARLO USING THE HESTON MODEL — https://doi.org/10.13140/rg.2.2.25518.57922</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Compare the Black-Scholes Model, Monte Carlo Model, One Step Binomial Tree Model through the European options of Apple. — https://doi.org/10.61173/f7heqb60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r>
        <w:rPr>
          <w:b/>
        </w:rPr>
        <w:t>POSSIBLE 2024:</w:t>
      </w:r>
      <w:r>
        <w:t xml:space="preserve"> Compare the Black-Scholes Model, Monte Carlo Model, One Step Binomial Tree Model through the European options of Apple — https://doi.org/10.61173/2xbr7x94</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pStyle w:val="Heading2"/>
      </w:pPr>
      <w:r>
        <w:t>936.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r>
        <w:rPr>
          <w:b/>
        </w:rPr>
        <w:t>POSSIBLE 2022:</w:t>
      </w:r>
      <w:r>
        <w:t xml:space="preserve"> War in Ukraine: Putin and the multi-order world — https://doi.org/10.1080/13523260.2022.2091591</w:t>
      </w:r>
    </w:p>
    <w:p>
      <w:pPr/>
      <w:r>
        <w:rPr>
          <w:b/>
        </w:rPr>
        <w:t>Shared claim-specific concepts:</w:t>
      </w:r>
      <w:r>
        <w:t xml:space="preserve"> rather, putin, russian; EU scope not established. This is a provisional connection, not an outcome finding.</w:t>
      </w:r>
    </w:p>
    <w:p>
      <w:pPr>
        <w:pStyle w:val="SourceNote"/>
      </w:pPr>
      <w:r>
        <w:rPr>
          <w:b/>
        </w:rPr>
        <w:t>Available abstract (not full text):</w:t>
      </w:r>
      <w:r>
        <w:t xml:space="preserve"> The global rules-based order has been in transformation for more than a decade, whilst the liberal international order has been in crisis and new international orders are emerging. Within this context, the Russian invasion of Ukraine marks what the Germans have called a Zeitenwende because the multi-order world is now a reality. The article outlines the main characteristics and implications of a multi-order world and outlines four categories of orders that will populate the multi-order world. The article details Putin’s vision for a Eurasian order and how his plans are received within the Eurasian order. The article offers a perspective on how the global dynamics of the new multi-order world might play out, showing that it is likely to be conflictual rather than a cooperative, and that members of the Eurasian order show little enthusiasm for Putin’s vision, resulting in an order held together by force rather than consent.</w:t>
      </w:r>
    </w:p>
    <w:p>
      <w:pPr/>
      <w:r>
        <w:rPr>
          <w:b/>
        </w:rPr>
        <w:t>POSSIBLE 2022:</w:t>
      </w:r>
      <w:r>
        <w:t xml:space="preserve"> THE APPROACH OF FINLAND TO RUSSIAN OCCUPATION OF UKRAINE: SECURITISATION OF THE PUTIN REGIME / Rusya’nın Ukrayna’yı İşgaline Finlandiya’nın Yaklaşımı: Putin Rejiminin Güvenlikleştirilmesi — https://doi.org/10.29216/ueip.1144817</w:t>
      </w:r>
    </w:p>
    <w:p>
      <w:pPr/>
      <w:r>
        <w:rPr>
          <w:b/>
        </w:rPr>
        <w:t>Shared claim-specific concepts:</w:t>
      </w:r>
      <w:r>
        <w:t xml:space="preserve"> putin, regime, russian; EU scope visible. This is a provisional connection, not an outcome finding.</w:t>
      </w:r>
    </w:p>
    <w:p>
      <w:pPr>
        <w:pStyle w:val="SourceNote"/>
      </w:pPr>
      <w:r>
        <w:rPr>
          <w:b/>
        </w:rPr>
        <w:t>Available abstract (not full text):</w:t>
      </w:r>
      <w:r>
        <w:t xml:space="preserve"> The purpose of this article is to explain the approach of Finland to Russian occupation of Ukraine. Finnish foreign policy implemented between February 24 when Ukraine-Russia War began, and June 30, is analysed by using securitisation theory developed by the Copenhagen School. This study argues that Finland securitised the Putin regime. As a consequence of securitisation analysis, the article reached four results. First, Finnish Prime Minister Sanna Marin and President Sauli Niinistö see Russia under the Putin government as a military threat. Second, Prime Minister Sanna Marin and President Sauli Niinistö want to make Finland a member of NATO to strengthen defence capabilities of the country against Russia. Third, Finland securitised the Putin regime. Fourth, as a member of the European Union, Finland has applied collective EU sanctions on Russia, President Vladimir Putin and his close partners. By applying for NATO membership, Finland abandoned the policy of military neutrality that it has been implementing since the 20th century.</w:t>
      </w:r>
    </w:p>
    <w:p>
      <w:pPr/>
      <w:r>
        <w:rPr>
          <w:b/>
        </w:rPr>
        <w:t>POSSIBLE 2022:</w:t>
      </w:r>
      <w:r>
        <w:t xml:space="preserve"> After Putin – what? — https://doi.org/10.1080/00963402.2022.2132731</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By calling for Putin’s removal from power, Western officials and scholars magnify Russian historic fears of a state collapse. Worse, they magnify them by fueling the Kremlin propaganda machine and reinforcing Russians’ reluctance to turn against their regime. Still, Putin will inevitably have to go someday. When that day arrives, however, it is all but clear what the future for Russia will be. Will Russia after Putin necessarily collapse? Or will Putin’s successor turn to the West with a plea for peace and engage the country in reforms and modernization? History can still go either way. But by creating a huge police force to repel popular discontent, accumulating vast financial reserves to escape sanctions, and modifying the Russian constitution so the ruler can indefinitely remain in power, Putin has already laid the groundwork for whoever happens to be his successor to persevere in the current course of aggression – a course where the aggressor possesses the world’s largest arsenal of nuclear weapons.</w:t>
      </w:r>
    </w:p>
    <w:p>
      <w:pPr/>
      <w:r>
        <w:rPr>
          <w:b/>
        </w:rPr>
        <w:t>POSSIBLE 2021:</w:t>
      </w:r>
      <w:r>
        <w:t xml:space="preserve"> Consolidating the Putin Regime: The 2020 Referendum on Russia’s Constitutional Amendments — https://doi.org/10.30965/24518921-00603004</w:t>
      </w:r>
    </w:p>
    <w:p>
      <w:pPr/>
      <w:r>
        <w:rPr>
          <w:b/>
        </w:rPr>
        <w:t>Shared claim-specific concepts:</w:t>
      </w:r>
      <w:r>
        <w:t xml:space="preserve"> continue, putin, regime, russian; EU scope not established. This is a provisional connection, not an outcome finding.</w:t>
      </w:r>
    </w:p>
    <w:p>
      <w:pPr>
        <w:pStyle w:val="SourceNote"/>
      </w:pPr>
      <w:r>
        <w:rPr>
          <w:b/>
        </w:rPr>
        <w:t>Available abstract (not full text):</w:t>
      </w:r>
      <w:r>
        <w:t xml:space="preserve"> Abstract In July 2020, Russian voters gave strong support to a package of constitutional reforms that reconfigured the Russian political system and enshrined social guarantees and conservative identity values, consolidating the regime that has been built over a 20-year period. This was achieved through an alteration that ‘zeroed’ presidential terms that commenced before the constitutional change, potentially allowing President Vladimir Putin to overcome term limits and continue in office beyond 2024. The article explains how such a far-reaching and important change was successfully endorsed by the Russian electorate. The analysis shows that the main explanation rests with variations in voting patterns across the regions, a pattern that has been evident in previous Russian elections and resulted in strong pro-Putin support. The article also evaluates questions raised about the legitimacy of the result, and its long-term significance for the Russian political system.</w:t>
      </w:r>
    </w:p>
    <w:p>
      <w:pPr/>
      <w:r>
        <w:rPr>
          <w:b/>
        </w:rPr>
        <w:t>POSSIBLE 2021:</w:t>
      </w:r>
      <w:r>
        <w:t xml:space="preserve"> Vladimir Putin — https://doi.org/10.4324/9781003100508-13</w:t>
      </w:r>
    </w:p>
    <w:p>
      <w:pPr/>
      <w:r>
        <w:rPr>
          <w:b/>
        </w:rPr>
        <w:t>Shared claim-specific concepts:</w:t>
      </w:r>
      <w:r>
        <w:t xml:space="preserve"> putin, regime, russian; EU scope visible. This is a provisional connection, not an outcome finding.</w:t>
      </w:r>
    </w:p>
    <w:p>
      <w:pPr>
        <w:pStyle w:val="SourceNote"/>
      </w:pPr>
      <w:r>
        <w:rPr>
          <w:b/>
        </w:rPr>
        <w:t>Available abstract (not full text):</w:t>
      </w:r>
      <w:r>
        <w:t xml:space="preserve"> Vladimir Putin has developed and consolidated a personalist political regime that incorporates every key formal feature of liberal democracy while also virtually eliminating the chance that the Putin network can be removed from power by electoral xxix means. Putin and his allies have captured the administrative machinery of the Russian state and in the process created a hybrid post-Communist party-state – a “neo-patrimonial façade democracy.” The essay argues that the structure and functioning of Putin’s system is best understood in terms of the history of one-party political “machines” that have appeared over the past century and a half in nominal democracies in the United States, Italy, Japan, Mexico, and so on. Paradoxically, Russia is freer than ever in its history, but at the same time much of Russia has rejected liberal values as understood in the contemporary West. By cultivating a charismatic traditionalist bond with the Russian people, reinforced by defensible performances in a series of domestic and foreign crises, Putin’s position appears unassailable although his bond with the Russian people has become more fragile. Whether this system can long survive Putin himself, however, remains very much to be seen.</w:t>
      </w:r>
    </w:p>
    <w:p>
      <w:pPr/>
      <w:r>
        <w:rPr>
          <w:b/>
        </w:rPr>
        <w:t>POSSIBLE 2021:</w:t>
      </w:r>
      <w:r>
        <w:t xml:space="preserve"> From ‘Putin the Saviour’ to ‘Irreplaceable Putin’:The Role of the 1990s in the Kremlin’s Strategic Communications — https://openalex.org/W7135975081</w:t>
      </w:r>
    </w:p>
    <w:p>
      <w:pPr/>
      <w:r>
        <w:rPr>
          <w:b/>
        </w:rPr>
        <w:t>Shared claim-specific concepts:</w:t>
      </w:r>
      <w:r>
        <w:t xml:space="preserve"> continue, putin, regime, russian; EU scope not established. This is a provisional connection, not an outcome finding.</w:t>
      </w:r>
    </w:p>
    <w:p>
      <w:pPr>
        <w:pStyle w:val="SourceNote"/>
      </w:pPr>
      <w:r>
        <w:rPr>
          <w:b/>
        </w:rPr>
        <w:t>Available abstract (not full text):</w:t>
      </w:r>
      <w:r>
        <w:t xml:space="preserve"> The Soviet Union ceased to exist thirty ago. However, its memory and the memory of the decade of crisis that followed its dissolution, continue to serve the Kremlin. Existing literature claims that Vladimir Putin, helped by the state-controlled media, has manipulated the memory of the Soviet Union and the trauma of the 1990s to justify his regime. This article takes a different approach. By adopting the framework of Strategic Communications, it claims that the Kremlin used the traumatic experience of the 1990s to build strategic narratives intended to justify Putin’s regime within the context of the values held by the majority of the Russian public. On the one hand, it argues that the Kremlin’s Strategic Communications are rooted in the past, either by glorifying it (nostalgia for the Soviet Union) or by vilifying it (‘the wild nineties’), because this is what resonates best with the Russian people. On the other hand, it suggests that Putin’s use of this past, combined with deep understanding of his domestic audience, allowed him to adapt and adjust his strategic narratives to the evolving situation in Russia, justifying his regime in the last two decades and legitimising its potential continuation beyond 2024.</w:t>
      </w:r>
    </w:p>
    <w:p>
      <w:pPr/>
      <w:r>
        <w:rPr>
          <w:b/>
        </w:rPr>
        <w:t>POSSIBLE 2017:</w:t>
      </w:r>
      <w:r>
        <w:t xml:space="preserve"> State-society relations and the sources of support for the Putin regime: bridging political culture and social contract theory — https://doi.org/10.1080/21599165.2017.1414697</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This article evaluates two theoretical approaches to the popularity and resilience of authoritarianism in Russia, namely political culture and social contract theory. These approaches are two of the most important theories of Russian politics and also reflect the general divide in comparative and post-communist politics between political-cultural and rationalist explanations. We demonstrate that these approaches are bound up with different notions of legitimacy. This article suggests that neither framework offers a complete explanation of the Russian case. We develop an alternative framework that bridges these two approaches. Our analysis suggests that the social contract in Russia needs to be analysed as dynamic and conditional. Moreover, the use of different legitimation strategies by Russian authorities suggests that leaders can reshape the social contract and gain support in a strategic fashion by choosing appeals related to political culture.</w:t>
      </w:r>
    </w:p>
    <w:p>
      <w:pPr>
        <w:pStyle w:val="Heading2"/>
      </w:pPr>
      <w:r>
        <w:t>937.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2023:</w:t>
      </w:r>
      <w:r>
        <w:t xml:space="preserve"> Problematising current coaching strategies from a worldview perspective — https://doi.org/10.4102/sajip.v49i0.2034</w:t>
      </w:r>
    </w:p>
    <w:p>
      <w:pPr/>
      <w:r>
        <w:rPr>
          <w:b/>
        </w:rPr>
        <w:t>Shared claim-specific concepts:</w:t>
      </w:r>
      <w:r>
        <w:t xml:space="preserve"> problematise, perspective, context; EU scope not established. This is a provisional connection, not an outcome finding.</w:t>
      </w:r>
    </w:p>
    <w:p>
      <w:pPr>
        <w:pStyle w:val="SourceNote"/>
      </w:pPr>
      <w:r>
        <w:rPr>
          <w:b/>
        </w:rPr>
        <w:t>Available abstract (not full text):</w:t>
      </w:r>
      <w:r>
        <w:t xml:space="preserve"> Orientation: Leaders need goodness-of-fit with the context in which they are leading, and coaching is considered an effective strategy to achieve this.Research purpose: To critically problematise current dominant coaching strategies in terms of their underlying worldviews, in order to assess their potential effectiveness and relevance in enhancing context‒leadership goodness-of-fit, given the emerging context faced by leaders.Motivation for the study: The current ever-changing context of leaders requires different thinking, including with regard to coaching. The framework of the coaching landscape, with its associated building blocks, provides the conceptual framework for the review of current coaching strategies. Three dominant worldviews that have historically influenced the thinking in social sciences are employed in this review, namely Newtonian, general systems theory and complexity or chaos (second-order systemic thinking).Research approach/design and method: This was a critical conceptual study aimed at problematising the worldviews informing the currently dominant coaching strategies.Main findings: The problematising of the worldviews underlying the dominant coaching strategies revealed that these strategies are not always informed by a worldview congruent with that demanded by the qualities and features of the world that leaders currently face. There is a pressing need</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r>
        <w:rPr>
          <w:b/>
        </w:rPr>
        <w:t>POSSIBLE 2017:</w:t>
      </w:r>
      <w:r>
        <w:t xml:space="preserve"> Problematising 'happiness' : a critical explanation of the UK's happiness agenda — https://openalex.org/W2738120925</w:t>
      </w:r>
    </w:p>
    <w:p>
      <w:pPr/>
      <w:r>
        <w:rPr>
          <w:b/>
        </w:rPr>
        <w:t>Shared claim-specific concepts:</w:t>
      </w:r>
      <w:r>
        <w:t xml:space="preserve"> seeks, presenting, context; EU scope not established. This is a provisional connection, not an outcome finding.</w:t>
      </w:r>
    </w:p>
    <w:p>
      <w:pPr>
        <w:pStyle w:val="SourceNote"/>
      </w:pPr>
      <w:r>
        <w:rPr>
          <w:b/>
        </w:rPr>
        <w:t>Available abstract (not full text):</w:t>
      </w:r>
      <w:r>
        <w:t xml:space="preserve"> Issues of ‘wellbeing’ and ‘happiness’ are becoming more and more prevalent in discussions of social policy and in the provision of healthcare services. In recent years, the maximisation of a nation’s ‘happiness’ has emerged as both a key policy objective and as a central focus within social, political and economic research, with public policy makers around the world having demonstrated a growing interest in national accounts of ‘wellbeing’. In the UK context, this growing interest is comprised of a perceived need to ‘know’ ‘happiness’ and ‘wellbeing’ better, so that they might be maximised. Such attitudes and beliefs made possible the introduction of four new questions to the Annual Population Survey that were specifically designed to measure the UK’s “subjective wellbeing” (now referred to as “individual life satisfaction” following revisions in subsequent years). In addition to this, in 2010 a non-profit organisation named Action for Happiness (AfH) was founded which sought to maximise the ‘happiness’ of society by offering individual members help and training towards living a ‘happier’ life - an endeavour which is understood to be necessitated by the stagnation of ‘happiness’ in modern Western societies. This thesis seeks to critically account for the emergence of such social and political practices – or ‘happiness agenda’ - and does so from a poststructuralist, post-Marxist</w:t>
      </w:r>
    </w:p>
    <w:p>
      <w:pPr/>
      <w:r>
        <w:rPr>
          <w:b/>
        </w:rPr>
        <w:t>POSSIBLE 2016:</w:t>
      </w:r>
      <w:r>
        <w:t xml:space="preserve"> Problematising Big Food’s appetite for policymaking the case of childhood obesity — https://openalex.org/W2598651920</w:t>
      </w:r>
    </w:p>
    <w:p>
      <w:pPr/>
      <w:r>
        <w:rPr>
          <w:b/>
        </w:rPr>
        <w:t>Shared claim-specific concepts:</w:t>
      </w:r>
      <w:r>
        <w:t xml:space="preserve"> seeks, perspective, address; EU scope visible. This is a provisional connection, not an outcome finding.</w:t>
      </w:r>
    </w:p>
    <w:p>
      <w:pPr>
        <w:pStyle w:val="SourceNote"/>
      </w:pPr>
      <w:r>
        <w:rPr>
          <w:b/>
        </w:rPr>
        <w:t>Available abstract (not full text):</w:t>
      </w:r>
      <w:r>
        <w:t xml:space="preserve"> Big Food companies, such as Coca-Cola, claim they ‘are helping to develop workable solutions to address obesity – by partnering with government, academia, health societies and other responsible members of civil society’ (Coca-Cola, 2011: 1). Big Food’s reinvention as public health promoter means that government public health policy is increasingly entangled with corporate practices. In 2011, the Broadcasting Authority of Ireland began a process to regulate the advertising of ultra-processed food to children in an attempt to address childhood obesity. This study takes Big Food’s response to this policy proposal and seeks to reveal what type of ‘problem’ childhood obesity is represented to be by Big Food. The focus on Big Food as a single discursive actor reflects the significant role which corporate interests increasingly play in the development of public health policy. Big Food is considered in this study as one of the governing parties in the shaping of discourse of childhood obesity. Employing the Foucauldian concepts of discourse and power/knowledge, this study looks at the deeper conceptual contests which frame how obesity policy is made in Ireland from the perspective of Big Food. The ‘What’s the problem represented to be?’ (WPR) methodology (Bacchi, 2009, 2010, 2012) is employed to examine how Big Food’s discourses of childhood obesity have developed, how they are maintai</w:t>
      </w:r>
    </w:p>
    <w:p>
      <w:pPr>
        <w:pStyle w:val="Heading2"/>
      </w:pPr>
      <w:r>
        <w:t>938.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2024:</w:t>
      </w:r>
      <w:r>
        <w:t xml:space="preserve"> ENTREPRENEURIAL ECOSYSTEMS IN THE USA: A COMPARATIVE REVIEW WITH EUROPEAN MODELS — https://doi.org/10.51594/ijmer.v6i2.799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This Review provides a concise overview of a comparative review exploring entrepreneurial ecosystems in the United States and their counterparts in Europe. The examination seeks to identify key characteristics, strengths, and challenges within these ecosystems, shedding light on the factors influencing entrepreneurship on both sides of the Atlantic. The entrepreneurial landscape in the United States has long been considered a global benchmark, characterized by a dynamic ecosystem that nurtures innovation, risk-taking, and venture capital. This review engages in a comparative analysis, juxtaposing the American entrepreneurial ecosystem with models prevalent in Europe. It delves into the structural elements, support mechanisms, and cultural factors that shape and differentiate these ecosystems. In the USA, a robust ecosystem is marked by a convergence of factors such as world-class universities, a prolific venture capital landscape, and a culture that embraces risk and failure as integral to the entrepreneurial journey. The review scrutinizes how these elements contribute to the rapid formation and scaling of startups, fostering a culture of innovation and resilience. Contrastingly, European entrepreneurial ecosystems exhibit a diverse range of models influenced by regional variations in culture, regulatory environments, and historical contexts. The analysis probes into the stren</w:t>
      </w:r>
    </w:p>
    <w:p>
      <w:pPr/>
      <w:r>
        <w:rPr>
          <w:b/>
        </w:rPr>
        <w:t>POSSIBLE 2024:</w:t>
      </w:r>
      <w:r>
        <w:t xml:space="preserve"> Comparative Literature in Europe — https://doi.org/10.1515/9783110645033-049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A Short Prognosis (as presented at the ACLA meeting in Utrecht on 6 July, 2017)The first prerequisite for a prognosis regarding the future of European comparatism would logically be to give a full overview of CompLit, or, in order to avoid problems of terminology, General and/or Comparative Literature, as it is in Europe today.Now this would entail a major effort, not only because Europe is such a difficult geographical, political, ethnic, cultural, and linguistic entity and is hard to define for our purpose, but also because there is no such thing as a general European logic behind the development of sciences and scholarly work, even though the European Council and the European Union as well as other political unities would perhaps nurture expectations and develop programmes along that line.Even worse: At this moment, we are tempted to quote Chinua Achebe: Things fall apart.Which means that we can only sum up some facts as they are, and some impressions, which need not be correct in each and every detail.Europe comprises some 47 countriescounting the very small ones like San Marino and the very distant ones (from here) like Kazakhstan, or contested ones like Cyprus or Kosovo.To make it easier, let us count 40 larger states, seven of which are successors of former Yugoslavia, with a total of ¾ billion people.Belgium, Bulgaria, Croatia, Estonia, Finland, France, Georgia, Greece,</w:t>
      </w:r>
    </w:p>
    <w:p>
      <w:pPr/>
      <w:r>
        <w:rPr>
          <w:b/>
        </w:rPr>
        <w:t>POSSIBLE 2023:</w:t>
      </w:r>
      <w:r>
        <w:t xml:space="preserve"> Addressing Cultural, Ethnic &amp; Religious Diversity Challenges in Europe: A comparative overview of 15 European countries — https://doi.org/10.32920/24290611</w:t>
      </w:r>
    </w:p>
    <w:p>
      <w:pPr/>
      <w:r>
        <w:rPr>
          <w:b/>
        </w:rPr>
        <w:t>Shared claim-specific concepts:</w:t>
      </w:r>
      <w:r>
        <w:t xml:space="preserve"> comparative, overview, different, makers; EU scope visible. This is a provisional connection, not an outcome finding.</w:t>
      </w:r>
    </w:p>
    <w:p>
      <w:pPr>
        <w:pStyle w:val="SourceNote"/>
      </w:pPr>
      <w:r>
        <w:rPr>
          <w:b/>
        </w:rPr>
        <w:t>Available abstract (not full text):</w:t>
      </w:r>
      <w:r>
        <w:t xml:space="preserve"> The aim of this report is to present and discuss the main ethnic, cultural and religious diversity challenges that Europe is facing today. In particular the report surveys 15 European countries, notably 14 member states (Bulgaria, Denmark, France, Germany, Greece, Hungary, Ireland, Italy, the Netherlands, Poland, Romania, Spain, Sweden, and the UK) and one associated country (Turkey) and identifies the minority groups or migrant populations that pose the most important ethnic or religious diversity challenges within them. The report concentrates in particular on challenges that have a currency across several EU countries. It discusses the ways in which different countries have dealt with similar diversity dilemmas and identifies appropriate courses of action for the future. The report is organised into seven parts. In parts 1- 6 we offer working definitions, followed by a comparative review of state formation, conceptions of citizenship and national identity, and minority/immigrant groups in the 15 countries studied. We also discuss comparatively the challenges raised by three main minority populations: ‘black’ people, Muslims and Roma (and the policies addressing with these challenges). The seventh section of this report offers 15 short country profiles outlining the situation in each of the countries studied. The purpose of ACCEPT PLURALISM is twofold: - to create a new theor</w:t>
      </w:r>
    </w:p>
    <w:p>
      <w:pPr/>
      <w:r>
        <w:rPr>
          <w:b/>
        </w:rPr>
        <w:t>POSSIBLE 2022:</w:t>
      </w:r>
      <w:r>
        <w:t xml:space="preserve"> Patient Safety Culture in European Hospitals: A Comparative Mixed Methods Study — https://doi.org/10.3390/ijerph19020939</w:t>
      </w:r>
    </w:p>
    <w:p>
      <w:pPr/>
      <w:r>
        <w:rPr>
          <w:b/>
        </w:rPr>
        <w:t>Shared claim-specific concepts:</w:t>
      </w:r>
      <w:r>
        <w:t xml:space="preserve"> comparative, methods, used, different, few; EU scope visible. This is a provisional connection, not an outcome finding.</w:t>
      </w:r>
    </w:p>
    <w:p>
      <w:pPr>
        <w:pStyle w:val="SourceNote"/>
      </w:pPr>
      <w:r>
        <w:rPr>
          <w:b/>
        </w:rPr>
        <w:t>Available abstract (not full text):</w:t>
      </w:r>
      <w:r>
        <w:t xml:space="preserve"> BACKGROUND: Poorly organized health systems with inadequate leadership limit the development of the robust safety cultures capable of preventing consequential adverse events. Although safety culture has been studied in hospitals worldwide, the relationship between clinician perceptions about patient safety and their actual clinical practices has received little attention. Despite the need for mixed methods studies to achieve a deeper understanding of safety culture, there are few studies providing comparisons of hospitals in different countries. PURPOSE: This study compared the safety culture of hospitals from the perspective of nurses in four European countries, including Croatia, Hungary, Spain, and Sweden. DESIGN: A comparative mixed methods study with a convergent parallel design. METHODS: = 538) was collected with the Hospital Survey on Patient Safety Culture (HSOPSC) and qualitative date was collected through 24 in-depth interviews and 147 h of non-participant observation. Survey data was analyzed descriptively and inferentially, and content analysis was used to analyze the qualitative data. RESULTS: The overall perception of safety culture for most dimensions was 'adequate' in Sweden and 'adequate' to 'poor' in the other countries with inconsistencies identified between survey and qualitative data. Although teamwork within units was the most positive dimension across cou</w:t>
      </w:r>
    </w:p>
    <w:p>
      <w:pPr/>
      <w:r>
        <w:rPr>
          <w:b/>
        </w:rPr>
        <w:t>POSSIBLE 2022:</w:t>
      </w:r>
      <w:r>
        <w:t xml:space="preserve"> An Overview of Healthcare Associated Infections and Their Detection Methods Caused by Pathogen Bacteria in Romania and Europe — https://doi.org/10.3390/jcm11113204</w:t>
      </w:r>
    </w:p>
    <w:p>
      <w:pPr/>
      <w:r>
        <w:rPr>
          <w:b/>
        </w:rPr>
        <w:t>Shared claim-specific concepts:</w:t>
      </w:r>
      <w:r>
        <w:t xml:space="preserve"> overview, methods, they, used, different, many; EU scope visible. This is a provisional connection, not an outcome finding.</w:t>
      </w:r>
    </w:p>
    <w:p>
      <w:pPr>
        <w:pStyle w:val="SourceNote"/>
      </w:pPr>
      <w:r>
        <w:rPr>
          <w:b/>
        </w:rPr>
        <w:t>Available abstract (not full text):</w:t>
      </w:r>
      <w:r>
        <w:t xml:space="preserve"> Healthcare-associated infections can occur in different care units and can affect both patients and healthcare professionals. Bacteria represent the most common cause of nosocomial infections and, due to the excessive and irrational use of antibiotics, resistant organisms have appeared. The most important healthcare-associated infections are central line-associated bloodstream infections, catheter-associated urinary tract infections, surgical site, soft tissue infections, ventilator-associated pneumonia, hospital acquired pneumonia, and Clostridioides difficile colitis. In Europe, some hospitalized patients develop nosocomial infections that lead to increased costs and prolonged hospitalizations. Healthcare-associated infection prevalence in developed countries is lower than in low-income and middle-income countries such as Romania, an Eastern European country, where several factors contribute to the occurrence of many nosocomial infections, but official data show a low reporting rate. For the rapid identification of bacteria that can cause these infections, fast, sensitive, and specific methods are needed, and they should be cost-effective. Therefore, this review focuses on the current situation regarding healthcare-associated infections in Europe and Romania, with discussions regarding the causes and possible solutions. As a possible weapon in the fight against the healthcare</w:t>
      </w:r>
    </w:p>
    <w:p>
      <w:pPr/>
      <w:r>
        <w:rPr>
          <w:b/>
        </w:rPr>
        <w:t>POSSIBLE 2022:</w:t>
      </w:r>
      <w:r>
        <w:t xml:space="preserve"> Islamic Banks and the European Banking Union: An Overview of Critical Issues and Perspectives — https://doi.org/10.13135/2421-2172/6424</w:t>
      </w:r>
    </w:p>
    <w:p>
      <w:pPr/>
      <w:r>
        <w:rPr>
          <w:b/>
        </w:rPr>
        <w:t>Shared claim-specific concepts:</w:t>
      </w:r>
      <w:r>
        <w:t xml:space="preserve"> critical, overview, provide; EU scope visible. This is a provisional connection, not an outcome finding.</w:t>
      </w:r>
    </w:p>
    <w:p>
      <w:pPr>
        <w:pStyle w:val="SourceNote"/>
      </w:pPr>
      <w:r>
        <w:rPr>
          <w:b/>
        </w:rPr>
        <w:t>Available abstract (not full text):</w:t>
      </w:r>
      <w:r>
        <w:t xml:space="preserve"> The aim of the paper is to provide a general, but in-depth, an overview of aspects of incompatibility and actual interest profiles of Islamic finance in relation to the legal system of the European Banking Union, identifying some prospects for positive future developments. It examines the relevant Islamic principles for banking and the differences from conventional European banks for regulation and supervision, some experiences and possible relationships. The modern communication between the Islamic banking scheme and the European (and international) one is certainly allowed by the activity of the IFSB regulator, especially about the adaptation to the Basel Committee standards and the related capital requirements, transparency criteria, common reference, considering the global application to operate in the international markets. The examination of the relationship with the European Banking Union allows the identification of future profiles of debate and research in Economics Law, considering the opportunity for regulatory adjustments and the interaction between EU and national law and the interesting ethical aims of the socially responsible Islamic finance.</w:t>
      </w:r>
    </w:p>
    <w:p>
      <w:pPr/>
      <w:r>
        <w:rPr>
          <w:b/>
        </w:rPr>
        <w:t>POSSIBLE 2022:</w:t>
      </w:r>
      <w:r>
        <w:t xml:space="preserve"> Critical Infrastructures Overview: Past, Present and Future — https://doi.org/10.3390/su14042233</w:t>
      </w:r>
    </w:p>
    <w:p>
      <w:pPr/>
      <w:r>
        <w:rPr>
          <w:b/>
        </w:rPr>
        <w:t>Shared claim-specific concepts:</w:t>
      </w:r>
      <w:r>
        <w:t xml:space="preserve"> critical, overview, methods, used, provide, few; EU scope visible. This is a provisional connection, not an outcome finding.</w:t>
      </w:r>
    </w:p>
    <w:p>
      <w:pPr>
        <w:pStyle w:val="SourceNote"/>
      </w:pPr>
      <w:r>
        <w:rPr>
          <w:b/>
        </w:rPr>
        <w:t>Available abstract (not full text):</w:t>
      </w:r>
      <w:r>
        <w:t xml:space="preserve"> Industrialized societies depend on the proper functioning of a whole range of technological infrastructures, such as electricity, road and railway networks and telecommunications which, due to their importance, are generically referred to as critical infrastructures (CIs). Technical failures, natural disasters and malicious events, if not terrorist, could have devastating effects on these infrastructures. The events of the last few years have accelerated efforts to identify and designate CIs at national and European levels and have reinforced concerns about increasing their protection in sensitive sectors for the safety of the individual and the community. The aim of this research is to provide the basic elements to understand the issue along with the reasons for its importance both at national, European and international level. In particular, after analyzing the origin of the problem, a systematic literature review is carried out to study the current research around future perspectives relating to the management of Cis, with particular focus on three research questions: RQ1 “What types of risk assessment methods are used to manage CIs?”, RQ2 “What are the environmental risk mitigation strategies for CIs?” and RQ3 “What is the role of the human factor in the prevention of risks for CIs?”. The results aim to be guidelines for decision makers and researchers interested in this to</w:t>
      </w:r>
    </w:p>
    <w:p>
      <w:pPr>
        <w:pStyle w:val="Heading2"/>
      </w:pPr>
      <w:r>
        <w:t>939.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2024:</w:t>
      </w:r>
      <w:r>
        <w:t xml:space="preserve"> Assessing Critical Raw Materials and Their Supply Risk in Energy Technologies—A Literature Review — https://doi.org/10.3390/en18010086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Climate change is leading modern society to seek innovative solutions for sustainable development and a zero-carbon economy. Nevertheless, new technologies strongly rely on precious raw materials and might suffer from supply chain risks. The European Union has identified a set of raw materials deemed to be critical or strategic because they appear essential for energy transition technologies. Consequently, long-term energy system planning must factor in the availability of these critical raw materials when selecting specific technologies, as their supply could be affected by global policies or conflicts. This paper provides a literature review on the assessment of critical raw materials in energy technologies comparing the main approaches on critical raw materials content assessment in technologies, long-term planning studies considering critical raw materials, and the development of indicators for critical raw materials content in energy technologies. The main findings of this review suggest that existing reliable databases with the bill of materials, such as life cycle inventories, should be exploited and that proper indicators to rank the criticality of materials and the importance of a specific technology should be developed. These findings are discussed and organized proposing a method for the optimal planning of an energy technologies mix in regional or national energy sy</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discuss, energy, security;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The contribution of European citizen‐led energy initiatives to sustainable development goals — https://doi.org/10.1002/sd.2844</w:t>
      </w:r>
    </w:p>
    <w:p>
      <w:pPr/>
      <w:r>
        <w:rPr>
          <w:b/>
        </w:rPr>
        <w:t>Shared claim-specific concepts:</w:t>
      </w:r>
      <w:r>
        <w:t xml:space="preserve"> discuss, energy, effective, despite, technological; EU scope visible. This is a provisional connection, not an outcome finding.</w:t>
      </w:r>
    </w:p>
    <w:p>
      <w:pPr>
        <w:pStyle w:val="SourceNote"/>
      </w:pPr>
      <w:r>
        <w:rPr>
          <w:b/>
        </w:rPr>
        <w:t>Available abstract (not full text):</w:t>
      </w:r>
      <w:r>
        <w:t xml:space="preserve">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2021:</w:t>
      </w:r>
      <w:r>
        <w:t xml:space="preserve"> Integration of raw materials indicators of energy technologies into energy system models — https://doi.org/10.1016/j.apenergy.2021.118150</w:t>
      </w:r>
    </w:p>
    <w:p>
      <w:pPr/>
      <w:r>
        <w:rPr>
          <w:b/>
        </w:rPr>
        <w:t>Shared claim-specific concepts:</w:t>
      </w:r>
      <w:r>
        <w:t xml:space="preserve"> energy, despite; EU scope visible. This is a provisional connection, not an outcome finding.</w:t>
      </w:r>
    </w:p>
    <w:p>
      <w:pPr>
        <w:pStyle w:val="SourceNote"/>
      </w:pPr>
      <w:r>
        <w:rPr>
          <w:b/>
        </w:rPr>
        <w:t>Available abstract (not full text):</w:t>
      </w:r>
      <w:r>
        <w:t xml:space="preserve"> Raw materials and their related environmental impacts will play a key role in the implementation of renewable energy infrastructures for decarbonization. Despite the growing amount of data quantifying raw materials for energy production technologies, few examples of these data sources are being included in current energy system models. Accordingly, this paper introduces possible pathways for integrating material-specific life cycle assessment outputs and material metabolism indicators into energy system models so that raw material requirements, and their associated impacts, can be accounted for. The paper discusses the availability of life cycle inventories, impact assessment methods and important output indicators. The material metabolism indicators most relevant to the current policy debate surrounding the European Green Deal–namely, material supply risk and contribution of recycled materials to total supply–are also discussed alongside the value of adding this information to energy system models. A methodology for using data from both approaches is offered and operationalised using four sub-technologies of both wind turbines and solar photovoltaic panels as case studies. The results show that considerable variation exists between and within the two groups for all indicators. The technologies with the lowest global warming potential, cumulative energy demand and supply risk a</w:t>
      </w:r>
    </w:p>
    <w:p>
      <w:pPr/>
      <w:r>
        <w:rPr>
          <w:b/>
        </w:rPr>
        <w:t>POSSIBLE 2021:</w:t>
      </w:r>
      <w:r>
        <w:t xml:space="preserve"> CO2 emissions and energy technologies in Western Europe — https://doi.org/10.1007/s13209-021-00234-8</w:t>
      </w:r>
    </w:p>
    <w:p>
      <w:pPr/>
      <w:r>
        <w:rPr>
          <w:b/>
        </w:rPr>
        <w:t>Shared claim-specific concepts:</w:t>
      </w:r>
      <w:r>
        <w:t xml:space="preserve"> energy, carbon, focus; EU scope visible. This is a provisional connection, not an outcome finding.</w:t>
      </w:r>
    </w:p>
    <w:p>
      <w:pPr>
        <w:pStyle w:val="SourceNote"/>
      </w:pPr>
      <w:r>
        <w:rPr>
          <w:b/>
        </w:rPr>
        <w:t>Available abstract (not full text):</w:t>
      </w:r>
      <w:r>
        <w:t xml:space="preserve"> In this paper, we investigate the path to the green transition in Europe. In so doing, we implement an empirical model of dynamic panel data on a sample of sixteen Western European countries over the period 1980 to 2019. The model is consistent with various features of neoclassical growth theory incorporating energy use. Our focus is on the short-run determinants of carbon emissions within that set of countries. We provide evidence that the relationship between economic activity and CO2 emissions is strong in economies where economic booms depend on energy-intensive sectors. Also, the mitigating role of renewable energy technologies is key when energy intensity rebounds. These circumstances may constitute a challenge for the climate transition goals targeted in the EU's Recovery Plan, whose main objective at this very moment is to mitigate the economic and social impact of the coronavirus pandemic.</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discuss, energy, technology, carbon, focus, security;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2019:</w:t>
      </w:r>
      <w:r>
        <w:t xml:space="preserve"> Social Innovation in Community Energy in Europe: A Review of the Evidence — https://doi.org/10.3389/fenrg.2019.00031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pStyle w:val="Heading2"/>
      </w:pPr>
      <w:r>
        <w:t>940.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2025:</w:t>
      </w:r>
      <w:r>
        <w:t xml:space="preserve"> When order execution meets informed trading — https://doi.org/10.1080/14697688.2025.2479049</w:t>
      </w:r>
    </w:p>
    <w:p>
      <w:pPr/>
      <w:r>
        <w:rPr>
          <w:b/>
        </w:rPr>
        <w:t>Shared claim-specific concepts:</w:t>
      </w:r>
      <w:r>
        <w:t xml:space="preserve"> order, target, high; EU scope not established. This is a provisional connection, not an outcome finding.</w:t>
      </w:r>
    </w:p>
    <w:p>
      <w:pPr>
        <w:pStyle w:val="SourceNote"/>
      </w:pPr>
      <w:r>
        <w:rPr>
          <w:b/>
        </w:rPr>
        <w:t>Available abstract (not full text):</w:t>
      </w:r>
      <w:r>
        <w:t xml:space="preserve"> Various participants trade simultaneously in modern financial markets. We study the interaction between the institutional investor driven by a position target and multiple informed traders possessing long-lived information. The problem is formulated as a Stackelberg-Nash game in the linear price impact model. We solve the problem explicitly and obtain the unique equilibrium. Informed traders first engage in predatory trading and then quickly provide much liquidity to the institutional investor. The advantage in transaction costs encourages informed traders to intensify predation but fierce competition forces them to focus on liquidity provision. The institutional investor always employs a well-known U-shape trading strategy regardless of the magnitude of transaction costs and the number of informed traders, and tends to trade more uniformly with high transaction costs and more informed traders. Orders posted by the institutional investor distort the originally efficient price while informed traders trade in the opposite direction to keep the price from deviating too far from the value. We propose a conjecture that transient price impact may be caused by informed trading. An approximately exponential decay is derived with linear permanent and temporary price impacts, and the convergence speed depends on informed traders' transaction costs.</w:t>
      </w:r>
    </w:p>
    <w:p>
      <w:pPr/>
      <w:r>
        <w:rPr>
          <w:b/>
        </w:rPr>
        <w:t>POSSIBLE 2024:</w:t>
      </w:r>
      <w:r>
        <w:t xml:space="preserve"> Advancing glioblastoma treatment by targeting metabolism — https://doi.org/10.1016/j.neo.2024.100985</w:t>
      </w:r>
    </w:p>
    <w:p>
      <w:pPr/>
      <w:r>
        <w:rPr>
          <w:b/>
        </w:rPr>
        <w:t>Shared claim-specific concepts:</w:t>
      </w:r>
      <w:r>
        <w:t xml:space="preserve"> order, target, present, potential; EU scope not established. This is a provisional connection, not an outcome finding.</w:t>
      </w:r>
    </w:p>
    <w:p>
      <w:pPr>
        <w:pStyle w:val="SourceNote"/>
      </w:pPr>
      <w:r>
        <w:rPr>
          <w:b/>
        </w:rPr>
        <w:t>Available abstract (not full text):</w:t>
      </w:r>
      <w:r>
        <w:t xml:space="preserve"> Alterations in cellular metabolism are important hallmarks of glioblastoma(GBM). Metabolic reprogramming is a critical feature as it meets the higher nutritional demand of tumor cells, including proliferation, growth, and survival. Many genes, proteins, and metabolites associated with GBM metabolism reprogramming have been found to be aberrantly expressed, which may provide potential targets for cancer treatment. Therefore, it is becoming increasingly important to explore the role of internal and external factors in metabolic regulation in order to identify more precise therapeutic targets and diagnostic markers for GBM. In this review, we define the metabolic characteristics of GBM, investigate metabolic specificities such as targetable vulnerabilities and therapeutic resistance, as well as present current efforts to target GBM metabolism to improve the standard of care.</w:t>
      </w:r>
    </w:p>
    <w:p>
      <w:pPr/>
      <w:r>
        <w:rPr>
          <w:b/>
        </w:rPr>
        <w:t>POSSIBLE 2023:</w:t>
      </w:r>
      <w:r>
        <w:t xml:space="preserve"> Growing Double Materiality into Corporate Sustainability Reporting in Order to Meet Green Deal Targets — https://doi.org/10.2478/9788367405546-034</w:t>
      </w:r>
    </w:p>
    <w:p>
      <w:pPr/>
      <w:r>
        <w:rPr>
          <w:b/>
        </w:rPr>
        <w:t>Shared claim-specific concepts:</w:t>
      </w:r>
      <w:r>
        <w:t xml:space="preserve"> order, meet, potential; EU scope not established. This is a provisional connection, not an outcome finding.</w:t>
      </w:r>
    </w:p>
    <w:p>
      <w:pPr>
        <w:pStyle w:val="SourceNote"/>
      </w:pPr>
      <w:r>
        <w:rPr>
          <w:b/>
        </w:rPr>
        <w:t>Available abstract (not full text):</w:t>
      </w:r>
      <w:r>
        <w:t xml:space="preserve"> The International Conferences on Economics and Social Sciences (ICESS) organized by Bucharest University of Economic Studies provide an opportunity for all those interested in Economics and Social Sciences to discuss and exchange research ideas. The papers presented at the Conference are available online in the Conference Proceedings series (ISSN 2704-6524): Volume 2019 Collaborative Research for Excellence in Economics and Social Sciences, ISBN 9788366675322 Volume 2020 Innovative Models to Revive the Global Economy, ISBN 9788395815072 Volume 2021 Resilience and Economic Intelligence Through Digitalization and Big Data Analytics, ISBN 9788366675704 Volume 2022 Fostering recovery through metaverse business modelling, ISBN 978-83-67405-07-2 The world today is vastly different than what it was even a few decades ago, as a result of advances in technology, globalization, and societal changes. Recently, particular attention has been given to sustainable development raising the question of how to drive economic growth in a responsible manner by harnessing technology’s potential while accounting for diverse national perspectives. In 2015, the United Nations agreed upon 17 Sustainable Development Goals (SDGs) aimed to transform our world by 2030. However, without the support of stakeholders from government, business and civil societies, the SDGs are</w:t>
      </w:r>
    </w:p>
    <w:p>
      <w:pPr/>
      <w:r>
        <w:rPr>
          <w:b/>
        </w:rPr>
        <w:t>POSSIBLE 2023:</w:t>
      </w:r>
      <w:r>
        <w:t xml:space="preserve"> Nuclear Data Uncertainty Analysis to Meet the Target Accuracy Requirements on the MYRRHAkeff — https://doi.org/10.1051/epjconf/202328408012</w:t>
      </w:r>
    </w:p>
    <w:p>
      <w:pPr/>
      <w:r>
        <w:rPr>
          <w:b/>
        </w:rPr>
        <w:t>Shared claim-specific concepts:</w:t>
      </w:r>
      <w:r>
        <w:t xml:space="preserve"> order, meet, target, reduction, system; EU scope visible. This is a provisional connection, not an outcome finding.</w:t>
      </w:r>
    </w:p>
    <w:p>
      <w:pPr>
        <w:pStyle w:val="SourceNote"/>
      </w:pPr>
      <w:r>
        <w:rPr>
          <w:b/>
        </w:rPr>
        <w:t>Available abstract (not full text):</w:t>
      </w:r>
      <w:r>
        <w:t xml:space="preserve"> MYRRHA is a flexible experimental facility being designed at the SCK CEN, in Mol, Belgium. Cooled by lead-bismuth, it is conceived to operate both in sub-critical mode, as an accelerator driven system, and in critical mode, as a fast reactor. In order to comply with MYRRHA reactor design requirements, uncertainties due to nuclear data must be quantified. Significant gaps between the uncertainties and the target accuracies have been systematically shown in the past. In this paper, first, a Sensitivity and Uncertainty analysis with JEFF-3.3 nuclear data library of the effective neutron multiplication factorkeffof the latest MYRRHA reactor design - v1.8 - is presented. Then, since target accuracy forkeffof 300 pcm is exceeded, a Target Accuracy Requirement assessment is performed in order to find out the required accuracy on cross section data to meet the requested target accuracy. To reach the requested target accuracy, a reduction of the uncertainty in the fission and capture cross sections of240Pu JEFF-3.3 evaluation is needed.</w:t>
      </w:r>
    </w:p>
    <w:p>
      <w:pPr/>
      <w:r>
        <w:rPr>
          <w:b/>
        </w:rPr>
        <w:t>POSSIBLE 2023:</w:t>
      </w:r>
      <w:r>
        <w:t xml:space="preserve"> Study on Control Strategies on NOX Emissions to Meet Real Driving Emissions — https://doi.org/10.1021/acsomega.3c03751</w:t>
      </w:r>
    </w:p>
    <w:p>
      <w:pPr/>
      <w:r>
        <w:rPr>
          <w:b/>
        </w:rPr>
        <w:t>Shared claim-specific concepts:</w:t>
      </w:r>
      <w:r>
        <w:t xml:space="preserve"> order, meet, emissions, reduction; EU scope not established. This is a provisional connection, not an outcome finding.</w:t>
      </w:r>
    </w:p>
    <w:p>
      <w:pPr>
        <w:pStyle w:val="SourceNote"/>
      </w:pPr>
      <w:r>
        <w:rPr>
          <w:b/>
        </w:rPr>
        <w:t>Available abstract (not full text):</w:t>
      </w:r>
      <w:r>
        <w:t xml:space="preserve"> The aim of this study was to fulfill the NOx emissions standards for a light-duty diesel vehicle under real driving emissions (RDE) testing conditions by implementing various control strategies. In this study, RDE tests were performed by adjusting the air mass quantity and postinjection quantity in order to analyze engine-out and tail-pipe nitrogen oxides (NOx) emissions for different phases of RDE. The results showed that reducing in air mass quantity enabled the engine to operate in higher exhaust gas recirculation (EGR) rate regions, resulting in a 32.5% reduction in engine-out NOx emissions and an 80.4% decrease in tail-pipe NOx emissions. Increasing the postinjection quantity primarily enhanced the NOx conversion efficiency for the urban phase by 7.5%, leading to a 22.6% reduction in tail-pipe NOx emissions. By employing both strategies, vehicles can comfortably meet the CN6b emission regulations by a substantial margin.</w:t>
      </w:r>
    </w:p>
    <w:p>
      <w:pPr/>
      <w:r>
        <w:rPr>
          <w:b/>
        </w:rPr>
        <w:t>POSSIBLE 2023:</w:t>
      </w:r>
      <w:r>
        <w:t xml:space="preserve"> Emissions and energy impacts of the Inflation Reduction Act — https://doi.org/10.1126/science.adg3781</w:t>
      </w:r>
    </w:p>
    <w:p>
      <w:pPr/>
      <w:r>
        <w:rPr>
          <w:b/>
        </w:rPr>
        <w:t>Shared claim-specific concepts:</w:t>
      </w:r>
      <w:r>
        <w:t xml:space="preserve"> emissions, reduction, energy; EU scope not established. This is a provisional connection, not an outcome finding.</w:t>
      </w:r>
    </w:p>
    <w:p>
      <w:pPr>
        <w:pStyle w:val="SourceNote"/>
      </w:pPr>
      <w:r>
        <w:rPr>
          <w:b/>
        </w:rPr>
        <w:t>Available abstract (not full text):</w:t>
      </w:r>
      <w:r>
        <w:t xml:space="preserve"> Economy-wide emissions drop 43 to 48% below 2005 levels by 2035 with accelerated clean energy deployment.</w:t>
      </w:r>
    </w:p>
    <w:p>
      <w:pPr/>
      <w:r>
        <w:rPr>
          <w:b/>
        </w:rPr>
        <w:t>POSSIBLE 2023:</w:t>
      </w:r>
      <w:r>
        <w:t xml:space="preserve"> Maximum Permissible Transmission Line Loss to Meet a Target Gain for a Corporate-Fed Uniform Rectangular Array — https://doi.org/10.23919/ursigass57860.2023.10265660</w:t>
      </w:r>
    </w:p>
    <w:p>
      <w:pPr/>
      <w:r>
        <w:rPr>
          <w:b/>
        </w:rPr>
        <w:t>Shared claim-specific concepts:</w:t>
      </w:r>
      <w:r>
        <w:t xml:space="preserve"> order, meet, target, potential; EU scope not established. This is a provisional connection, not an outcome finding.</w:t>
      </w:r>
    </w:p>
    <w:p>
      <w:pPr>
        <w:pStyle w:val="SourceNote"/>
      </w:pPr>
      <w:r>
        <w:rPr>
          <w:b/>
        </w:rPr>
        <w:t>Available abstract (not full text):</w:t>
      </w:r>
      <w:r>
        <w:t xml:space="preserve"> Very low-loss transmission lines are often required at millimetre wavelengths in order to meet performance targets. Using printed circuit board technology, extremely low-loss transmission lines are often more expensive and riskier than standard options. The ability to determine the maximum permissible transmission line loss allows designers to choose potential transmission line structures, thereby helping make this critical design choice. These results establish the maximum permissible transmission line loss in order to meet a target gain of a corporate-fed antenna array for a given the average active element gain and power divider excess loss.</w:t>
      </w:r>
    </w:p>
    <w:p>
      <w:pPr/>
      <w:r>
        <w:rPr>
          <w:b/>
        </w:rPr>
        <w:t>POSSIBLE 2022:</w:t>
      </w:r>
      <w:r>
        <w:t xml:space="preserve"> Designing electric vehicle incentives to meet emission reduction targets — https://doi.org/10.1016/j.trd.2022.103320</w:t>
      </w:r>
    </w:p>
    <w:p>
      <w:pPr/>
      <w:r>
        <w:rPr>
          <w:b/>
        </w:rPr>
        <w:t>Shared claim-specific concepts:</w:t>
      </w:r>
      <w:r>
        <w:t xml:space="preserve"> meet, emissions, reduction; EU scope not established. This is a provisional connection, not an outcome finding.</w:t>
      </w:r>
    </w:p>
    <w:p>
      <w:pPr>
        <w:pStyle w:val="SourceNote"/>
      </w:pPr>
      <w:r>
        <w:rPr>
          <w:b/>
        </w:rPr>
        <w:t>Available abstract (not full text):</w:t>
      </w:r>
      <w:r>
        <w:t xml:space="preserve"> Electric vehicles are expected to reduce transportation emissions. We design and allocate rebates and charging infrastructure investments to induce electric vehicle adoption and achieve emission reduction targets. A nonlinear mixed-integer mathematical model is proposed to optimize the investment allocation over a planning horizon. Logistic functions describe the vehicle demand driven by capital and ownership costs and network externalities. A simulated annealing algorithm is used to solve the nonlinear programming problem that is applied using data representative of the United States market. Our analysis indicates that rebates should be provided earlier than chargers due to neighborhood effects of electric vehicle adoption and the minimization of expenditure; availability of home charging influences consumers choice and the drivers electrified travel distance; rebates are more effective for modest drivers while charging stations should be prioritized for frequent drivers; network externalities should be further investigated because of their impact on electric vehicle demand.</w:t>
      </w:r>
    </w:p>
    <w:p>
      <w:pPr/>
      <w:r>
        <w:rPr>
          <w:b/>
        </w:rPr>
        <w:t>POSSIBLE 2022:</w:t>
      </w:r>
      <w:r>
        <w:t xml:space="preserve"> Carbon emission of China’s power industry: driving factors and emission reduction path — https://doi.org/10.1007/s11356-022-21297-5</w:t>
      </w:r>
    </w:p>
    <w:p>
      <w:pPr/>
      <w:r>
        <w:rPr>
          <w:b/>
        </w:rPr>
        <w:t>Shared claim-specific concepts:</w:t>
      </w:r>
      <w:r>
        <w:t xml:space="preserve"> carbon, reduction;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Energy system transition pathways to meet the global electricity demand for ambitious climate targets and cost competitiveness — https://doi.org/10.1016/j.apenergy.2022.120401</w:t>
      </w:r>
    </w:p>
    <w:p>
      <w:pPr/>
      <w:r>
        <w:rPr>
          <w:b/>
        </w:rPr>
        <w:t>Shared claim-specific concepts:</w:t>
      </w:r>
      <w:r>
        <w:t xml:space="preserve"> meet, carbon, emissions, reduction, energy, system; EU scope not established. This is a provisional connection, not an outcome finding.</w:t>
      </w:r>
    </w:p>
    <w:p>
      <w:pPr>
        <w:pStyle w:val="SourceNote"/>
      </w:pPr>
      <w:r>
        <w:rPr>
          <w:b/>
        </w:rPr>
        <w:t>Available abstract (not full text):</w:t>
      </w:r>
      <w:r>
        <w:t xml:space="preserve"> This study presents a novel energy system modelling approach for the analysis and comparison of global energy transition pathways for the decarbonisation of the electricity sector. The results of the International Energy Agency (IEA), and the Teske/DLR scenarios are each reproduced. Additionally, five new energy transition trajectories, called LUT, are presented. The research examines the feasibility of each scenario across nine major regions in 5-year intervals, from 2015 to 2050, under a uniform modelling environment with identical technical and financial assumptions. The main differences between the energy transition paths are identified across: (1) the average electricity generation costs; (2) energy diversity; (3) system flexibility; (4) energy security; and, (5) transition dynamics. All LUT and Teske/DLR scenarios are transitioned to zero CO2 emissions and a 100% renewable energy system by 2050 at the latest. Results reveal that the LUT scenarios are the least-cost pathways, while the Teske/DLR scenarios are centred around energy diversity with slightly higher LCOE of around 10–20%. The IEA shares similarities with the Teske/DLR scenarios in terms of energy diversity yet depends on the continued use of fossil fuels with carbon capture and storage, and nuclear power. The IEA scenario based on current governmental policies presents a worst-case situation regarding CO2 emiss</w:t>
      </w:r>
    </w:p>
    <w:p>
      <w:pPr/>
      <w:r>
        <w:rPr>
          <w:b/>
        </w:rPr>
        <w:t>POSSIBLE 2021:</w:t>
      </w:r>
      <w:r>
        <w:t xml:space="preserve"> Negative-emissions technology portfolios to meet the 1.5 °C target — https://doi.org/10.1016/j.gloenvcha.2021.102238</w:t>
      </w:r>
    </w:p>
    <w:p>
      <w:pPr/>
      <w:r>
        <w:rPr>
          <w:b/>
        </w:rPr>
        <w:t>Shared claim-specific concepts:</w:t>
      </w:r>
      <w:r>
        <w:t xml:space="preserve"> meet, target, carbon, present; EU scope not established. This is a provisional connection, not an outcome finding.</w:t>
      </w:r>
    </w:p>
    <w:p>
      <w:pPr>
        <w:pStyle w:val="SourceNote"/>
      </w:pPr>
      <w:r>
        <w:rPr>
          <w:b/>
        </w:rPr>
        <w:t>Available abstract (not full text):</w:t>
      </w:r>
      <w:r>
        <w:t xml:space="preserve"> Our carbon-intensive economy has led to an average temperature rise of 1 °C since pre-industrial times. As a consequence, the world has seen increasing droughts, significant shrinking of the polar ice caps, and steady sea-level rise. To stall these issues’ worsening further, we must limit global warming to 1.5 °C. In addition to the economy’s decarbonization, this endeavour requires the use of negative-emissions technologies (NETs) that remove the main greenhouse gas, carbon dioxide, from the atmosphere. While techno-economic feasibility alone has driven the definition of negative-emissions solutions, NETs’ diverse, far-reaching implications demand a more holistic assessment. Here, we present a comprehensive framework, integrating NETs’ critical performance aspects of feasibility, effectiveness, and side impacts, to define the optimal technology mix within realistic outlooks. The resulting technology portfolios provide a useful new benchmark to compare carbon avoidance and removal measures and deliberately choose the best path to solve the climate emergency.</w:t>
      </w:r>
    </w:p>
    <w:p>
      <w:pPr>
        <w:pStyle w:val="Heading2"/>
      </w:pPr>
      <w:r>
        <w:t>941.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making, major, methods, tools, used, selection;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r>
        <w:rPr>
          <w:b/>
        </w:rPr>
        <w:t>POSSIBLE 2023:</w:t>
      </w:r>
      <w:r>
        <w:t xml:space="preserve"> THE IMPORTANCE OF MP’S PROFILE IN MAKING SECURITY DECISIONS — https://doi.org/10.20544/icp.8.1.23.p30</w:t>
      </w:r>
    </w:p>
    <w:p>
      <w:pPr/>
      <w:r>
        <w:rPr>
          <w:b/>
        </w:rPr>
        <w:t>Shared claim-specific concepts:</w:t>
      </w:r>
      <w:r>
        <w:t xml:space="preserve"> making, decisions, security, process, used; EU scope visible. This is a provisional connection, not an outcome finding.</w:t>
      </w:r>
    </w:p>
    <w:p>
      <w:pPr>
        <w:pStyle w:val="SourceNote"/>
      </w:pPr>
      <w:r>
        <w:rPr>
          <w:b/>
        </w:rPr>
        <w:t>Available abstract (not full text):</w:t>
      </w:r>
      <w:r>
        <w:t xml:space="preserve">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pPr/>
      <w:r>
        <w:rPr>
          <w:b/>
        </w:rPr>
        <w:t>POSSIBLE 2023:</w:t>
      </w:r>
      <w:r>
        <w:t xml:space="preserve"> Evolution of Pneumococcal Vaccine Recommendations and Criteria for Decision Making in 5 Western European Countries and the United States — https://doi.org/10.1177/23814683231174432</w:t>
      </w:r>
    </w:p>
    <w:p>
      <w:pPr/>
      <w:r>
        <w:rPr>
          <w:b/>
        </w:rPr>
        <w:t>Shared claim-specific concepts:</w:t>
      </w:r>
      <w:r>
        <w:t xml:space="preserve"> making, major, including, methods; EU scope visible. This is a provisional connection, not an outcome finding.</w:t>
      </w:r>
    </w:p>
    <w:p>
      <w:pPr>
        <w:pStyle w:val="SourceNote"/>
      </w:pPr>
      <w:r>
        <w:rPr>
          <w:b/>
        </w:rPr>
        <w:t>Available abstract (not full text):</w:t>
      </w:r>
      <w:r>
        <w:t xml:space="preserve"> Objectives: Pneumococcal vaccine recommendations have become increasingly complex. This study aims to understand how national immunization technical advisory groups (NITAGs) and health technology assessment (HTA) agencies of 5 European countries and the United States formed their pneumococcal vaccine recommendations, by providing reviewed evidence and key drivers for new recommendations. Methods: Centers for Disease Control and Prevention, European Centre for Disease Prevention and Control, and National Health Authorities Web sites were screened to capture the evolution of pneumococcal recommendations. A narrative review was conducted on NITAGs and HTA bodies' Web sites. Assessments of pneumococcal vaccines published from 2009 to 2022 were included. Results: Thirty-four records were identified including 21 assessments for risk groups, 17 for elderly, and 12 for children. Burden of disease and vaccine characteristics were almost systematically reviewed during assessments. All 6 countries recommended the use of higher-valent pneumococcal vaccine (PCV; i.e., PCV10 and PCV13) in childhood vaccination programs, given their broader serotype coverage and their comparable profile to PCV7. PCV13 was progressively added to the vaccine schedule (in addition to polysaccharide vaccine) in at least the high-risk group, given the high burden in this population and expected additional benefits</w:t>
      </w:r>
    </w:p>
    <w:p>
      <w:pPr/>
      <w:r>
        <w:rPr>
          <w:b/>
        </w:rPr>
        <w:t>POSSIBLE 2022:</w:t>
      </w:r>
      <w:r>
        <w:t xml:space="preserve"> Disclosures about algorithmic decision making in the corporate reports of Western European companies — https://doi.org/10.1016/j.accinf.2022.100596</w:t>
      </w:r>
    </w:p>
    <w:p>
      <w:pPr/>
      <w:r>
        <w:rPr>
          <w:b/>
        </w:rPr>
        <w:t>Shared claim-specific concepts:</w:t>
      </w:r>
      <w:r>
        <w:t xml:space="preserve"> making, major, tools; EU scope visible. This is a provisional connection, not an outcome finding.</w:t>
      </w:r>
    </w:p>
    <w:p>
      <w:pPr>
        <w:pStyle w:val="SourceNote"/>
      </w:pPr>
      <w:r>
        <w:rPr>
          <w:b/>
        </w:rPr>
        <w:t>Available abstract (not full text):</w:t>
      </w:r>
      <w:r>
        <w:t xml:space="preserve"> Over the last decade, the use of different artificial intelligence (AI) tools has increased. To shed some light on the emerging trend of AI disclosure, the aim of this paper is to analyse the current practices of major Western European companies regarding the automated decision-making (ADM) disclosure in their annual or sustainability reports. This paper proposes a methodology based on bigrams that enables the automatic extraction of the information on ADM that companies disclose. The sample consisted of 962 annual/sustainability reports, published in 2018 and 2019, of 337 companies listed on 13 Western European countries’ stock markets. Our findings show that ADM disclosure is still at an early stage and that the first adopters are mostly companies operating in the financial sector.</w:t>
      </w:r>
    </w:p>
    <w:p>
      <w:pPr/>
      <w:r>
        <w:rPr>
          <w:b/>
        </w:rPr>
        <w:t>POSSIBLE 2022:</w:t>
      </w:r>
      <w:r>
        <w:t xml:space="preserve"> Prospects for Valuation in Marine Decision Making in Europe — https://doi.org/10.15351/2373-8456.1150</w:t>
      </w:r>
    </w:p>
    <w:p>
      <w:pPr/>
      <w:r>
        <w:rPr>
          <w:b/>
        </w:rPr>
        <w:t>Shared claim-specific concepts:</w:t>
      </w:r>
      <w:r>
        <w:t xml:space="preserve"> making, investments, tools, possible; EU scope visible. This is a provisional connection, not an outcome finding.</w:t>
      </w:r>
    </w:p>
    <w:p>
      <w:pPr>
        <w:pStyle w:val="SourceNote"/>
      </w:pPr>
      <w:r>
        <w:rPr>
          <w:b/>
        </w:rPr>
        <w:t>Available abstract (not full text):</w:t>
      </w:r>
      <w:r>
        <w:t xml:space="preserve"> There is now high-level recognition that the UN Sustainable Development Goals can only be achieved if the decline of ecosystems and biodiversity can be halted and reversed. This will require effective control of ongoing pressures, meaningful protection and enforcement of protected areas, and significant investments in ecosystem restoration. This paper explores the possible use of economic valuation and appraisal in achieving these goals in marine systems and discusses the European marine policy instruments where they should have an important role The paper first briefly reviews the tools of economic valuation and appraisal for marine ecosystem management. A critique of the use of economic valuation and appraisal in marine conservation and restoration is then presented. The paper argues that while progress has been made there remains a pressing need for better integration of marine environmental values in policy processes. It also highlights the fact that the focus on natural capital accounting, and more generally on green/blue growth and market instruments, could create a reliance on exchange values at the expense of welfare values required for policy appraisal.</w:t>
      </w:r>
    </w:p>
    <w:p>
      <w:pPr/>
      <w:r>
        <w:rPr>
          <w:b/>
        </w:rPr>
        <w:t>POSSIBLE 2022:</w:t>
      </w:r>
      <w:r>
        <w:t xml:space="preserve"> Contribution of Real‐World Evidence in European Medicines Agency's Regulatory Decision Making — https://doi.org/10.1002/cpt.2766</w:t>
      </w:r>
    </w:p>
    <w:p>
      <w:pPr/>
      <w:r>
        <w:rPr>
          <w:b/>
        </w:rPr>
        <w:t>Shared claim-specific concepts:</w:t>
      </w:r>
      <w:r>
        <w:t xml:space="preserve"> making, decisions, requires; EU scope visible. This is a provisional connection, not an outcome finding.</w:t>
      </w:r>
    </w:p>
    <w:p>
      <w:pPr>
        <w:pStyle w:val="SourceNote"/>
      </w:pPr>
      <w:r>
        <w:rPr>
          <w:b/>
        </w:rPr>
        <w:t>Available abstract (not full text):</w:t>
      </w:r>
      <w:r>
        <w:t xml:space="preserve"> Real-world data/evidence (RWD/RWE) may provide insightful information on medicines' clinical effects to guide regulatory decisions. While its contribution has been recognized for safety monitoring and disease epidemiology across medicines' life cycles, using RWD/RWE to demonstrate efficacy requires further evaluation. This study aimed to (i) characterize RWD/RWE presented by applicants to support claims on medicines' efficacy within initial marketing authorization applications (MAAs) and extension of indication applications (EoIs), and (ii) analyze the contribution of RWD/RWE to regulatory decisions on medicines' benefit-risk profile. RWD/RWE was included to support efficacy in 32 MAAs and 14 EoIs submitted 2018-2019. Of these, RWD/RWE was part of the preauthorization package of 16 MAAs and 10 EoIs, and was (i) considered supporting the regulatory decision in 10 applications (five MAAs, five EoIs), (ii) considered not supporting the regulatory decision in 11 (seven MAAs, four EoIs), and (iii) not addressed at all in the evaluation of 5 applications (four MAAs, one EoI). Common limitations of submitted RWD/RWE included missing data, lack of representativeness of populations, small sample size, absence of an adequate or prespecified analysis plan, and risk of several types of bias. The suitability of RWD/RWE in a given application still requires a case-by-case analysis considerin</w:t>
      </w:r>
    </w:p>
    <w:p>
      <w:pPr/>
      <w:r>
        <w:rPr>
          <w:b/>
        </w:rPr>
        <w:t>POSSIBLE 2021:</w:t>
      </w:r>
      <w:r>
        <w:t xml:space="preserve"> European Resuscitation Council Guidelines 2021: Ethics of resuscitation and end of life decisions — https://doi.org/10.1016/j.resuscitation.2021.02.017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These European Resuscitation Council Ethics guidelines provide evidence-based recommendations for the ethical, routine practice of resuscitation and end-of-life care of adults and children. The guideline primarily focus on major ethical practice interventions (i.e. advance directives, advance care planning, and shared decision making), decision making regarding resuscitation, education, and research. These areas are tightly related to the application of the principles of bioethics in the practice of resuscitation and end-of-life care.</w:t>
      </w:r>
    </w:p>
    <w:p>
      <w:pPr>
        <w:pStyle w:val="Heading2"/>
      </w:pPr>
      <w:r>
        <w:t>942.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2026:</w:t>
      </w:r>
      <w:r>
        <w:t xml:space="preserve"> Epidemiology and Economic Burden of Sleep Disorders in Europe — https://doi.org/10.1111/ene.70463</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direct, climate, likely, consequences, associated;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2024:</w:t>
      </w:r>
      <w:r>
        <w:t xml:space="preserve"> The relationship between direct or indirect therapy and language profiles in children with developmental language disorder (DLD) across European countries — https://doi.org/10.1080/08856257.2024.2307281</w:t>
      </w:r>
    </w:p>
    <w:p>
      <w:pPr/>
      <w:r>
        <w:rPr>
          <w:b/>
        </w:rPr>
        <w:t>Shared claim-specific concepts:</w:t>
      </w:r>
      <w:r>
        <w:t xml:space="preserve"> investigate, direct, indirect, aimed; EU scope visible. This is a provisional connection, not an outcome finding.</w:t>
      </w:r>
    </w:p>
    <w:p>
      <w:pPr>
        <w:pStyle w:val="SourceNote"/>
      </w:pPr>
      <w:r>
        <w:rPr>
          <w:b/>
        </w:rPr>
        <w:t>Available abstract (not full text):</w:t>
      </w:r>
      <w:r>
        <w:t xml:space="preserve"> The present study aimed to investigate 1) whether country categories and type of DLD predict the type of therapy (direct, indirect, and mixed) the child receives, and 2) whether there is an association between country categories, type of therapy, and type of DLD (receptive, expressive, and mixed). European countries were categorised based on Sapir’s typology into Continental, AngloSaxon, Nordic and Mediterranean groups. A fifth group i.e. Central European (including Baltic countries) was added. The data to address these questions comes from an online survey, translated and adapted into 30 languages, and is based on reports by 4685 professionals delivering services for children with DLD. This survey was developed by the COST Action IS1406 members and distributed online among practitioners in the year 2017 across European countries. Results indicated that country categories and type of DLD predicted type of therapy. It was suggested that cultural and contextual factors might play a key role in driving clinical practice above and beyond language profiles, patient characteristics and evidence-based practice.</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investigate, direct, indirect, climate, consequences, associated;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direct, indirect, climate, health, adaptation;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2023:</w:t>
      </w:r>
      <w:r>
        <w:t xml:space="preserve"> An Investigation of Direct and Indirect Learning Strategies in Learning Foreign Languages — https://doi.org/10.6007/ijarbss/v13-i3/16492</w:t>
      </w:r>
    </w:p>
    <w:p>
      <w:pPr/>
      <w:r>
        <w:rPr>
          <w:b/>
        </w:rPr>
        <w:t>Shared claim-specific concepts:</w:t>
      </w:r>
      <w:r>
        <w:t xml:space="preserve"> investigate, direct, indirect, taking; EU scope not established. This is a provisional connection, not an outcome finding.</w:t>
      </w:r>
    </w:p>
    <w:p>
      <w:pPr>
        <w:pStyle w:val="SourceNote"/>
      </w:pPr>
      <w:r>
        <w:rPr>
          <w:b/>
        </w:rPr>
        <w:t>Available abstract (not full text):</w:t>
      </w:r>
      <w:r>
        <w:t xml:space="preserve"> Learning strategies are one of the multiple factors in accomplishing learners' objectives in acquiring a new language. Hence, the aim of this research is to investigate the strategies that language learners use during their language-learning process. The instrument for this quantitative research is a survey. It has three sections. The first section consists of 2 items on demographic profile, while the second section has 19 items on direct learning strategies. The last section has 22 items on indirect learning strategies. The respondents are 132 undergraduate students taking French as a third language at one of the public universities in Malaysia. The data collected from the respondents were then analyzed using SPSS. The findings show that rehearsal has the highest mean (3.8), but critical thinking has the lowest (3.5). The research also reveals that the help-seeking strategy has the highest mean (4.1), whereas the metacognitive self-regulation strategy has the lowest mean (3.5). From the correlation analysis, the research also indicates a significant association between direct and indirect strategies (r=.779**) and (p=.000). In other words, this research proves that there is a strong relationship between direct strategies (which consist of rehearsal, organization, elaboration and critical thinking strategies); and indirect strategies (metacognitive self-regulation and resource </w:t>
      </w:r>
    </w:p>
    <w:p>
      <w:pPr/>
      <w:r>
        <w:rPr>
          <w:b/>
        </w:rPr>
        <w:t>POSSIBLE 2022:</w:t>
      </w:r>
      <w:r>
        <w:t xml:space="preserve"> Direct and indirect effects of universities on European regional productivity — https://doi.org/10.1111/pirs.12698</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Universities are fundamental in driving economic performance as they generate human capital, research and knowledge diffusion. We propose a novel analysis by investigating their effects on European regions' total factor productivity (TFP) over the period 2000–2016. We distinguish between direct effects, due to universities societal role (“third mission”), and indirect ones originating from human and technological capital creation. Our contribution is threefold. First and foremost, we provide evidence that the presence of universities has a sizeable impact on regional TFP. Second, this impact spreads across regional boundaries. Third, universities effectively drive human and technological capital growth, thus indirectly fostering productivity enhancements.</w:t>
      </w:r>
    </w:p>
    <w:p>
      <w:pPr/>
      <w:r>
        <w:rPr>
          <w:b/>
        </w:rPr>
        <w:t>POSSIBLE 2022:</w:t>
      </w:r>
      <w:r>
        <w:t xml:space="preserve"> Direct and indirect effect of European Uniondirectives in the context of European UnionCourt of Justice decisions — https://doi.org/10.46925//rdluz.38.06</w:t>
      </w:r>
    </w:p>
    <w:p>
      <w:pPr/>
      <w:r>
        <w:rPr>
          <w:b/>
        </w:rPr>
        <w:t>Shared claim-specific concepts:</w:t>
      </w:r>
      <w:r>
        <w:t xml:space="preserve"> direct, indirect, particular; EU scope visible. This is a provisional connection, not an outcome finding.</w:t>
      </w:r>
    </w:p>
    <w:p>
      <w:pPr>
        <w:pStyle w:val="SourceNote"/>
      </w:pPr>
      <w:r>
        <w:rPr>
          <w:b/>
        </w:rPr>
        <w:t>Available abstract (not full text):</w:t>
      </w:r>
      <w:r>
        <w:t xml:space="preserve"> The objective of this article is to analyze the direct effect of EU directives in vertical and horizontal legal relationships as well as theindirect effect of EU directivesin the context of EU Court of Justice decisions. In particular, attention is paid to the study of the consolidated legal positions regarding the possibility of the “verticaldirecteffect”, “horizontaldirecteffect” and “indirect effect”of EU directives.Dialectical, comparative-legal, historical, and formal dogmatic methods were used in the research.As the resultof analyzewas made the conclusion that the EU directives, which are used by national courts to fulfill their obligations regarding the respective interpretation, can not be considered with direct effect, because in such disputes they serve as a means of determiningthe scope of other legal provisions that the national court treats or interprets. In such situations, the directive may be applied in cases indirectly, that is, by virtue of another (national) provision, as interpreted.</w:t>
      </w:r>
    </w:p>
    <w:p>
      <w:pPr/>
      <w:r>
        <w:rPr>
          <w:b/>
        </w:rPr>
        <w:t>POSSIBLE 2022:</w:t>
      </w:r>
      <w:r>
        <w:t xml:space="preserve"> Investigating the Effects of Climate Change on Structural Actions — https://doi.org/10.1080/10168664.2022.2098894</w:t>
      </w:r>
    </w:p>
    <w:p>
      <w:pPr/>
      <w:r>
        <w:rPr>
          <w:b/>
        </w:rPr>
        <w:t>Shared claim-specific concepts:</w:t>
      </w:r>
      <w:r>
        <w:t xml:space="preserve"> investigate, direct, indirect, climate, likely, consequences; EU scope visible. This is a provisional connection, not an outcome finding.</w:t>
      </w:r>
    </w:p>
    <w:p>
      <w:pPr>
        <w:pStyle w:val="SourceNote"/>
      </w:pPr>
      <w:r>
        <w:rPr>
          <w:b/>
        </w:rPr>
        <w:t>Available abstract (not full text):</w:t>
      </w:r>
      <w:r>
        <w:t xml:space="preserve"> The changing climate with resulting more extreme weather events will likely impact infrastructure assets and services. This phenomenon can present direct threats to the assets as well as significant indirect effects for those relying on the services those assets deliver. Such threats are path-dependent and place-specific, as they strongly depend on current and future climate variability, location, asset design life, function and condition. One key question is how climate change is likely to increase both the probability and magnitude of extreme weather events under different scenarios of climate change. To address this issue, this paper investigates selected effects of climate change and their consequences on structural performance, in the context of evolving loading scenarios in three different continental regions: Europe, North America, and Asia. The aim is to investigate some main place-specific changes of the exposure in terms of intensity/frequency of extreme events as well as the associated challenges, considering some recent activities of members of the IABSE TG6.1. Climate change can significantly affect built infrastructure and the society by increasing the occurrence and magnitude of extreme events and increasing potential losses. Therefore, specific relationships relating hazard levels and structural vulnerability to climate change effects should be determined.</w:t>
      </w:r>
    </w:p>
    <w:p>
      <w:pPr>
        <w:pStyle w:val="Heading2"/>
      </w:pPr>
      <w:r>
        <w:t>943.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The impact of heat and cold events on direct, indirect, and intangible healthcare costs: a systematic review — https://doi.org/10.1007/s10198-026-01920-9</w:t>
      </w:r>
    </w:p>
    <w:p>
      <w:pPr/>
      <w:r>
        <w:rPr>
          <w:b/>
        </w:rPr>
        <w:t>Shared claim-specific concepts:</w:t>
      </w:r>
      <w:r>
        <w:t xml:space="preserve"> direct, healthcare, associated, million; EU scope not established. This is a provisional connection, not an outcome finding.</w:t>
      </w:r>
    </w:p>
    <w:p>
      <w:pPr>
        <w:pStyle w:val="SourceNote"/>
      </w:pPr>
      <w:r>
        <w:rPr>
          <w:b/>
        </w:rPr>
        <w:t>Available abstract (not full text):</w:t>
      </w:r>
      <w:r>
        <w:t xml:space="preserve"> BACKGROUND: Numerous studies have examined the effects of extreme temperatures on healthcare costs. However, most lack a detailed presentation of cost-related findings and often exclude cold-related effects. This systematic review provides a comprehensive overview of the economic burden associated with both heat- and cold-related temperature exposure. METHODS: Literature published between 2014 and 2024 in English or German was searched in Medline (via PubMed) and the Cochrane Library, supplemented by reference tracking and Internet searches. We included primary studies published in peer-reviewed journals. Two authors independently assessed eligibility and determined a methodological quality score for each included article. RESULTS: In total, 39 studies were included: 18 examined heat-related effects, another 18 analyzed combined heat- and cold-related effects, and 3 focused exclusively on cold-related effects. Furthermore, 18 studies focused on direct costs, 1 on indirect costs, 17 on intangible costs, and 3 on multiple cost types. Retrospective studies reported lower annual direct costs per 100,000 persons (mean €678,585; range €43,428–€2.06 million) than prospective studies (mean €1.13 million; range €14,433–€2.02 million). Indirect costs based on retrospective studies averaged €2,287 annually (range €72.75–€8,603), or 19.7 workdays lost per 100,000 persons. Intangible costs </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r>
        <w:rPr>
          <w:b/>
        </w:rPr>
        <w:t>POSSIBLE 2024:</w:t>
      </w:r>
      <w:r>
        <w:t xml:space="preserve"> Analysis of healthcare waste and factors affecting the amount of hazardous healthcare waste in a university hospital — https://doi.org/10.1007/s10163-024-01890-1</w:t>
      </w:r>
    </w:p>
    <w:p>
      <w:pPr/>
      <w:r>
        <w:rPr>
          <w:b/>
        </w:rPr>
        <w:t>Shared claim-specific concepts:</w:t>
      </w:r>
      <w:r>
        <w:t xml:space="preserve"> healthcare, amount, over; EU scope not established. This is a provisional connection, not an outcome finding.</w:t>
      </w:r>
    </w:p>
    <w:p>
      <w:pPr>
        <w:pStyle w:val="SourceNote"/>
      </w:pPr>
      <w:r>
        <w:rPr>
          <w:b/>
        </w:rPr>
        <w:t>Available abstract (not full text):</w:t>
      </w:r>
      <w:r>
        <w:t xml:space="preserve"> Abstract The ever-increasing amount of waste produced by the healthcare system is a growing burden worldwide. To effectively reduce waste, it is essential to know exactly what it is and to explore the factors influencing its amount. This study aims to analyze the amount of healthcare waste (HCW) and the change in that amount over time, as well as to explore and quantify the factors that influence hazardous healthcare waste (HHCW) in a university hospital. Descriptive statistical analysis, Spearman’s correlation and robust regression were performed to characterize the data. Our analysis revealed that the amount of HCW has been increased annually by 2.11%, and the generation rate ranges between 2.53 and 2.68 kg/bed/day. The amount of HHCW has increased by 20.19% over the 5-year period studied, with a generation rate varying between 1.13 and 1.31 kg/bed/day. It was found that surgical specialisms, anesthesiology and intensive care, and emergency patient care have higher rates of hazardous waste production. A significant positive correlation was found between the amount of hazardous waste and the incidence of healthcare-associated infections ( r = 0.704), and the number of diapers used by adults and children ( r = 0.555), whose significant predictive role was also confirmed by the robust regression.</w:t>
      </w:r>
    </w:p>
    <w:p>
      <w:pPr/>
      <w:r>
        <w:rPr>
          <w:b/>
        </w:rPr>
        <w:t>POSSIBLE 2024:</w:t>
      </w:r>
      <w:r>
        <w:t xml:space="preserve"> Costs of fracture-related infection: the impact on direct hospital costs and healthcare utilisation — https://doi.org/10.1007/s00068-024-02497-9</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PURPOSE: Fracture-Related Infection (FRI) is associated with high medical costs and prolonged healthcare utilization. However, limited data is available on the financial impact. The purpose of this study was to investigate the impact of FRI on direct hospital costs and healthcare utilization. METHODS: This was a retrospective cohort study in a level-1 trauma centre in the Netherlands. Patients ≥ 18 years, after open reduction and internal fixation of a long bone fracture between January 1st 2016 and November 1st 2021, were included. Exclusion criteria were Injury Severity Score (ISS) ≥ 16, indefinable data on costs or incomplete follow-up. Hospital costs related to fracture treatment were individually calculated based on procedure codes raised with a fixed percentage of overhead expenses, in line with hospital billing policies. RESULTS: In total, 246 patients were included with a median follow-up of 1 year (IQR 0.6-1.8). A total of 45 patients developed FRI, of whom 15 patients had an FRI recurrence. Compared to non-FRI patients, median hospital costs from an FRI patient without and with recurrence, were respectively three (3.1) and seven (7.6) times higher. Compared to non-FRI patients, increased costs in patients with FRI or recurrent FRI are due to respectively a fivefold or even tenfold prolonged length-of-stay, two or seven additional infection-related surgeries, and 21 or</w:t>
      </w:r>
    </w:p>
    <w:p>
      <w:pPr/>
      <w:r>
        <w:rPr>
          <w:b/>
        </w:rPr>
        <w:t>POSSIBLE 2024:</w:t>
      </w:r>
      <w:r>
        <w:t xml:space="preserve"> Differential healthcare direct costs of asthma and chronic rhinosinusitis with nasal polyps in Catalonia (Spain) — https://doi.org/10.4193/rhin24.147</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INTRODUCTION: This study compares the direct healthcare costs associated with asthma and chronic rhinosinusitis with nasal polyps (CRSwNP) from 2013 to 2017 in Catalonia (Spain) with a population control group without these conditions. METHODS: A population administrative database containing healthcare information was used. The database contained information on primary care, hospitalisations, and emergency care from 2013 to 2017 in Catalonia. The unit cost of each healthcare procedure was imputed using a complete list of public prices for primary care services, hospital, and speciality services. Differential costs were estimated using a finite mixture model. RESULTS: Individuals diagnosed with asthma or CRSwNP showed a higher incidence of comorbidities than the control group. Mean annual direct costs per patient were €1,102 for asthma, €1,612 for CRSwNP and €2,197 for those with both conditions. According to our estimations, differential costs were €162 - €274 for patients with asthma and €481 - €1,257 for patients with CRSwNP compared to the reference population. These costs were significantly higher when asthma and CRSwNP coexist and especially in their severe condition. CONCLUSION: This population-based study revealed that asthma and CRSwN are associated with great economic burdens for healthcare systems. These costs were significantly higher when comorbidity was present (as</w:t>
      </w:r>
    </w:p>
    <w:p>
      <w:pPr/>
      <w:r>
        <w:rPr>
          <w:b/>
        </w:rPr>
        <w:t>POSSIBLE 2024:</w:t>
      </w:r>
      <w:r>
        <w:t xml:space="preserve"> Direct healthcare costs of oral cancer: A retrospective study from a tertiary care center — https://doi.org/10.1016/j.jcms.2024.03.002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The aim of this study was to retrospectively evaluate the direct costs of OSCC treatment and postsurgical surveillance in a tertiary hospital in northeast Italy. Sixty-three consecutive patients surgically treated for primitive OSCC at S. Orsola Hospital in Bologna (Italy) between January 2018 and January 2020 were analyzed. Billing records of the Emilia Romagna healthcare system and institutional costs were used to derive specific costs for the following clinical categories: operating theatre costs, intensive and ordinary hospitalization, radiotherapy, chemotherapy, postsurgical complications, visits, and examinations during the follow-up period. The study population comprised 17 OSCC patients classified at stage I, 14 at stage II, eight at stage III, and 24 at stage IV. The estimated mean total direct cost for OSCC treatment and postsurgical surveillance was €26 338.48 per patient (stage I: €10 733, stage II: €19 642.9, stage III: €30 361.4, stage IV: €39 957.2). An advanced diagnosis (stages III and IV), complex surgical procedure, and loco-regional recurrences resulted in variables that were significantly associated with a higher cost of OSCC treatment and postsurgical surveillance. Redirection of funds used for OSCC treatment to screening measures may be an effective strategy to improve overall health outcomes and optimize national health resources.</w:t>
      </w:r>
    </w:p>
    <w:p>
      <w:pPr/>
      <w:r>
        <w:rPr>
          <w:b/>
        </w:rPr>
        <w:t>POSSIBLE 2023:</w:t>
      </w:r>
      <w:r>
        <w:t xml:space="preserve"> DIRECT HOSPITAL COSTS PER CASE FOR PERIPROSTHETHIC HIP AND KNEE JOINT INFECTION IN EUROPE: A SYSTEMATIC REVIEW — https://doi.org/10.1302/1358-992x.2023.17.052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Aim The number of periprosthetic joint infections (PJI) is increasing due to ageing population and increasing numbers of arthroplasty procedures and treatment is costly. Aim of the study was to analyze the direct healthcare costs of PJI in Europe for total hip arthroplasties (THA) and total knee arthroplasties (TKA). Method A systematic review in PubMed with search of direct costs of PJI in European countries was performed. Thereby the term cost* AND (infection OR PJI) AND (prosthesis OR knee OR hip OR “TKA” OR “THA” OR arthroplast*) was combined with each European country to detect relevant publications. Publications with definition of performed procedure and joint localization were included into further analysis. The mean value of direct healthcare cost was calculated for the respective joint and the respective operation performed. Results Screening revealed 1,274 eligible publications. After review of abstracts and full-texts n=11 manuscripts were included into final analysis (Figure 1). The mean combined direct hospital costs for revision for PJI after TKA and THA was 26,311€. Mean costs for revision procedures for PJI after TKA were 24,617€. Direct costs for TKA-PJI treated with debridement, antibiotics and implant retention (DAIR) were on average 10,121€. For two-stage revisions in knee arthroplasties total average costs were 30,829€. Referring to revision surgery for PJI</w:t>
      </w:r>
    </w:p>
    <w:p>
      <w:pPr/>
      <w:r>
        <w:rPr>
          <w:b/>
        </w:rPr>
        <w:t>POSSIBLE 2023:</w:t>
      </w:r>
      <w:r>
        <w:t xml:space="preserve"> Healthcare price transparency in North America and Europe — https://doi.org/10.1259/bjr.20230236</w:t>
      </w:r>
    </w:p>
    <w:p>
      <w:pPr/>
      <w:r>
        <w:rPr>
          <w:b/>
        </w:rPr>
        <w:t>Shared claim-specific concepts:</w:t>
      </w:r>
      <w:r>
        <w:t xml:space="preserve"> healthcare, result; EU scope visible. This is a provisional connection, not an outcome finding.</w:t>
      </w:r>
    </w:p>
    <w:p>
      <w:pPr>
        <w:pStyle w:val="SourceNote"/>
      </w:pPr>
      <w:r>
        <w:rPr>
          <w:b/>
        </w:rPr>
        <w:t>Available abstract (not full text):</w:t>
      </w:r>
      <w:r>
        <w:t xml:space="preserve"> Healthcare price transparency is an effort to inform patient decision-making, but also to decrease prices and their variation across healthcare systems for equivalent medical services. The initiative is meaningful only for medical services that are shoppable-such as imaging examinations-for which patients incur out-of-pocket costs. Therefore, several countries in which patients commonly share a portion of their healthcare costs have been implementing mandates to improve healthcare price transparency. However, the provisional implementation has many issues, especially in the United States, including provider non-compliance and limited accessibility of price transparency tools by the general public. Many of the existing tools are not user-friendly, are difficult to navigate, focus on charges and health plan negotiated rates rather than patients' out-of-pocket costs, and disclose prices on the service level instead of per episode of care. As such, the disclosed amounts are often not reliable. Many price transparency tools also lack valid and measurable quality metrics, which can result in a selection of high-cost care as a proxy for high-value care, as well as an increase in healthcare prices when providers want to imply they offer high-quality care. Nevertheless, the impact of the initiatives on patients' decision-making and healthcare costs remains unclear. While transparency in</w:t>
      </w:r>
    </w:p>
    <w:p>
      <w:pPr/>
      <w:r>
        <w:rPr>
          <w:b/>
        </w:rPr>
        <w:t>POSSIBLE 2023:</w:t>
      </w:r>
      <w:r>
        <w:t xml:space="preserve"> Direct healthcare costs of non-metastatic castration-resistant prostate cancer in Italy — https://doi.org/10.1017/s0266462322003336</w:t>
      </w:r>
    </w:p>
    <w:p>
      <w:pPr/>
      <w:r>
        <w:rPr>
          <w:b/>
        </w:rPr>
        <w:t>Shared claim-specific concepts:</w:t>
      </w:r>
      <w:r>
        <w:t xml:space="preserve"> direct, healthcare; EU scope visible. This is a provisional connection, not an outcome finding.</w:t>
      </w:r>
    </w:p>
    <w:p>
      <w:pPr>
        <w:pStyle w:val="SourceNote"/>
      </w:pPr>
      <w:r>
        <w:rPr>
          <w:b/>
        </w:rPr>
        <w:t>Available abstract (not full text):</w:t>
      </w:r>
      <w:r>
        <w:t xml:space="preserve"> OBJECTIVES: The management of non-metastatic castration-resistant prostate cancer (nmCRPC) is rapidly evolving; however, little is known about the direct healthcare costs of nmCRPC. We aimed to estimate the cost-of-illness (COI) of nmCRPC from the Italian National Health Service perspective. METHODS: Structured, individual qualitative interviews were carried out with clinical experts to identify what healthcare resources are consumed in clinical practice. To collect quantitative estimates of healthcare resource consumption, a structured expert elicitation was performed with clinical experts using a modified version of a previously validated interactive Excel-based tool, EXPLICIT (EXPert eLICItation Tool). For each parameter, experts were asked to provide the lowest, highest, and most likely value. Deterministic and probabilistic sensitivity analyses (PSA) were carried out to test the robustness of the results. RESULTS: Ten clinical experts were interviewed, and six of them participated in the expert elicitation exercise. According to the most likely estimate, the yearly cost per nmCRPC patient is €4,710 (range, €2,243 to €8,243). Diagnostic imaging (i.e., number/type of PET scans performed) had the highest impact on cost. The PSA showed a 50 percent chance for the yearly cost per nmCRPC patient to be within €5,048 using a triangular distribution for parameters, and similar resu</w:t>
      </w:r>
    </w:p>
    <w:p>
      <w:pPr>
        <w:pStyle w:val="Heading2"/>
      </w:pPr>
      <w:r>
        <w:t>944.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2026:</w:t>
      </w:r>
      <w:r>
        <w:t xml:space="preserve"> The obstacles and changes in Sino-European trade routes in the twenty-first century due to climate change and geopolitical risks — https://doi.org/10.5281/zenodo.20018000</w:t>
      </w:r>
    </w:p>
    <w:p>
      <w:pPr/>
      <w:r>
        <w:rPr>
          <w:b/>
        </w:rPr>
        <w:t>Shared claim-specific concepts:</w:t>
      </w:r>
      <w:r>
        <w:t xml:space="preserve"> due,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Extreme event attribution for heat-related mortality due to anthropogenic climate change across Europe — https://doi.org/10.1038/s44360-026-00193-z</w:t>
      </w:r>
    </w:p>
    <w:p>
      <w:pPr/>
      <w:r>
        <w:rPr>
          <w:b/>
        </w:rPr>
        <w:t>Shared claim-specific concepts:</w:t>
      </w:r>
      <w:r>
        <w:t xml:space="preserve"> due, climate, other, areas, significant, health; EU scope visible. This is a provisional connection, not an outcome finding.</w:t>
      </w:r>
    </w:p>
    <w:p>
      <w:pPr>
        <w:pStyle w:val="SourceNote"/>
      </w:pPr>
      <w:r>
        <w:rPr>
          <w:b/>
        </w:rPr>
        <w:t>Available abstract (not full text):</w:t>
      </w:r>
      <w:r>
        <w:t xml:space="preserve"> Heatwaves are intensifying under climate change and have become the leading cause of weather-related mortality in Europe. Here we present a novel methodology that combines extreme event attribution methods with epidemiological models to quantify how anthropogenic climate change has altered the likelihood of extreme heat-related mortality events in 34 European countries. We find that in Southern Europe, 2022-like heat-related mortality events were, on average, 26.5× more likely relative to the pre-industrial baseline, roughly ten times the European average. The probability of such events increases further as global warming intensifies, with the greatest, nonlinear increases occurring in Southern Europe. Our analysis reveals significant regional and demographic disparities in climate vulnerability, emphasizing the need for population-specific analyses to inform effective adaptation strategies, reducing the projected health burden. Unlike other approaches, our study demonstrates that using near-real-time, publicly available mortality data enables rapid health impact event attribution analyses across large areas. A method combining extreme event attribution with epidemiological models shows that extreme heat-related mortality events in Southern Europe are 26.5 times more likely than in pre-industrial times, with regional and demographic disparities.</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2025:</w:t>
      </w:r>
      <w:r>
        <w:t xml:space="preserve"> Increased central and northern European summer heatwave intensity due to the forced changes in internal climate variability — https://doi.org/10.5194/egusphere-egu25-15386</w:t>
      </w:r>
    </w:p>
    <w:p>
      <w:pPr/>
      <w:r>
        <w:rPr>
          <w:b/>
        </w:rPr>
        <w:t>Shared claim-specific concepts:</w:t>
      </w:r>
      <w:r>
        <w:t xml:space="preserve"> due, climate, other, changing, significant, conditions; EU scope visible. This is a provisional connection, not an outcome finding.</w:t>
      </w:r>
    </w:p>
    <w:p>
      <w:pPr>
        <w:pStyle w:val="SourceNote"/>
      </w:pPr>
      <w:r>
        <w:rPr>
          <w:b/>
        </w:rPr>
        <w:t>Available abstract (not full text):</w:t>
      </w:r>
      <w:r>
        <w:t xml:space="preserve"> In the past two decades, the intensity of European summer heatwaves has strongly increased due to anthropogenic emissions and associated rising global mean temperatures. On the one hand, the anthropogenic forcing is causing an increase in European summer temperatures, shifting European summer temperature distributions towards warmer values and intensifying European summer heatwaves. On the other hand, the anthropogenic forcing is expected to affect the internal climate variability under global warming, changing the variability of European summer temperatures. While the effects of the forced changes in internal variability have been long debated for mean or maximum summer temperatures, the effects of the forced changes in internal variability on European summer heatwave intensity under increasing global warming levels remain unknown. Using four state-of-the-art global climate model large ensembles, we find that the forced changes in internal variability will intensify central and northern European summer heatwaves. In central and northern Europe, soil moisture is projected to decrease, leading to frequent moisture limitations, enhancing land-atmospheric feedback, and increasing heatwave intensity and variability. On the contrary, the forced changes in internal variability will weaken southern European summer heatwaves. Southern Europe is projected to face significant soil moistu</w:t>
      </w:r>
    </w:p>
    <w:p>
      <w:pPr/>
      <w:r>
        <w:rPr>
          <w:b/>
        </w:rPr>
        <w:t>POSSIBLE 2025:</w:t>
      </w:r>
      <w:r>
        <w:t xml:space="preserve"> Regional inequalities in air quality and health co-benefits due to climate change mitigation in the European electricity sector — https://doi.org/10.1007/s10584-024-03851-x</w:t>
      </w:r>
    </w:p>
    <w:p>
      <w:pPr/>
      <w:r>
        <w:rPr>
          <w:b/>
        </w:rPr>
        <w:t>Shared claim-specific concepts:</w:t>
      </w:r>
      <w:r>
        <w:t xml:space="preserve"> due, climate, air, health, vulnerable; EU scope visible. This is a provisional connection, not an outcome finding.</w:t>
      </w:r>
    </w:p>
    <w:p>
      <w:pPr>
        <w:pStyle w:val="SourceNote"/>
      </w:pPr>
      <w:r>
        <w:rPr>
          <w:b/>
        </w:rPr>
        <w:t>Available abstract (not full text):</w:t>
      </w:r>
      <w:r>
        <w:t xml:space="preserve"> Abstract Electricity supply transition to reach carbon neutrality in Europe is expected to bring air quality and health co-benefits, but their regional distribution has not been investigated in detail. This study quantifies these co-benefits for 250 European electricity scenarios in 2035 across 296 sub-national regions. The study links a spatially-explicit electricity sector model with an air quality and health impact model and then accounts for susceptibility and vulnerability of populations to adverse health effects. In case of low-carbon transition, direct PM2.5 concentrations attributable to European electricity generation in 2035 could be reduced by 45–99% compared to a system with the generation capacities of 2018. Depending on the system’s make-up, health co-benefits can vary significantly, as does their regional distribution. Focus on the minimum system costs leads to 15 times higher continent-wide excess deaths and to higher regional inequality than the scenario with minimum air pollutant emissions, which would almost entirely eliminate PM2.5-related mortality attributable to electricity generation. The most vulnerable regions (Balkans, Northern Germany, Southeast France, and the West Midlands in England) would benefit from higher air quality co-benefits than the continental average.</w:t>
      </w:r>
    </w:p>
    <w:p>
      <w:pPr/>
      <w:r>
        <w:rPr>
          <w:b/>
        </w:rPr>
        <w:t>POSSIBLE 2025:</w:t>
      </w:r>
      <w:r>
        <w:t xml:space="preserve"> EIP-AGRI Practice Abstract: A tool for identifying forest areas in Europe exposed to systematic stress due to climate change — https://doi.org/10.5281/zenodo.19743999</w:t>
      </w:r>
    </w:p>
    <w:p>
      <w:pPr/>
      <w:r>
        <w:rPr>
          <w:b/>
        </w:rPr>
        <w:t>Shared claim-specific concepts:</w:t>
      </w:r>
      <w:r>
        <w:t xml:space="preserve"> due, climate, areas; EU scope visible. This is a provisional connection, not an outcome finding.</w:t>
      </w:r>
    </w:p>
    <w:p>
      <w:pPr>
        <w:pStyle w:val="SourceNote"/>
      </w:pPr>
      <w:r>
        <w:rPr>
          <w:b/>
        </w:rPr>
        <w:t>Available abstract (not full text):</w:t>
      </w:r>
      <w:r>
        <w:t xml:space="preserve"> Forests are complex systems and their interaction with and response to climate change are very difficult to predict. Therefore, we use historical and current trends in forest biomass and productivity across Europe to identify areas at risk of natural disturbances or even forest loss.</w:t>
      </w:r>
    </w:p>
    <w:p>
      <w:pPr/>
      <w:r>
        <w:rPr>
          <w:b/>
        </w:rPr>
        <w:t>POSSIBLE 2025:</w:t>
      </w:r>
      <w:r>
        <w:t xml:space="preserve"> Increased Streamflow Intermittence in Europe Due To Climate Change Projected by Combining Global Hydrological Modeling and Machine Learning — https://doi.org/10.1029/2024ef005868</w:t>
      </w:r>
    </w:p>
    <w:p>
      <w:pPr/>
      <w:r>
        <w:rPr>
          <w:b/>
        </w:rPr>
        <w:t>Shared claim-specific concepts:</w:t>
      </w:r>
      <w:r>
        <w:t xml:space="preserve"> due, climate, both, conditions; EU scope visible. This is a provisional connection, not an outcome finding.</w:t>
      </w:r>
    </w:p>
    <w:p>
      <w:pPr>
        <w:pStyle w:val="SourceNote"/>
      </w:pPr>
      <w:r>
        <w:rPr>
          <w:b/>
        </w:rPr>
        <w:t>Available abstract (not full text):</w:t>
      </w:r>
      <w:r>
        <w:t xml:space="preserve"> Abstract Freshwater biodiversity and ecosystem services are under stress as climate change alters streamflow intermittence. We present the first continental‐scale quantification of future climate change impacts on streamflow intermittence, achieved for Europe at a high spatial resolution that captures headwater streams. A hybrid modeling approach combines physics‐based and data‐based modeling, with a random forest model, trained on historical streamflow observations, using predictors representing the impact of climate change on high‐resolution (500 m) streamflow. These predictors were derived from a low‐resolution (50 km) global hydrological model, WaterGAP, which was driven by the outputs of five global climate models. The generated monthly time series of intermittence status for over 1.5 million reaches were used to calculate five ecologically relevant indicators of streamflow intermittence change. In Europe, the number of non‐perennial reach‐months is projected to increase in the future, for both low (SSP1‐RCP2.6) and high (SSP5‐RCP8.5) greenhouse gas emissions scenarios, in almost all climate zones, particularly in August and September. Under SSP1‐RCP2.6, 3.8% of all reach‐months may experience no‐flow conditions in 2071–2100, only a small increase from 3.5% in 1985–2014. Under SSP5‐8.5, however, a larger increase to 4.8% of all reach‐months is expected; 2.8% of European re</w:t>
      </w:r>
    </w:p>
    <w:p>
      <w:pPr/>
      <w:r>
        <w:rPr>
          <w:b/>
        </w:rPr>
        <w:t>POSSIBLE 2024:</w:t>
      </w:r>
      <w:r>
        <w:t xml:space="preserve"> Groundwater stress in Europe—assessing uncertainties in future groundwater discharge alterations due to water abstractions and climate change — https://doi.org/10.3389/frwa.2024.1448625</w:t>
      </w:r>
    </w:p>
    <w:p>
      <w:pPr/>
      <w:r>
        <w:rPr>
          <w:b/>
        </w:rPr>
        <w:t>Shared claim-specific concepts:</w:t>
      </w:r>
      <w:r>
        <w:t xml:space="preserve"> due, climate, show; EU scope visible. This is a provisional connection, not an outcome finding.</w:t>
      </w:r>
    </w:p>
    <w:p>
      <w:pPr>
        <w:pStyle w:val="SourceNote"/>
      </w:pPr>
      <w:r>
        <w:rPr>
          <w:b/>
        </w:rPr>
        <w:t>Available abstract (not full text):</w:t>
      </w:r>
      <w:r>
        <w:t xml:space="preserve">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due, climate, other, effect, health, show;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Advanced mycotoxin control and decontamination techniques in view of an increased aflatoxin risk in Europe due to climate change — https://doi.org/10.3389/fmicb.2022.1085891</w:t>
      </w:r>
    </w:p>
    <w:p>
      <w:pPr/>
      <w:r>
        <w:rPr>
          <w:b/>
        </w:rPr>
        <w:t>Shared claim-specific concepts:</w:t>
      </w:r>
      <w:r>
        <w:t xml:space="preserve"> due, climate, factors, health, both; EU scope visible. This is a provisional connection, not an outcome finding.</w:t>
      </w:r>
    </w:p>
    <w:p>
      <w:pPr>
        <w:pStyle w:val="SourceNote"/>
      </w:pPr>
      <w:r>
        <w:rPr>
          <w:b/>
        </w:rPr>
        <w:t>Available abstract (not full text):</w:t>
      </w:r>
      <w:r>
        <w:t xml:space="preserve"> spp. found in staple food and feed commodities worldwide. Aflatoxins are carcinogenic, teratogenic, and mutagenic, and pose a serious threat to the health of both humans and animals. The global economy and trade are significantly affected as well. Various models and datasets related to aflatoxins in maize have been developed and used but have not yet been linked. The prevention of crop loss due to aflatoxin contamination is complex and challenging. Hence, the set-up of advanced decontamination is crucial to cope with the challenge of climate change, growing population, unstable political scenarios, and food security problems also in European countries. After harvest, decontamination methods can be applied during transport, storage, or processing, but their application for aflatoxin reduction is still limited. Therefore, this review aims to investigate the effects of environmental factors on aflatoxin production because of climate change and to critically discuss the present-day and novel decontamination techniques to unravel gaps and limitations to propose them as a tool to tackle an increased aflatoxin risk in Europe.</w:t>
      </w:r>
    </w:p>
    <w:p>
      <w:pPr>
        <w:pStyle w:val="Heading2"/>
      </w:pPr>
      <w:r>
        <w:t>945.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2021:</w:t>
      </w:r>
      <w:r>
        <w:t xml:space="preserve"> “They Belong Here” — https://doi.org/10.4103/cs.cs_13_21</w:t>
      </w:r>
    </w:p>
    <w:p>
      <w:pPr/>
      <w:r>
        <w:rPr>
          <w:b/>
        </w:rPr>
        <w:t>Shared claim-specific concepts:</w:t>
      </w:r>
      <w:r>
        <w:t xml:space="preserve"> here, significant, findings, growing; EU scope visible. This is a provisional connection, not an outcome finding.</w:t>
      </w:r>
    </w:p>
    <w:p>
      <w:pPr>
        <w:pStyle w:val="SourceNote"/>
      </w:pPr>
      <w:r>
        <w:rPr>
          <w:b/>
        </w:rPr>
        <w:t>Available abstract (not full text):</w:t>
      </w:r>
      <w:r>
        <w:t xml:space="preserve"> Reintegrating wolves in human-dominated landscapes constitutes a significant conservation challenge. After decades of studying human-wolf interactions through a conflict lens, there is growing recognition that more nuanced perspectives are needed. However, this recognition has hitherto yielded few practical changes, and few have studied what underpins successful coexistence. Here we show that disproportionate focus on and resource allocation to conflict within conservation programmes risks undermining existing convivial relationships with large carnivores. Using a coexistence lens, we studied human-wolf interactions in Sanabria-La Carballeda in Spain; the region has one of the highest densities of wolves in Europe. We explored the underlying social and ecological conditions that have permitted both wolves and people to persist in the area, studied the mutual impacts, and surveyed how interactions are influenced by broader socio-economic processes. The findings of this novel approach to studying human-wildlife interactions elucidates how areas of functional coexistence have been neglected in policy, leaving them vulnerable to depopulation, low agricultural profitability, and the loss of biocultural diversity. When institutions fail to support functional coexistence, we risk losing the knowledge, the traditions and the trust of those who have sustained Europe's large carnivores, </w:t>
      </w:r>
    </w:p>
    <w:p>
      <w:pPr/>
      <w:r>
        <w:rPr>
          <w:b/>
        </w:rPr>
        <w:t>POSSIBLE 2021:</w:t>
      </w:r>
      <w:r>
        <w:t xml:space="preserve"> A model of energy poverty and access: Estimating household electricity demand and appliance ownership — https://doi.org/10.1016/j.eneco.2021.105266</w:t>
      </w:r>
    </w:p>
    <w:p>
      <w:pPr/>
      <w:r>
        <w:rPr>
          <w:b/>
        </w:rPr>
        <w:t>Shared claim-specific concepts:</w:t>
      </w:r>
      <w:r>
        <w:t xml:space="preserve"> here, energy, developing, nations, rise; EU scope not established. This is a provisional connection, not an outcome finding.</w:t>
      </w:r>
    </w:p>
    <w:p>
      <w:pPr>
        <w:pStyle w:val="SourceNote"/>
      </w:pPr>
      <w:r>
        <w:rPr>
          <w:b/>
        </w:rPr>
        <w:t>Available abstract (not full text):</w:t>
      </w:r>
      <w:r>
        <w:t xml:space="preserve"> In countries that have a large share of population in energy poverty, appliance and electricity demand can be expected to rise. Approaches to estimate latent demand of energy poor populations often assume a constant income elasticity of demand. Here, we develop a novel simulation-based structural estimation approach to estimate responsiveness of electricity demand to income accounting for non-linearities, and considering other important drivers. We apply the model using micro-data for four developing nations to assess the implications of policy scenarios for achieving the Sustainable Development Goal SDG 7 under different socio-economic futures. We find that under scenarios that include policies to achieve universal access to electricity, total electricity demand is higher but the average per capita is lower than in no access policy futures. We also find that the level of adoption of electrical appliances varies significantly by country, appliance type, climate and income, with a high and stable share of electricity used for entertainment in all four countries and socio-economic futures. However, the share of electricity used for food preservation and preparation and clothes maintenance rises significantly with income as people are able to afford appliances that provide greater convenience. Our results confirm that as energy poor populations gain access to electricity services </w:t>
      </w:r>
    </w:p>
    <w:p>
      <w:pPr/>
      <w:r>
        <w:rPr>
          <w:b/>
        </w:rPr>
        <w:t>POSSIBLE 2020:</w:t>
      </w:r>
      <w:r>
        <w:t xml:space="preserve"> Demand for Crop Insurance in Developing Countries: New Evidence from India — https://doi.org/10.1111/1477-9552.12403</w:t>
      </w:r>
    </w:p>
    <w:p>
      <w:pPr/>
      <w:r>
        <w:rPr>
          <w:b/>
        </w:rPr>
        <w:t>Shared claim-specific concepts:</w:t>
      </w:r>
      <w:r>
        <w:t xml:space="preserve"> developing, india; EU scope not established. This is a provisional connection, not an outcome finding.</w:t>
      </w:r>
    </w:p>
    <w:p>
      <w:pPr>
        <w:pStyle w:val="SourceNote"/>
      </w:pPr>
      <w:r>
        <w:rPr>
          <w:b/>
        </w:rPr>
        <w:t>Available abstract (not full text):</w:t>
      </w:r>
      <w:r>
        <w:t xml:space="preserve"> Determining farmers' real demand for crop insurance is difficult, especially in developing countries, where there is a lack of formal financial sector integration and a high reliance on informal risk mitigation options. We provide some new estimates of farmers' willingness-to-pay for insurance in the context of a large-scale subsidised programme in India. We conducted a discrete choice experiment with agricultural households across four states in India, enabling us to estimate preferences for specific insurance policy attributes such as coverage period, method of loss assessment, timing of indemnity payments and the cost of insurance. Our results suggest that farmers do value crop insurance under certain conditions and some are willing to pay a premium for such coverage in excess of the subsidised rates they are currently required to pay under this programme. In particular, farmers value the assurances that they will receive timely payouts when they incur losses, and may not have a strong preference for the method with which losses are assessed. On the other hand, farmers are quite sensitive to coverage periods. Our baseline assessment shows that when optimised to farmer requirements, there can be a sizeable demand for crop insurance by developing country farmers.</w:t>
      </w:r>
    </w:p>
    <w:p>
      <w:pPr/>
      <w:r>
        <w:rPr>
          <w:b/>
        </w:rPr>
        <w:t>POSSIBLE 2020:</w:t>
      </w:r>
      <w:r>
        <w:t xml:space="preserve"> Smart Flexible Electronics‐Integrated Wound Dressing for Real‐Time Monitoring and On‐Demand Treatment of Infected Wounds — https://doi.org/10.1002/advs.201902673</w:t>
      </w:r>
    </w:p>
    <w:p>
      <w:pPr/>
      <w:r>
        <w:rPr>
          <w:b/>
        </w:rPr>
        <w:t>Shared claim-specific concepts:</w:t>
      </w:r>
      <w:r>
        <w:t xml:space="preserve"> here, developing; EU scope not established. This is a provisional connection, not an outcome finding.</w:t>
      </w:r>
    </w:p>
    <w:p>
      <w:pPr>
        <w:pStyle w:val="SourceNote"/>
      </w:pPr>
      <w:r>
        <w:rPr>
          <w:b/>
        </w:rPr>
        <w:t>Available abstract (not full text):</w:t>
      </w:r>
      <w:r>
        <w:t xml:space="preserve"> As the most frequent wound complication, infection has become a major clinical challenge in wound management. To overcome the "Black Box" status of the wound-healing process, next-generation wound dressings with the abilities of real-time monitoring, diagnosis during early stages, and on-demand therapy has attracted considerable attention. Here, by combining the emerging development of bioelectronics, a smart flexible electronics-integrated wound dressing with a double-layer structure, the upper layer of which is polydimethylsiloxane-encapsulated flexible electronics integrated with a temperature sensor and ultraviolet (UV) light-emitting diodes, and the lower layer of which is a UV-responsive antibacterial hydrogel, is designed. This dressing is expected to provide early infection diagnosis via real-time wound-temperature monitoring by the integrated sensor and on-demand infection treatment by the release of antibiotics from the hydrogel by in situ UV irradiation. The integrated system possesses good flexibility, excellent compatibility, and high monitoring sensitivity and durability. Animal experiment results demonstrate that the integrated system is capable of monitoring wound status in real time, detecting bacterial infection and providing effective treatment on the basis of need. This proof-of-concept research holds great promise in developing new strategies to significant</w:t>
      </w:r>
    </w:p>
    <w:p>
      <w:pPr/>
      <w:r>
        <w:rPr>
          <w:b/>
        </w:rPr>
        <w:t>POSSIBLE 2020:</w:t>
      </w:r>
      <w:r>
        <w:t xml:space="preserve"> Importance of General Physical Examination in Avoiding Oversight of Significant Clinical Findings — https://openalex.org/W3009573679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General Physical Examination skills are gradually fading away from clinical practice, ever since the advent of technological advancements. Bedside learning is shifting to classrooms, increasing the reliance on diagnostic reports and decreasing the quality of personalised medical care. An efficient clinical examination is essential in all medicos, from medical students to practising doctors to avoid missed or delayed diagnosis or treatment. Here, we present the case of a patient of pilonidal sinus in whom a large hairy mole was initially missed due to omission of proper GPE.</w:t>
      </w:r>
    </w:p>
    <w:p>
      <w:pPr/>
      <w:r>
        <w:rPr>
          <w:b/>
        </w:rPr>
        <w:t>POSSIBLE 2019:</w:t>
      </w:r>
      <w:r>
        <w:t xml:space="preserve"> Travel demand modeling for developing countries — https://doi.org/10.25669/e9jn-xt5w</w:t>
      </w:r>
    </w:p>
    <w:p>
      <w:pPr/>
      <w:r>
        <w:rPr>
          <w:b/>
        </w:rPr>
        <w:t>Shared claim-specific concepts:</w:t>
      </w:r>
      <w:r>
        <w:t xml:space="preserve"> significant, developing, primarily; EU scope not established. This is a provisional connection, not an outcome finding.</w:t>
      </w:r>
    </w:p>
    <w:p>
      <w:pPr>
        <w:pStyle w:val="SourceNote"/>
      </w:pPr>
      <w:r>
        <w:rPr>
          <w:b/>
        </w:rPr>
        <w:t>Available abstract (not full text):</w:t>
      </w:r>
      <w:r>
        <w:t xml:space="preserve"> The transportation planning process or travel demand forecasting process which is most commonly used at present, called the Urban Transportation Planning Process (UTPP), has its origins in studies performed about three decades ago in urban areas in the United States. This conventional planning process was designed primarily for the western/developed world where affordability and accessibility to a personal automobile is a common feature; The UTPP based models used in forecasting future travel demand rely heavily on socio-economic variables that are associated with an individual's propensity to travel. The socio-economic environments in the developing and the under-developed world are different from that prevailing in the developed world. Many urban areas in the third-world contain a mix of ethnic groups or households with structural differences in income and social characteristics. Thus, a direct application of the methodology of the UTPP may not be relevant to developing countries in third world settings; The main objectives of this research are to study the travel characteristics and sensitivity of key factors affecting travel demand of the people in the third world and to develop a framework that allows for the treatment of different groups based on one or more socio-economic features, such as income, household size etc; Trip generation models are developed to study the trav</w:t>
      </w:r>
    </w:p>
    <w:p>
      <w:pPr>
        <w:pStyle w:val="Heading2"/>
      </w:pPr>
      <w:r>
        <w:t>946.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2023:</w:t>
      </w:r>
      <w:r>
        <w:t xml:space="preserve"> Terrorist attacks — https://doi.org/10.4324/9781003105824-8</w:t>
      </w:r>
    </w:p>
    <w:p>
      <w:pPr/>
      <w:r>
        <w:rPr>
          <w:b/>
        </w:rPr>
        <w:t>Shared claim-specific concepts:</w:t>
      </w:r>
      <w:r>
        <w:t xml:space="preserve"> terrorist, attacks, london, government; EU scope visible. This is a provisional connection, not an outcome finding.</w:t>
      </w:r>
    </w:p>
    <w:p>
      <w:pPr>
        <w:pStyle w:val="SourceNote"/>
      </w:pPr>
      <w:r>
        <w:rPr>
          <w:b/>
        </w:rPr>
        <w:t>Available abstract (not full text):</w:t>
      </w:r>
      <w:r>
        <w:t xml:space="preserve"> The United Nations has a structure for addressing terrorism as a matter of state concern. Countries such as the UK are members of this framework. UK has had various terrorist attacks over the years. Recently, these have included those ensuing from ‘the Troubles’ in Northern Ireland, Lockerbie and Dunblane in Scotland, the 7/7 tube attacks in London, the 2017 Manchester Arena attack and many others across the UK. Many lessons of dealing with terrorism were learnt from the 9/11 World Trade Center attack in the USA as these filtered into emergency planning forums in the UK. Social workers are learning from such examples. However, the profession as a whole would be challenged to respond effectively if a terrorist attack were to occur in a location that has not experienced one before. Preparing them to do so would require training, including at qualifying level and in-service training through continuing professional development(CDP) on a regular basis, to keep up with a rapidly shifting terrain of government policy in addressing terrorism within a country. The UK’s key response has been the CONTEST Programme aimed at controlling the spread of terrorist ideologies and diverting people from committing terrorist acts. This has been linked to the securitisation of the state, especially as CONTEST has now drawn public sector workers into its ambit. Some of the duties linked to the deradi</w:t>
      </w:r>
    </w:p>
    <w:p>
      <w:pPr/>
      <w:r>
        <w:rPr>
          <w:b/>
        </w:rPr>
        <w:t>POSSIBLE 2023:</w:t>
      </w:r>
      <w:r>
        <w:t xml:space="preserve"> Cryptocurrency technology revolution: are Bitcoin prices and terrorist attacks related? — https://doi.org/10.1186/s40854-022-00445-3</w:t>
      </w:r>
    </w:p>
    <w:p>
      <w:pPr/>
      <w:r>
        <w:rPr>
          <w:b/>
        </w:rPr>
        <w:t>Shared claim-specific concepts:</w:t>
      </w:r>
      <w:r>
        <w:t xml:space="preserve"> terrorist, attacks, about; EU scope not established. This is a provisional connection, not an outcome finding.</w:t>
      </w:r>
    </w:p>
    <w:p>
      <w:pPr>
        <w:pStyle w:val="SourceNote"/>
      </w:pPr>
      <w:r>
        <w:rPr>
          <w:b/>
        </w:rPr>
        <w:t>Available abstract (not full text):</w:t>
      </w:r>
      <w:r>
        <w:t xml:space="preserve"> As a financial innovation of the information age, cryptocurrency is a complex concept with clear advantages and disadvantages and is worthy of discussion. Exploring from a terrorism perspective, this study uses the time-varying parameter/stochastic volatility vector autoregression model to explore the risk hedging and terrorist financing capabilities of Bitcoin. Empirical results show that both terrorist incidents and brutality may explain Bitcoin price, but their effects are slightly different. Compared to terrorist brutality, terrorist incidents have a weaker impact on Bitcoin price, showing that Bitcoin investors are more concerned about the number of deaths than the frequency of terrorist attacks. In turn, the impact of Bitcoin price on terrorist attacks is negligible. Bitcoin is a potential means of financing terrorism, but it does not currently play an important role. Our research findings can help investors analyze and predict Bitcoin prices and help improve the theoretical system of anti-terrorist financing, helping to maintain world peace and security.</w:t>
      </w:r>
    </w:p>
    <w:p>
      <w:pPr/>
      <w:r>
        <w:rPr>
          <w:b/>
        </w:rPr>
        <w:t>POSSIBLE 2023:</w:t>
      </w:r>
      <w:r>
        <w:t xml:space="preserve"> Emotions and inventor productivity: Evidence from terrorist attacks — https://doi.org/10.1111/acfi.13213</w:t>
      </w:r>
    </w:p>
    <w:p>
      <w:pPr/>
      <w:r>
        <w:rPr>
          <w:b/>
        </w:rPr>
        <w:t>Shared claim-specific concepts:</w:t>
      </w:r>
      <w:r>
        <w:t xml:space="preserve"> terrorist, attacks, low; EU scope not established. This is a provisional connection, not an outcome finding.</w:t>
      </w:r>
    </w:p>
    <w:p>
      <w:pPr>
        <w:pStyle w:val="SourceNote"/>
      </w:pPr>
      <w:r>
        <w:rPr>
          <w:b/>
        </w:rPr>
        <w:t>Available abstract (not full text):</w:t>
      </w:r>
      <w:r>
        <w:t xml:space="preserve"> Abstract We examine whether the emotional shocks associated with terrorist attacks affect local inventors' productivity. We find that high‐fatality attacks make inventors less innovative, and low‐fatality attacks make them more innovative. Inventors living in high risk‐taking environments have greater increase in productivity following low‐fatality attacks, while less decrease in productivity following high‐fatality attacks. Further, the effect of terrorist attacks on inventor productivity comes mainly from exploratory innovation which involves more risks. Inventors affected by high‐fatality attacks are also more likely to move to places without any significant terrorist attack history, but there is no such effect for low‐fatality attacks.</w:t>
      </w:r>
    </w:p>
    <w:p>
      <w:pPr/>
      <w:r>
        <w:rPr>
          <w:b/>
        </w:rPr>
        <w:t>POSSIBLE 2023:</w:t>
      </w:r>
      <w:r>
        <w:t xml:space="preserve"> Terrorist attacks sharpen the binary perception of “Us” vs. “Them” — https://doi.org/10.1038/s41598-023-39035-3</w:t>
      </w:r>
    </w:p>
    <w:p>
      <w:pPr/>
      <w:r>
        <w:rPr>
          <w:b/>
        </w:rPr>
        <w:t>Shared claim-specific concepts:</w:t>
      </w:r>
      <w:r>
        <w:t xml:space="preserve"> terrorist, attacks, government, approach, understanding, about; EU scope not established. This is a provisional connection, not an outcome finding.</w:t>
      </w:r>
    </w:p>
    <w:p>
      <w:pPr>
        <w:pStyle w:val="SourceNote"/>
      </w:pPr>
      <w:r>
        <w:rPr>
          <w:b/>
        </w:rPr>
        <w:t>Available abstract (not full text):</w:t>
      </w:r>
      <w:r>
        <w:t xml:space="preserve"> Terrorist attacks not only harm citizens but also shift their attention, which has long-lasting impacts on public opinion and government policies. Yet measuring the changes in public attention beyond media coverage has been methodologically challenging. Here we approach this problem by starting from Wikipedia's répertoire of 5.8 million articles and a sample of 15 recent terrorist attacks. We deploy a complex exclusion procedure to identify topics and themes that consistently received a significant increase in attention due to these incidents. Examining their contents reveals a clear picture: terrorist attacks foster establishing a sharp boundary between "Us" (the target society) and "Them" (the terrorist as the enemy). In the midst of this, one seeks to construct identities of both sides. This triggers curiosity to learn more about "Them" and soul-search for a clearer understanding of "Us". This systematic analysis of public reactions to disruptive events could help mitigate their societal consequences.</w:t>
      </w:r>
    </w:p>
    <w:p>
      <w:pPr/>
      <w:r>
        <w:rPr>
          <w:b/>
        </w:rPr>
        <w:t>POSSIBLE 2022:</w:t>
      </w:r>
      <w:r>
        <w:t xml:space="preserve"> Spatiotemporal Variation in Emotional Responses to 2017 Terrorist Attacks in London Using Twitter Data — https://doi.org/10.57709/12007502</w:t>
      </w:r>
    </w:p>
    <w:p>
      <w:pPr/>
      <w:r>
        <w:rPr>
          <w:b/>
        </w:rPr>
        <w:t>Shared claim-specific concepts:</w:t>
      </w:r>
      <w:r>
        <w:t xml:space="preserve"> terrorist, attacks, london; EU scope not established. This is a provisional connection, not an outcome finding.</w:t>
      </w:r>
    </w:p>
    <w:p>
      <w:pPr>
        <w:pStyle w:val="SourceNote"/>
      </w:pPr>
      <w:r>
        <w:rPr>
          <w:b/>
        </w:rPr>
        <w:t>Available abstract (not full text):</w:t>
      </w:r>
      <w:r>
        <w:t xml:space="preserve"> Terrorist attacks have a significant impact on human lives. This study examined emotional responses after the terrorist attacks in London in March and June of 2017, respectively. This research extracted tweets related to the two attacks by developing a Python tool interacting with the Twitter Application Program Interface (API). The tweets were analyzed for its negative emotion expression such as sadness. This study then analyzed these negative tweets using the space-time permutation model in SatScan and assessed their variation in space and time. Results suggested two significant clusters of negative tweets after the first attack. These clusters located in the metropolitan area of London and between Manchester and Liverpool within ten days of the attack. The findings may contribute to quick surveillance of emotional responses on the Twitter users.</w:t>
      </w:r>
    </w:p>
    <w:p>
      <w:pPr/>
      <w:r>
        <w:rPr>
          <w:b/>
        </w:rPr>
        <w:t>POSSIBLE 2022:</w:t>
      </w:r>
      <w:r>
        <w:t xml:space="preserve"> Psychosocial care responses to terrorist attacks: a country case study of Norway, France and Belgium — https://doi.org/10.1186/s12913-022-07691-2</w:t>
      </w:r>
    </w:p>
    <w:p>
      <w:pPr/>
      <w:r>
        <w:rPr>
          <w:b/>
        </w:rPr>
        <w:t>Shared claim-specific concepts:</w:t>
      </w:r>
      <w:r>
        <w:t xml:space="preserve"> terrorist, attacks, throughout, approach, long-term; EU scope visible. This is a provisional connection, not an outcome finding.</w:t>
      </w:r>
    </w:p>
    <w:p>
      <w:pPr>
        <w:pStyle w:val="SourceNote"/>
      </w:pPr>
      <w:r>
        <w:rPr>
          <w:b/>
        </w:rPr>
        <w:t>Available abstract (not full text):</w:t>
      </w:r>
      <w:r>
        <w:t xml:space="preserve"> BACKGROUND: The international terrorism threat urges societies to invest in the planning and organization of psychosocial care. With the aim to contribute to cross-national learning, this study describes the content, target populations and providers of psychosocial care to civilians after terrorist attacks in Norway, France and Belgium. METHODS: We identified and reviewed pre- and post-attack policy documents, guidelines, reports and other relevant grey literature addressing the psychosocial care response to terrorist attacks in Oslo/Utøya, Norway on 22 July 2011; in Paris, France on 13 November 2015; and in Brussels, Belgium on 22 March 2016. RESULTS: In Norway, there was a primary care based approach with multidisciplinary crisis teams in the local municipalities. In response to the terrorist attacks, there were proactive follow-up programs within primary care and occupational health services with screenings of target groups throughout a year. In France, there was a national network of specialized emergency psychosocial units primarily consisting of psychiatrists, psychologists and psychiatric nurses organized by the regional health agencies. They provided psychological support the first month including guidance for long-term healthcare, but there were no systematic screening programs after the acute phase. In Belgium, there were psychosocial intervention networks in the loca</w:t>
      </w:r>
    </w:p>
    <w:p>
      <w:pPr/>
      <w:r>
        <w:rPr>
          <w:b/>
        </w:rPr>
        <w:t>POSSIBLE 2022:</w:t>
      </w:r>
      <w:r>
        <w:t xml:space="preserve"> Time in Responding to Terrorist Attacks in Cities — https://doi.org/10.3390/su142416643</w:t>
      </w:r>
    </w:p>
    <w:p>
      <w:pPr/>
      <w:r>
        <w:rPr>
          <w:b/>
        </w:rPr>
        <w:t>Shared claim-specific concepts:</w:t>
      </w:r>
      <w:r>
        <w:t xml:space="preserve"> terrorist, attacks, critical; EU scope not established. This is a provisional connection, not an outcome finding.</w:t>
      </w:r>
    </w:p>
    <w:p>
      <w:pPr>
        <w:pStyle w:val="SourceNote"/>
      </w:pPr>
      <w:r>
        <w:rPr>
          <w:b/>
        </w:rPr>
        <w:t>Available abstract (not full text):</w:t>
      </w:r>
      <w:r>
        <w:t xml:space="preserve"> Terrorism is one of the most serious threats today. The perpetrators of the attacks use newer and newer tools and apply new methods of operation. Their goal is to cause fear; therefore, for the media message to be more and more attractive, the terrorists began to attack even more spectacularly. Considering the above, cities conducive to forming clusters of people are attractive places to carry out an attack. To meet the emerging challenges, cities increasingly use modern information and communication technologies, transforming into smart cities. One of the basic assumptions for this is to ensure high safety and public order. Antiterrorist protection is a particular challenge for city authorities. Considering the above, the aim of the research, the effects of which are presented in the article, was to identify and describe the basic features distinguishing selected categories of terrorist attacks carried out in cities. In the course of the research, the duration of the terrorist event was analyzed and the critical relationships between the time and the effectiveness of neutralization and rescue operations at the scene were identified. The research method used, in addition to the observation and analysis of the literature, was a descriptive case study.</w:t>
      </w:r>
    </w:p>
    <w:p>
      <w:pPr/>
      <w:r>
        <w:rPr>
          <w:b/>
        </w:rPr>
        <w:t>POSSIBLE 2021:</w:t>
      </w:r>
      <w:r>
        <w:t xml:space="preserve"> Media coverage of terrorist attacks in London in 2017: Comparison of news portals Aktuálně.cz and The Guardian — https://openalex.org/W7135787987</w:t>
      </w:r>
    </w:p>
    <w:p>
      <w:pPr/>
      <w:r>
        <w:rPr>
          <w:b/>
        </w:rPr>
        <w:t>Shared claim-specific concepts:</w:t>
      </w:r>
      <w:r>
        <w:t xml:space="preserve"> terrorist, attacks, london; EU scope not established. This is a provisional connection, not an outcome finding.</w:t>
      </w:r>
    </w:p>
    <w:p>
      <w:pPr>
        <w:pStyle w:val="SourceNote"/>
      </w:pPr>
      <w:r>
        <w:rPr>
          <w:b/>
        </w:rPr>
        <w:t>Available abstract (not full text):</w:t>
      </w:r>
      <w:r>
        <w:t xml:space="preserve"> This thesis is focused on the media coverage of four terrorist attacks that happened in London in 2017. The subject of the research are photographs which were published after the attacks on Czech online news media Aktuálně.cz and British online news portal The Guardian. The coverage on both media is in the case of each attack followed for one week. The aim of this thesis is to describe which photographs both media published, with the main emphasis on certain technical and content variables. Furthermore, the difference between visual representation in Czech and British media is also a subject of this work.</w:t>
      </w:r>
    </w:p>
    <w:p>
      <w:pPr/>
      <w:r>
        <w:rPr>
          <w:b/>
        </w:rPr>
        <w:t>POSSIBLE 2021:</w:t>
      </w:r>
      <w:r>
        <w:t xml:space="preserve"> Analyzing Canadian PM Justin Trudeau’s Speech about Terrorist Attack on a Muslim Family in Ontario’s London: A Critical Perspective — https://doi.org/10.32996/ijls.2021.1.2.2</w:t>
      </w:r>
    </w:p>
    <w:p>
      <w:pPr/>
      <w:r>
        <w:rPr>
          <w:b/>
        </w:rPr>
        <w:t>Shared claim-specific concepts:</w:t>
      </w:r>
      <w:r>
        <w:t xml:space="preserve"> terrorist, london, approach, practice, levels, about; EU scope not established. This is a provisional connection, not an outcome finding.</w:t>
      </w:r>
    </w:p>
    <w:p>
      <w:pPr>
        <w:pStyle w:val="SourceNote"/>
      </w:pPr>
      <w:r>
        <w:rPr>
          <w:b/>
        </w:rPr>
        <w:t>Available abstract (not full text):</w:t>
      </w:r>
      <w:r>
        <w:t xml:space="preserve"> Language considers a form of social practice in Critical Discourse Analysis, and it is frequently used in political discourse written, verbal and visual including public speeches. This paper examines the Prime Minister of Canada's press conference speech, held at the House of Commerce on June 8, 2021 (https://www.rev.com/blog, 2021), in the aftermath of a Muslim family's murder in Ontario's London. The Three-Dimensional Model of Fairclough has been used to investigate the implicit/explicit power displayed in PM Justin's speech, as well as the display of power at the textual, discursive, and societal levels, in the context of the speech's two key themes: anti-Muslim hatred and Islamophobia. The study examines speech using a qualitative approach and addresses power within the discourse as well as the power behind the discourse. The findings show how language reflects political leaders' ideologies and how social behaviors can shape and be shaped by speech. The Prime Minister skillfully employed language to convey the ideological divides between Muslim communities and the western communities. After drawing the line of demarcation, he urged world leaders to take steps to resolve their differences to achieve global harmony and peace. This study enables the general public to comprehend Justin Trudeau's position on prevalent intolerance and the ideology of Islamophobia, as well as its </w:t>
      </w:r>
    </w:p>
    <w:p>
      <w:pPr/>
      <w:r>
        <w:rPr>
          <w:b/>
        </w:rPr>
        <w:t>POSSIBLE 2021:</w:t>
      </w:r>
      <w:r>
        <w:t xml:space="preserve"> Getting under the Skin: The Impact of Terrorist Attacks on Native and Immigrant Sentiment — https://doi.org/10.1093/sf/soab135</w:t>
      </w:r>
    </w:p>
    <w:p>
      <w:pPr/>
      <w:r>
        <w:rPr>
          <w:b/>
        </w:rPr>
        <w:t>Shared claim-specific concepts:</w:t>
      </w:r>
      <w:r>
        <w:t xml:space="preserve"> terrorist, attacks, understanding, little; EU scope visible. This is a provisional connection, not an outcome finding.</w:t>
      </w:r>
    </w:p>
    <w:p>
      <w:pPr>
        <w:pStyle w:val="SourceNote"/>
      </w:pPr>
      <w:r>
        <w:rPr>
          <w:b/>
        </w:rPr>
        <w:t>Available abstract (not full text):</w:t>
      </w:r>
      <w:r>
        <w:t xml:space="preserve"> Abstract There is growing academic interest in examining how terrorist attacks shape the majority’s attitudes towards minority groups. Yet, little is known of how these minority groups react to the backlash such events provoke. This paper leverages the exogenous occurrence of a series of terrorist attacks during the fieldwork period of two surveys to estimate how such events affect the sentiment of both citizens and asylum seekers in Germany. Results of the natural experiment reveal that the 2016 terror attacks in Nice, Würzburg, and Ansbach substantially increased anti-refugee sentiment among German respondents. In line with this increase in hostility, refugees experienced more discrimination, felt less welcome in Germany, and suffered clinically relevant declines in mental health in the aftermath of the attacks. These results provide a more holistic understanding of how terrorism corrodes intergroup relations and how it affects those that are blamed for the events and thus suffer the brunt of the backlash following their occurrence.</w:t>
      </w:r>
    </w:p>
    <w:p>
      <w:pPr>
        <w:pStyle w:val="Heading2"/>
      </w:pPr>
      <w:r>
        <w:t>947.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Decoupling factors influencing spatial and temporal trends of total nitrogen and ammonia nitrogen levels in lakes across China — https://doi.org/10.5194/egusphere-2026-3574</w:t>
      </w:r>
    </w:p>
    <w:p>
      <w:pPr/>
      <w:r>
        <w:rPr>
          <w:b/>
        </w:rPr>
        <w:t>Shared claim-specific concepts:</w:t>
      </w:r>
      <w:r>
        <w:t xml:space="preserve"> total, nitrogen, management; EU scope not established. This is a provisional connection, not an outcome finding.</w:t>
      </w:r>
    </w:p>
    <w:p>
      <w:pPr>
        <w:pStyle w:val="SourceNote"/>
      </w:pPr>
      <w:r>
        <w:rPr>
          <w:b/>
        </w:rPr>
        <w:t>Available abstract (not full text):</w:t>
      </w:r>
      <w:r>
        <w:t xml:space="preserve"> Abstract. The heterogeneity of lake nitrogen pollution in its spatial distribution and long-term evolution influences ecosystem functioning and the effectiveness of water environment management. However, whether the drivers shaping the spatial patterns of different nitrogen forms differ from those governing their temporal dynamics remains poorly understood at large spatial scales. Here, we constructed monthly time series (2010–2024) of total nitrogen (TN) and ammonia nitrogen (NH₃-N) concentrations for 3,020 lakes across China’s five limnological regions using an ensemble machine learning framework and to reveal the difference in factors that influence spatial patterns and long-term changes of the two nitrogen forms at the large scale. The results showed that the factors determining where lakes are nitrogen-enriched are not necessarily those controlling whether nitrogen conditions improve or deteriorate over time and that different nitrogen forms respond to management and environmental change through distinct pathways. For TN, the spatial patterns are jointly shaped by external nitrogen loading, land cover, and hydro-climatic conditions, highlighting strong landscape-scale controls. However, its long-term evolution is governed more strongly by temporal variations in external nitrogen inputs than by static spatial characteristics. In contrast, NH₃-N exhibits a more direct and ra</w:t>
      </w:r>
    </w:p>
    <w:p>
      <w:pPr/>
      <w:r>
        <w:rPr>
          <w:b/>
        </w:rPr>
        <w:t>POSSIBLE 2025:</w:t>
      </w:r>
      <w:r>
        <w:t xml:space="preserve"> Investigating the storage of organic carbon, nitrogen and phosphorus in pond sediment — https://doi.org/10.1007/s11368-025-04001-1</w:t>
      </w:r>
    </w:p>
    <w:p>
      <w:pPr/>
      <w:r>
        <w:rPr>
          <w:b/>
        </w:rPr>
        <w:t>Shared claim-specific concepts:</w:t>
      </w:r>
      <w:r>
        <w:t xml:space="preserve"> total, nitrogen, central; EU scope visible. This is a provisional connection, not an outcome finding.</w:t>
      </w:r>
    </w:p>
    <w:p>
      <w:pPr>
        <w:pStyle w:val="SourceNote"/>
      </w:pPr>
      <w:r>
        <w:rPr>
          <w:b/>
        </w:rPr>
        <w:t>Available abstract (not full text):</w:t>
      </w:r>
      <w:r>
        <w:t xml:space="preserve"> The present study evaluates the sediment mass and storage of total organic carbon (TOC), total nitrogen (TN) and total phosphorus (TP) in a managed agricultural pond, representative for ponds situated in Central Europe. The study is designed to enhance understanding of the functioning of such ponds as nutrient sinks and the capacity to retain TOC, TN and TP within the pond's sediment layer. In order to assess the distribution of sediments and the storage of nutrients, orthomosaics and digital elevation models (DEMs) were generated from imagery recorded by unmanned aerial vehicles (UAVs) in 2021 and 2022. The thickness of the sediment was measured at 174 points over nine diving campaigns, with the volume estimated comparing three interpolation methods. Sediment core samples were analysed to determine their physical and chemical composition. In addition, water samples were collected from the inlets and outlets to trace potential pathways of nutrients. The pond was found to store 330.9 t ha −1 TOC, 16 t ha −1 TN and 0.8 t ha −1 TP with an sediment mass of 1,460 t ha −1 . The DEM comparison indicates areas of sediment loss and accumulation, with the overall sediment mass remaining stable. The vertical distribution of nutrients indicated the presence of layered sediment deposition, which suggests a complex history of sediment and nutrient retention. The pond acts as a nutrient sink,</w:t>
      </w:r>
    </w:p>
    <w:p>
      <w:pPr/>
      <w:r>
        <w:rPr>
          <w:b/>
        </w:rPr>
        <w:t>POSSIBLE 2025:</w:t>
      </w:r>
      <w:r>
        <w:t xml:space="preserve"> Modelling agronomic and environmental effects of bio-based nitrogen fertilisers in Europe — https://doi.org/10.1007/s10705-025-10463-z</w:t>
      </w:r>
    </w:p>
    <w:p>
      <w:pPr/>
      <w:r>
        <w:rPr>
          <w:b/>
        </w:rPr>
        <w:t>Shared claim-specific concepts:</w:t>
      </w:r>
      <w:r>
        <w:t xml:space="preserve"> total, nitrogen, reduced, improvements, based, higher; EU scope visible. This is a provisional connection, not an outcome finding.</w:t>
      </w:r>
    </w:p>
    <w:p>
      <w:pPr>
        <w:pStyle w:val="SourceNote"/>
      </w:pPr>
      <w:r>
        <w:rPr>
          <w:b/>
        </w:rPr>
        <w:t>Available abstract (not full text):</w:t>
      </w:r>
      <w:r>
        <w:t xml:space="preserve"> Biobased waste materials, rich in nutrients and carbon, are often underutilised but could be processed into valuable biobased fertilisers (BBFs). Replacing conventional mineral fertilisers with BBFs requires understanding of their agronomic and environmental performance, which is currently lacking. This study used the Daisy model to evaluate the agronomic (dry matter and nitrogen (N) yield) and environmental (N losses to air and water) performance of eight BBFs in six European cropping systems. Mineral N fertilisation in the baseline scenarios was replaced with BBF according to three different schemes of N fertiliser replacement: Agronomic (according to 1st year fertiliser N replacement value (NFRV), typically 10–90%), Environmental (same total N as in baseline, equivalent to NFRV = 100%), and Intermediate (based on average NFRV of Agronomic and Environmental). Results indicated that under the Agronomic scheme, BBFs maintained or increased yields, but increased N losses relative to the baseline with mineral N. The Environmental scheme reduced crop yields by up to 10%, but N losses remained similar to baseline fertilisation. BBFs generally improved soil organic N or carbon stocks, indicators of soil quality. Differences in N losses and soil quality in the Agronomic scheme were mainly related to BBFs having different NFRV; a low NFRV (e.g., compost) implies higher total N inputs </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Analysis of total nitrogen and chlorophyll a correlations in reservoirs in Ceará/Brazil — https://doi.org/10.1590/s1413-415220230015</w:t>
      </w:r>
    </w:p>
    <w:p>
      <w:pPr/>
      <w:r>
        <w:rPr>
          <w:b/>
        </w:rPr>
        <w:t>Shared claim-specific concepts:</w:t>
      </w:r>
      <w:r>
        <w:t xml:space="preserve"> total, nitrogen; EU scope not established. This is a provisional connection, not an outcome finding.</w:t>
      </w:r>
    </w:p>
    <w:p>
      <w:pPr>
        <w:pStyle w:val="SourceNote"/>
      </w:pPr>
      <w:r>
        <w:rPr>
          <w:b/>
        </w:rPr>
        <w:t>Available abstract (not full text):</w:t>
      </w:r>
      <w:r>
        <w:t xml:space="preserve"> ABSTRACT Chlorophyll a (Chla) concentration is an important indicator to characterize algal biomass, reflecting water quality and the level of eutrophication of aquatic environments. This study analyzed 4315 total nitrogen (TN) and Chla samples in 155 reservoirs in Ceará, Brazil. Relationships were obtained between TN and Chla through simple linear regression and classified according to the statistical performance of the coefficient of determination (R²). The dynamics of these correlations were examined by analyzing the variance between classification groups concerning watershed, reservoir size, coefficient of variability, and trophic state. The concentration of pollutants was influenced by seasonality, which increased significantly from the wet to the dry period in most basins. The coefficients of determination between Chla and TN for the watersheds followed the trends of classic curves in the literature, with satisfactory models (R² &gt; 0.3) in most reservoirs (53.3%). The variance analysis attested that the models’ performance was affected by the basins, the volumetric variation, and the change in the trophic state levels. There was no significant variance of R² between reservoirs of different sizes.</w:t>
      </w:r>
    </w:p>
    <w:p>
      <w:pPr/>
      <w:r>
        <w:rPr>
          <w:b/>
        </w:rPr>
        <w:t>POSSIBLE 2023:</w:t>
      </w:r>
      <w:r>
        <w:t xml:space="preserve"> Ecosystem type drives soil eukaryotic diversity and composition in Europe — https://doi.org/10.1111/gcb.16871</w:t>
      </w:r>
    </w:p>
    <w:p>
      <w:pPr/>
      <w:r>
        <w:rPr>
          <w:b/>
        </w:rPr>
        <w:t>Shared claim-specific concepts:</w:t>
      </w:r>
      <w:r>
        <w:t xml:space="preserve"> total, nitrogen, higher; EU scope visible. This is a provisional connection, not an outcome finding.</w:t>
      </w:r>
    </w:p>
    <w:p>
      <w:pPr>
        <w:pStyle w:val="SourceNote"/>
      </w:pPr>
      <w:r>
        <w:rPr>
          <w:b/>
        </w:rPr>
        <w:t>Available abstract (not full text):</w:t>
      </w:r>
      <w:r>
        <w:t xml:space="preserve"> Soil eukaryotes play a crucial role in maintaining ecosystem functions and services, yet the factors driving their diversity and distribution remain poorly understood. While many studies focus on some eukaryotic groups (mostly fungi), they are limited in their spatial scale. Here, we analyzed an unprecedented amount of observational data of soil eukaryomes at continental scale (787 sites across Europe) to gain further insights into the impact of a wide range of environmental conditions (climatic and edaphic) on their community composition and structure. We found that the diversity of fungi, protists, rotifers, tardigrades, nematodes, arthropods, and annelids was predominantly shaped by ecosystem type (annual and permanent croplands, managed and unmanaged grasslands, coniferous and broadleaved woodlands), and higher diversity of fungi, protists, nematodes, arthropods, and annelids was observed in croplands than in less intensively managed systems, such as coniferous and broadleaved woodlands. Also in croplands, we found more specialized eukaryotes, while the composition between croplands was more homogeneous compared to the composition of other ecosystems. The observed high proportion of overlapping taxa between ecosystems also indicates that DNA has accumulated from previous land uses, hence mimicking the land transformations occurring in Europe in the last decades. This strong</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decrease, area, management, based;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Nitrogen deposition in forests: Statistical modeling of total deposition from throughfall loads — https://doi.org/10.3389/ffgc.2022.1062223</w:t>
      </w:r>
    </w:p>
    <w:p>
      <w:pPr/>
      <w:r>
        <w:rPr>
          <w:b/>
        </w:rPr>
        <w:t>Shared claim-specific concepts:</w:t>
      </w:r>
      <w:r>
        <w:t xml:space="preserve"> total, nitrogen, parts; EU scope visible. This is a provisional connection, not an outcome finding.</w:t>
      </w:r>
    </w:p>
    <w:p>
      <w:pPr>
        <w:pStyle w:val="SourceNote"/>
      </w:pPr>
      <w:r>
        <w:rPr>
          <w:b/>
        </w:rPr>
        <w:t>Available abstract (not full text):</w:t>
      </w:r>
      <w:r>
        <w:t xml:space="preserve"> Introduction Nitrogen (N) gradient studies in some cases use N deposition in throughfall as measure of N deposition to forests. For evaluating critical loads of N, however, information on total N deposition is required, i.e., the sum of estimates of dry, wet and occult deposition. Methods The present paper collects a number of studies in Europe where throughfall and total N deposition were compared in different forest types. From this dataset a function was derived which allows to estimate total N deposition from throughfall N deposition. Results At low throughfall N deposition values, the proportion of canopy uptake is high and thus the underestimation of total deposition by throughfall N needs to be corrected. At throughfall N deposition values &gt; 20 kg N ha–1 yr–1 canopy uptake is getting less important. Conclusion This work shows that throughfall clearly underestimates total deposition of nitrogen. With the present data set covering large parts of Europe it is possible to derive a critical load estimate from gradient studies using throughfall data.</w:t>
      </w:r>
    </w:p>
    <w:p>
      <w:pPr/>
      <w:r>
        <w:rPr>
          <w:b/>
        </w:rPr>
        <w:t>POSSIBLE 2021:</w:t>
      </w:r>
      <w:r>
        <w:t xml:space="preserve"> Global Impact of COVID-19 Restrictions on the Surface Concentrations of Nitrogen Dioxide and Ozone — https://openalex.org/W3087582936</w:t>
      </w:r>
    </w:p>
    <w:p>
      <w:pPr/>
      <w:r>
        <w:rPr>
          <w:b/>
        </w:rPr>
        <w:t>Shared claim-specific concepts:</w:t>
      </w:r>
      <w:r>
        <w:t xml:space="preserve"> total, nitrogen, decrease, due, reduced; EU scope visible. This is a provisional connection, not an outcome finding.</w:t>
      </w:r>
    </w:p>
    <w:p>
      <w:pPr>
        <w:pStyle w:val="SourceNote"/>
      </w:pPr>
      <w:r>
        <w:rPr>
          <w:b/>
        </w:rPr>
        <w:t>Available abstract (not full text):</w:t>
      </w:r>
      <w:r>
        <w:t xml:space="preserve"> Social distancing to combat the COVID-19 pandemic has led to widespread reductions in air pollutant emissions. Quantifying these changes requires a business-as-usual counterfactual that accounts for the synoptic and seasonal variability of air pollutants. We use a machine learning algorithm driven by information from the NASA GEOS-CF model to assess changes in nitrogen dioxide (NO2) and ozone (O3) at 5756 observation sites in 46 countries from January through June 2020. Reductions in NO2 coincide with the timing and intensity of COVID-19 restrictions, ranging from 60 % in severely affected cities (e.g., Wuhan, Milan) to little change (e.g., Rio de Janeiro, Taipei). On average, NO2 concentrations were 18 (13-23) % lower than business as usual from February 2020 onward. China experienced the earliest and steepest decline, but concentrations since April have mostly recovered and remained within 5 % of the business-as-usual estimate. NO2 reductions in Europe and the US have been more gradual, with a halting recovery starting in late March. We estimate that the global NOx (NO + NO2) emission reduction during the first 6 months of 2020 amounted to 3.1 (2.6-3.6) TgN, equivalent to 5.5 (4.7-6.4) % of the annual anthropogenic total. The response of surface O3 is complicated by competing influences of nonlinear atmospheric chemistry. While surface O3 increased by up to 50 % in some locat</w:t>
      </w:r>
    </w:p>
    <w:p>
      <w:pPr>
        <w:pStyle w:val="Heading2"/>
      </w:pPr>
      <w:r>
        <w:t>948.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air, climate;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Estimating mortality due to air pollution in Europe for the CATALYSE project — https://openalex.org/W7171757730</w:t>
      </w:r>
    </w:p>
    <w:p>
      <w:pPr/>
      <w:r>
        <w:rPr>
          <w:b/>
        </w:rPr>
        <w:t>Shared claim-specific concepts:</w:t>
      </w:r>
      <w:r>
        <w:t xml:space="preserve"> quantify, air, pollution, climate, reference, policies; EU scope visible. This is a provisional connection, not an outcome finding.</w:t>
      </w:r>
    </w:p>
    <w:p>
      <w:pPr>
        <w:pStyle w:val="SourceNote"/>
      </w:pPr>
      <w:r>
        <w:rPr>
          <w:b/>
        </w:rPr>
        <w:t>Available abstract (not full text):</w:t>
      </w:r>
      <w:r>
        <w:t xml:space="preserve"> The European Union’s CATALYSE (Climate Action to Advance Healthy Societies in Europe) project seeks to provide new knowledge, data, and tools to close the knowledge-to-action gap and accelerate climate change action and protect public health in Europe. One of its five main objectives is to quantify the health co-benefits of mitigation measures outside of the health sector. To address this objective, CATALYSE has developed a set of three policy-relevant scenarios: (1) a Reference scenario based on currently implemented policies, (2) a Green Deal scenario, based on the European Green Deal, legislation that was approved in 2020 and seeks to make the EU climate neutral by 2050, and (3) a Beyond Green Deal scenario, which goes further than the Green Deal scenario by implementing behavioural changes such as restricted diet and energy use. Important to the evaluation of these scenarios is the estimate of human mortality due to exposure to particulate matter with aerodynamic diameter less than 2.5 microns (PM2.5) in each scenario. As part of Work Package 2 of the CATALYSE project, we have utilized the emissions output from each of the three CATALYSE scenarios as input in the EMAC atmospheric model (Jöckel et al. 2006), simulating the global Earth atmosphere and climate in the years 2020, 2030, 2040, and 2050, in order to evaluate each scenario’s impact on PM2.5 concentrations in Europe</w:t>
      </w:r>
    </w:p>
    <w:p>
      <w:pPr/>
      <w:r>
        <w:rPr>
          <w:b/>
        </w:rPr>
        <w:t>POSSIBLE 2025:</w:t>
      </w:r>
      <w:r>
        <w:t xml:space="preserve"> Dose–Response Functions for Assessing Corrosion Risks to Urban Heritage Materials from Air Pollution Under Climate Change: Insights from Europe and China — https://doi.org/10.3390/buildings15132271</w:t>
      </w:r>
    </w:p>
    <w:p>
      <w:pPr/>
      <w:r>
        <w:rPr>
          <w:b/>
        </w:rPr>
        <w:t>Shared claim-specific concepts:</w:t>
      </w:r>
      <w:r>
        <w:t xml:space="preserve"> quantify, air, pollution, modelling, climate; EU scope visible. This is a provisional connection, not an outcome finding.</w:t>
      </w:r>
    </w:p>
    <w:p>
      <w:pPr>
        <w:pStyle w:val="SourceNote"/>
      </w:pPr>
      <w:r>
        <w:rPr>
          <w:b/>
        </w:rPr>
        <w:t>Available abstract (not full text):</w:t>
      </w:r>
      <w:r>
        <w:t xml:space="preserve"> Urban heritage materials face accelerated decay due to the synergistic effects of air pollution and climate change. Dose–response functions (DRFs) have emerged as a key tool to quantify and predict these risks. This review synthesizes the scientific development of DRFs, their application in Europe and China, and their role in policy and heritage management. European initiatives have refined DRFs to incorporate multi-pollutant and climate interactions, providing spatial risk maps and informing pollution control measures. In China, recent applications adapt European insights to local contexts, revealing strong influences of particulate matter. While DRFs offer clear quantitative estimates, their empirical nature and simplified assumptions necessitate complementary methods, including sensor networks, remote sensing, and machine learning models. Future research should integrate multivariate modelling, expand empirical data, and couple DRFs with real-time monitoring to better protect urban heritage materials amid environmental change.</w:t>
      </w:r>
    </w:p>
    <w:p>
      <w:pPr/>
      <w:r>
        <w:rPr>
          <w:b/>
        </w:rPr>
        <w:t>POSSIBLE 2024:</w:t>
      </w:r>
      <w:r>
        <w:t xml:space="preserve"> Climate change and air pollution impacts on cultural heritage building materials in Europe and Mexico — https://doi.org/10.1016/j.scitotenv.2024.170945</w:t>
      </w:r>
    </w:p>
    <w:p>
      <w:pPr/>
      <w:r>
        <w:rPr>
          <w:b/>
        </w:rPr>
        <w:t>Shared claim-specific concepts:</w:t>
      </w:r>
      <w:r>
        <w:t xml:space="preserve"> air, pollution, relevant, climate; EU scope visible. This is a provisional connection, not an outcome finding.</w:t>
      </w:r>
    </w:p>
    <w:p>
      <w:pPr>
        <w:pStyle w:val="SourceNote"/>
      </w:pPr>
      <w:r>
        <w:rPr>
          <w:b/>
        </w:rPr>
        <w:t>Available abstract (not full text):</w:t>
      </w:r>
      <w:r>
        <w:t xml:space="preserve">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pPr/>
      <w:r>
        <w:rPr>
          <w:b/>
        </w:rPr>
        <w:t>POSSIBLE 2024:</w:t>
      </w:r>
      <w:r>
        <w:t xml:space="preserve"> Trends in Air Pollution in Europe, 2000–2019 — https://doi.org/10.4209/aaqr.230237</w:t>
      </w:r>
    </w:p>
    <w:p>
      <w:pPr/>
      <w:r>
        <w:rPr>
          <w:b/>
        </w:rPr>
        <w:t>Shared claim-specific concepts:</w:t>
      </w:r>
      <w:r>
        <w:t xml:space="preserve"> air, pollution, comprehensive, consistent;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The Future Impact of Shipping Emissions on Air Quality in Europe under Climate Change — https://doi.org/10.3390/atmos14071126</w:t>
      </w:r>
    </w:p>
    <w:p>
      <w:pPr/>
      <w:r>
        <w:rPr>
          <w:b/>
        </w:rPr>
        <w:t>Shared claim-specific concepts:</w:t>
      </w:r>
      <w:r>
        <w:t xml:space="preserve"> quantify, air, modelling, system, climate, two; EU scope visible. This is a provisional connection, not an outcome finding.</w:t>
      </w:r>
    </w:p>
    <w:p>
      <w:pPr>
        <w:pStyle w:val="SourceNote"/>
      </w:pPr>
      <w:r>
        <w:rPr>
          <w:b/>
        </w:rPr>
        <w:t>Available abstract (not full text):</w:t>
      </w:r>
      <w:r>
        <w:t xml:space="preserve"> Ship engine combustion emits several atmospheric pollutants, such as PM, SOx, and NOx, which can have adverse health effects and are significant contributors to decreased air quality. Due to the distribution of maritime transport activity routes in the EU, a large portion of the population is exposed to shipping emissions throughout Europe. Therefore, in light of the European Commission long-term objective of “zero-waste, zero-emission” for maritime transport, the focus of this study was to quantify the impact of shipping emissions in the present, as well as the future, considering both emissions projection for the shipping sector and a climate change scenario. The WRF-CHIMERE modelling system was used to quantify the impact of shipping in Europe. To obtain the current and future contributions of maritime transport to the total pollutant concentrations, simulations were divided into two present (baseline and without shipping) and three future scenarios (shipping projection, climate change, and shipping projection and climate change). The results indicate that the current and future impacts of shipping emissions on pollutant concentrations are similar in some regions (NO2 for Northern Europe and SO2 for Southern Europe), which is due to the enforcement of emission control areas for those pollutants. However, efforts towards lowering emissions from the shipping sector are negated</w:t>
      </w:r>
    </w:p>
    <w:p>
      <w:pPr/>
      <w:r>
        <w:rPr>
          <w:b/>
        </w:rPr>
        <w:t>POSSIBLE 2023:</w:t>
      </w:r>
      <w:r>
        <w:t xml:space="preserve"> Clean air in Europe for all — https://doi.org/10.1097/ee9.0000000000000245</w:t>
      </w:r>
    </w:p>
    <w:p>
      <w:pPr/>
      <w:r>
        <w:rPr>
          <w:b/>
        </w:rPr>
        <w:t>Shared claim-specific concepts:</w:t>
      </w:r>
      <w:r>
        <w:t xml:space="preserve"> air, pollution, designed, comprehensive, climate;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Science Europe Response Public consultation on Horizon 2020 and Horizon Europe — https://doi.org/10.5281/zenodo.7664436</w:t>
      </w:r>
    </w:p>
    <w:p>
      <w:pPr/>
      <w:r>
        <w:rPr>
          <w:b/>
        </w:rPr>
        <w:t>Shared claim-specific concepts:</w:t>
      </w:r>
      <w:r>
        <w:t xml:space="preserve"> horizon, two, policies; EU scope visible. This is a provisional connection, not an outcome finding.</w:t>
      </w:r>
    </w:p>
    <w:p>
      <w:pPr>
        <w:pStyle w:val="SourceNote"/>
      </w:pPr>
      <w:r>
        <w:rPr>
          <w:b/>
        </w:rPr>
        <w:t>Available abstract (not full text):</w:t>
      </w:r>
      <w:r>
        <w:t xml:space="preserve"> As representative of major public organisations that fund and perform excellent research in Europe, Science Europe welcomes the opportunity to contribute to the reflection on the past, present, and future of the European Framework Programmes for Research and Innovation (R&amp;I). They are crucial instruments to boost European scientific excellence, facilitate collaboration among the European R&amp;I communities, and further develop the European Research Area (ERA). Despite a steady increase over the past decades, the budget of the programmes remains insufficient, and a majority of positively evaluated projects remain unfunded. The R&amp;I community must continue to advocate an increase of the budget, and to oppose any reductions over its lifetime, either during the yearly budget negotiations, or when new EU programmes are created and need funding. In this respect, it is crucial that citizens understand the importance of R&amp;I and support it. The main objective of the Framework Programmes has shifted since the preparation of Horizon 2020. A bigger focus was placed on a utilitarian purpose of scientific outputs for rapid (economic) impact. Additionally, political agendas became stronger drivers of R&amp;I strategies. Science Europe advocates a stronger focus on the generation of knowledge for its own intrinsic value, and on the confidence that excellent research and innovation will lead to impact.</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quantify, air, pollution, modelling, factors, climate;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pStyle w:val="Heading2"/>
      </w:pPr>
      <w:r>
        <w:t>949.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2023:</w:t>
      </w:r>
      <w:r>
        <w:t xml:space="preserve"> Power of a Feminist Identity on Sense of Self and Purpose — https://doi.org/10.33470/2161-0029.1148</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pPr/>
      <w:r>
        <w:rPr>
          <w:b/>
        </w:rPr>
        <w:t>POSSIBLE 2021:</w:t>
      </w:r>
      <w:r>
        <w:t xml:space="preserve"> Automata, Purpose, and Value — https://doi.org/10.4324/9781003205760-9</w:t>
      </w:r>
    </w:p>
    <w:p>
      <w:pPr/>
      <w:r>
        <w:rPr>
          <w:b/>
        </w:rPr>
        <w:t>Shared claim-specific concepts:</w:t>
      </w:r>
      <w:r>
        <w:t xml:space="preserve"> purpose, aims, context; EU scope not established. This is a provisional connection, not an outcome finding.</w:t>
      </w:r>
    </w:p>
    <w:p>
      <w:pPr>
        <w:pStyle w:val="SourceNote"/>
      </w:pPr>
      <w:r>
        <w:rPr>
          <w:b/>
        </w:rPr>
        <w:t>Available abstract (not full text):</w:t>
      </w:r>
      <w:r>
        <w:t xml:space="preserve"> Goal-seeking or purposive behavior was also one of the functions thought to be denied to automata. This chapter aims to argue that there is, related to purposiveness, one area of essential difference between humans and automata that has not thus far been replicated or simulated, even ‘in principle.’ The problem of the distinction between human beings and sophisticated machines of the robot sort has often been discussed in the context of whether robots can be made to exhibit characteristic behavior of humans or to accomplish all the ‘mental’ tasks that humans can. The metaphorical or analogical extension of such terminology neglects the complex human context in which its meaningfulness has arisen. The fact that most ordinary goals and values are acquired from our social environment does not mean, either, that those that come from society are not deliberate, not autonomous human purposes.</w:t>
      </w:r>
    </w:p>
    <w:p>
      <w:pPr/>
      <w:r>
        <w:rPr>
          <w:b/>
        </w:rPr>
        <w:t>POSSIBLE 2021:</w:t>
      </w:r>
      <w:r>
        <w:t xml:space="preserve"> Health-seeking behaviours of immigrants, asylum seekers and refugees in Europe: a systematic review of peer-reviewed articles — https://doi.org/10.1108/jd-10-2020-0168</w:t>
      </w:r>
    </w:p>
    <w:p>
      <w:pPr/>
      <w:r>
        <w:rPr>
          <w:b/>
        </w:rPr>
        <w:t>Shared claim-specific concepts:</w:t>
      </w:r>
      <w:r>
        <w:t xml:space="preserve"> purpose, used, understand, implications, challenges, context; EU scope visible. This is a provisional connection, not an outcome finding.</w:t>
      </w:r>
    </w:p>
    <w:p>
      <w:pPr>
        <w:pStyle w:val="SourceNote"/>
      </w:pPr>
      <w:r>
        <w:rPr>
          <w:b/>
        </w:rPr>
        <w:t>Available abstract (not full text):</w:t>
      </w:r>
      <w:r>
        <w:t xml:space="preserve"> Purpose Immigrants, asylum seekers and refugees living in Europe face a number of challenges in accessing or using health information and healthcare services available in their host countries. To resolve these issues and deliver the necessary services, providers must take a comprehensive approach to better understand the types of health information and healthcare services that these individuals need, seek and use. Therefore, the purpose of this paper is to develop that comprehensive approach. Design/methodology/approach In this paper, a systematic literature review of peer-reviewed publications was performed, with 3.013 articles collected from various databases. A total of 57 qualifying papers on studies conducted in Europe were included in the review after applying the predefined inclusion and exclusion requirements, screening processes and eliminating duplicates. The information seeking and communication model (ISCM) was used in the analysis. Findings The findings revealed that while many health information and healthcare services are accessible in Europe for immigrants, asylum seekers and refugees, many of these individuals are unaware of their existence or how to access them. While our findings do not specify what health-related information these groups need, use or seek, they do suggest the importance and value of providing mental health, sexual health and HIV, as well as </w:t>
      </w:r>
    </w:p>
    <w:p>
      <w:pPr/>
      <w:r>
        <w:rPr>
          <w:b/>
        </w:rPr>
        <w:t>POSSIBLE 2020:</w:t>
      </w:r>
      <w:r>
        <w:t xml:space="preserve"> Men’s help-seeking behaviour — https://openalex.org/W3041004601</w:t>
      </w:r>
    </w:p>
    <w:p>
      <w:pPr/>
      <w:r>
        <w:rPr>
          <w:b/>
        </w:rPr>
        <w:t>Shared claim-specific concepts:</w:t>
      </w:r>
      <w:r>
        <w:t xml:space="preserve"> purpose, used, identified; EU scope not established. This is a provisional connection, not an outcome finding.</w:t>
      </w:r>
    </w:p>
    <w:p>
      <w:pPr>
        <w:pStyle w:val="SourceNote"/>
      </w:pPr>
      <w:r>
        <w:rPr>
          <w:b/>
        </w:rPr>
        <w:t>Available abstract (not full text):</w:t>
      </w:r>
      <w:r>
        <w:t xml:space="preserve"> This thesis used a self-reporting online survey to gather firsthand knowledge of men’s help-seeking behaviour. Research into men’s unwillingness to accept help generally, and more specifically for psychotherapy, is reviewed. The purpose of this study is to explore societal and personal barriers which influence men’s willingness to seek support for mental health issues. The survey, created by the researcher, included Likert and open-ended questions. Men’s responses revealed that conformity to masculine norms inhibit healthy help-seeking behaviour. Possible ways of changing traditional male attitudes towards counselling are discussed and further areas of research identified.</w:t>
      </w:r>
    </w:p>
    <w:p>
      <w:pPr/>
      <w:r>
        <w:rPr>
          <w:b/>
        </w:rPr>
        <w:t>POSSIBLE 2019:</w:t>
      </w:r>
      <w:r>
        <w:t xml:space="preserve"> Why do people seek knowledge? Tracing factors that affect knowledge seeking intention — https://doi.org/10.1108/vjikms-04-2019-0059</w:t>
      </w:r>
    </w:p>
    <w:p>
      <w:pPr/>
      <w:r>
        <w:rPr>
          <w:b/>
        </w:rPr>
        <w:t>Shared claim-specific concepts:</w:t>
      </w:r>
      <w:r>
        <w:t xml:space="preserve"> purpose, seeks, used, understand, implications; EU scope not established. This is a provisional connection, not an outcome finding.</w:t>
      </w:r>
    </w:p>
    <w:p>
      <w:pPr>
        <w:pStyle w:val="SourceNote"/>
      </w:pPr>
      <w:r>
        <w:rPr>
          <w:b/>
        </w:rPr>
        <w:t>Available abstract (not full text):</w:t>
      </w:r>
      <w:r>
        <w:t xml:space="preserve"> Purpose The purpose of this study is to understand factors that motivate an individual to seek knowledge on knowledge management systems. Specifically, the work seeks to clarify the impact of organizational practices on an individual’s intention to seek knowledge. The overarching theme is to broaden the current understanding of factors that impact individual knowledge seeking behavior and narrow down factors for which interventions can be developed. Design/methodology/approach In-depth interviews were conducted with the members of knowledge management (KM), human resources (HR) and learning and development teams of Robert Bosch Engineering and Business Solutions Private Limited (RBEI) to understand knowledge behaviors of employees. Subsequent to an exploratory analysis, the survey methodology was used to collect data from members of RBEI. A proposed theoretical model was then validated using partial least squares. Findings Empirical findings suggest that to motivate participation, organizational KM practices need to be geared towards promoting curiosity and engaging learners. Results indicate that overt recognition of knowledge seeking behaviors by HR could be counterproductive. Research limitations/implications This study was limited to an MNC engineering organization in one geographic location; one must be cautious when generalizing these results. Replicating this study in mu</w:t>
      </w:r>
    </w:p>
    <w:p>
      <w:pPr/>
      <w:r>
        <w:rPr>
          <w:b/>
        </w:rPr>
        <w:t>POSSIBLE 2019:</w:t>
      </w:r>
      <w:r>
        <w:t xml:space="preserve"> Using the Theory of Planned Behavior to Understand Factors Influencing South Asian Consumers’ Intention to Seek Pharmacist-Provided Medication Therapy Management Services — https://doi.org/10.3390/pharmacy7030088</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The study purpose was to use the theory of planned behavior to understand factors influencing South Asian consumers’ intention to seek pharmacist-provided medication therapy management services (MTMS). Specific objectives were to assess effects of attitude, subjective norm (SN), perceived behavioral control (PBC), and socio-demographics on South Asian consumers’ intention to seek MTMS. Participants who were ≥18 years of age, of South Asian origin, with a previous visit to a pharmacy in the US for a health-related reason, and with ability to read and comprehend English were recruited from independent pharmacies in New York City. Responses were obtained through a self-administered survey. Descriptive statistics were performed, and multiple linear regression analysis was conducted to assess the study objective. SPSS was used for data analyses. Out of 140 responses, 133 were usable. Mean scores (standard deviation) were 4.04 (0.97) for attitude, 3.77 (0.91) for SN, 3.75 (0.93) for PBC, and 3.96 (0.94) for intention. The model explains 80.8% of variance and is a significant predictor of intention, F (14,118) = 35.488, p &lt; 0.05. While attitude (β = 0.723, p &lt; 0.05) and PBC (β = 0.148, p &lt; 0.05) were significant predictors of intention, SN (β = 0.064, p = 0.395) was not. None of the socio-demographics were significant predictors of intention. Strategies to make South Asians seek MTMS </w:t>
      </w:r>
    </w:p>
    <w:p>
      <w:pPr/>
      <w:r>
        <w:rPr>
          <w:b/>
        </w:rPr>
        <w:t>POSSIBLE 2019:</w:t>
      </w:r>
      <w:r>
        <w:t xml:space="preserve"> Seeking legitimacy — https://doi.org/10.1108/sampj-12-2018-0332</w:t>
      </w:r>
    </w:p>
    <w:p>
      <w:pPr/>
      <w:r>
        <w:rPr>
          <w:b/>
        </w:rPr>
        <w:t>Shared claim-specific concepts:</w:t>
      </w:r>
      <w:r>
        <w:t xml:space="preserve"> purpose, discuss, implications, recent; EU scope not established. This is a provisional connection, not an outcome finding.</w:t>
      </w:r>
    </w:p>
    <w:p>
      <w:pPr>
        <w:pStyle w:val="SourceNote"/>
      </w:pPr>
      <w:r>
        <w:rPr>
          <w:b/>
        </w:rPr>
        <w:t>Available abstract (not full text):</w:t>
      </w:r>
      <w:r>
        <w:t xml:space="preserve"> Purpose In this essay, the author reflects on the legitimacy theory in corporate social responsibility (CSR) disclosure research. Design/methodology/approach This is a reflection/review essay based on a review of relevant literature. Findings Although almost constantly under attack from a variety of scholars, legitimacy theory seems to hold on in the social and environmental disclosure arena. However, the failure of the recent wave of CSR-themed work published in The Accounting Review to even acknowledge, let alone engage with, the theory is problematic. Research limitations/implications We, in the CSR disclosure arena, need to do all we can to help emerging scholars (particularly in the USA) find the rich body of research the mainstream journals fail to discuss. Practical implications Legitimacy-based research can help move CSR disclosure at least closer to being a tool of accountability, as opposed to a tool for legitimation. Social implications Perhaps the critique of the mainstream North American literature’s failure to consider legitimacy theory can lead to the recognition of the need to focus on the harm to sustainability that a narrow, shareholder-centric focus leads to. Originality/value This reflection takes a unique look at the contributions of legitimacy theory to CSR disclosure research.</w:t>
      </w:r>
    </w:p>
    <w:p>
      <w:pPr/>
      <w:r>
        <w:rPr>
          <w:b/>
        </w:rPr>
        <w:t>POSSIBLE 2017:</w:t>
      </w:r>
      <w:r>
        <w:t xml:space="preserve"> Purposing: How Purpose Develops Self-Organizing Capacities — https://doi.org/10.5465/ambpp.2017.17754abstract</w:t>
      </w:r>
    </w:p>
    <w:p>
      <w:pPr/>
      <w:r>
        <w:rPr>
          <w:b/>
        </w:rPr>
        <w:t>Shared claim-specific concepts:</w:t>
      </w:r>
      <w:r>
        <w:t xml:space="preserve"> purpose, seeks, understand; EU scope not established. This is a provisional connection, not an outcome finding.</w:t>
      </w:r>
    </w:p>
    <w:p>
      <w:pPr>
        <w:pStyle w:val="SourceNote"/>
      </w:pPr>
      <w:r>
        <w:rPr>
          <w:b/>
        </w:rPr>
        <w:t>Available abstract (not full text):</w:t>
      </w:r>
      <w:r>
        <w:t xml:space="preserve"> Self-organization and organic-like organization are gaining more traction during the last few years with different forms and organizing structures, offering a potential alternative to mainstream traditional bureaucracy. This paper seeks to identify structural commonalities between organizations that claim self-organization and organic structures, in order to understand them and assess the way they foster personal commitment for desired objectives. I interviewed 31 individuals from 6 organizations from diverse sectors. I discovered various forms and practices, not as models of perfection, but as efforts of change to realize wholly different values in the way they unite in making purpose and meaning alive and in turning on the logic of responsible autonomy and peer accountability. The findings highlight the importance of a process that supports (1) basic psychological needs satisfaction of autonomy, competence, and relatedness, (2) the continuous search for meaning and (3) a tolerance for uncertainty to allow safe experimentation; a process that I labeled ‘purposing’. These organizations are serious initiatives to break from the traditional institutional grip of the hierarchical structures of command and control. This paper is important to both academicians and practitioners who seek to understand alternative forms and practices to organize and coordinate human efforts since it s</w:t>
      </w:r>
    </w:p>
    <w:p>
      <w:pPr>
        <w:pStyle w:val="Heading2"/>
      </w:pPr>
      <w:r>
        <w:t>950.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2026:</w:t>
      </w:r>
      <w:r>
        <w:t xml:space="preserve"> The Horizon Europe CRM-geothermal project: Deliverable 6.7 – Clustering Network Map. — https://doi.org/10.5281/zenodo.19929926</w:t>
      </w:r>
    </w:p>
    <w:p>
      <w:pPr/>
      <w:r>
        <w:rPr>
          <w:b/>
        </w:rPr>
        <w:t>Shared claim-specific concepts:</w:t>
      </w:r>
      <w:r>
        <w:t xml:space="preserve"> project, invited, three, raise; EU scope visible. This is a provisional connection, not an outcome finding.</w:t>
      </w:r>
    </w:p>
    <w:p>
      <w:pPr>
        <w:pStyle w:val="SourceNote"/>
      </w:pPr>
      <w:r>
        <w:rPr>
          <w:b/>
        </w:rPr>
        <w:t>Available abstract (not full text):</w:t>
      </w:r>
      <w:r>
        <w:t xml:space="preserve"> The present deliverable is dedicated to reporting the cooperation measures and the respective map of clustering initiatives that were engaged as part of the CRM-geothermal Task 6.6 – Clustering. The task has the purpose of establishing a network of projects and initiatives, mainly funded under Horizon Europe, related to the pillars of CRM-geothermal: sourcing of critical raw materials and geothermal energy. From this network, researchers and other representatives of the projects co-generate opportunities to organise discussions and other joint activities to discuss common topics and mutually contribute to each other’s research efforts. The consortium partners of CRM-geothermal were contacted by the leader of Task 6.6 in order to collect potential clustering candidates from their network of contacts, which were contacted with the support of a clustering form template. The template allowed CRM-geothermal and the contacted projects to learn more about each other and to assess the mutual interest and respective ideas for joint collaboration. In parallel, partners have been making contacts and redirecting clustering opportunities and events in which CRM-geothermal can participate to the clustering task leader, on an ad-hoc basis. As a result, CRM-geothermal was invited to join the ‘Materials for batteries Cluster Hub’, together with 25 other EU initiatives dedicated to sourcing of r</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2025:</w:t>
      </w:r>
      <w:r>
        <w:t xml:space="preserve"> Animal board invited review: A biocultural perspective of animal farming systems in Europe — https://doi.org/10.1016/j.animal.2025.101515</w:t>
      </w:r>
    </w:p>
    <w:p>
      <w:pPr/>
      <w:r>
        <w:rPr>
          <w:b/>
        </w:rPr>
        <w:t>Shared claim-specific concepts:</w:t>
      </w:r>
      <w:r>
        <w:t xml:space="preserve"> invited, three, scientific; EU scope visible. This is a provisional connection, not an outcome finding.</w:t>
      </w:r>
    </w:p>
    <w:p>
      <w:pPr>
        <w:pStyle w:val="SourceNote"/>
      </w:pPr>
      <w:r>
        <w:rPr>
          <w:b/>
        </w:rPr>
        <w:t>Available abstract (not full text):</w:t>
      </w:r>
      <w:r>
        <w:t xml:space="preserve"> • Animal farming systems’ biocultural values have been sidelined by intensification. • A biocultural diversity lens show biodiversity, climatic, and cultural benefits. • Examples show livestock as an animal-based solution for landscape sustainability. • Farming animals can act as transformative agents, creating sustainable landscapes. • A biocultural approach is key to unlocking the sustainability of animal farming. Europe’s landscapes have evolved through the intricate interplay of natural processes and human activities, one of which is animal farming; thus, historically creating biocultural landscapes rich in biological and cultural diversity. However, agricultural intensification has neglected and altered the role of animals within landscapes, and undermines the potential of more extensive animal farming systems to create sustainable landscapes, as an alternative to highly industrialised and high-density animal production, which is responsible for a wide range of environmental trade-offs. We present a biocultural diversity ( BCD ) framework to emphasise the contributions of animal farming systems to landscape sustainability from a social-ecological perspective. By applying a biocultural lens across three European case studies —peatland restoration in Germany, wildfire control in the Mediterranean, and hay milk production in the Alpine region— we demonstrate how animal farmin</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2024:</w:t>
      </w:r>
      <w:r>
        <w:t xml:space="preserve"> — Invited Review — Pig meat production in the European Union-27: current status, challenges, and future trends — https://doi.org/10.5713/ab.23.0496</w:t>
      </w:r>
    </w:p>
    <w:p>
      <w:pPr/>
      <w:r>
        <w:rPr>
          <w:b/>
        </w:rPr>
        <w:t>Shared claim-specific concepts:</w:t>
      </w:r>
      <w:r>
        <w:t xml:space="preserve"> invited, three, technological, next; EU scope visible. This is a provisional connection, not an outcome finding.</w:t>
      </w:r>
    </w:p>
    <w:p>
      <w:pPr>
        <w:pStyle w:val="SourceNote"/>
      </w:pPr>
      <w:r>
        <w:rPr>
          <w:b/>
        </w:rPr>
        <w:t>Available abstract (not full text):</w:t>
      </w:r>
      <w:r>
        <w:t xml:space="preserve"> The main objective of this study was to present data on the current situation and future trends of pig meat production in the European Union-27 (EU). Pig production has played an important social and economic role for centuries in many states of the EU. In 2022, pig meat production in the EU reached 23 M tons, which represented 21% of total production worldwide. The two key reasons that justify such amount of pork produced, are the acceptance and high consumption of the meat by the local population and the high quality of the meat produced which facilitated pork export. However, current data show a reduction in pork production for the last three years, as a consequence of a series of events that include i) problems with the chain of ingredients supply, ii) uncontrolled increase in African Swine Fever (ASF) outbreaks, iii) fast recovery of pig production in China, iv) increasing concerns by the rural population on the high cost to meet future requirements of the EU legislation on farm management, environmental sustainability and animal welfare, v) increased cost of all inputs involved in pig production and vi) limited interest of the new farmer generation to work on the pig sector. Consequently, pork production is expected to decrease in the EU for the next years, although sales will be maintained at a relative high level because pork is the meat preferred by local consumers in </w:t>
      </w:r>
    </w:p>
    <w:p>
      <w:pPr/>
      <w:r>
        <w:rPr>
          <w:b/>
        </w:rPr>
        <w:t>POSSIBLE 2023:</w:t>
      </w:r>
      <w:r>
        <w:t xml:space="preserve"> Drug use and access to drug dependency services for vulnerable migrants who use drugs in the European Union: Consensus statements and recommendations from civil society experts in Europe — https://doi.org/10.1016/j.drugpo.2023.104087</w:t>
      </w:r>
    </w:p>
    <w:p>
      <w:pPr/>
      <w:r>
        <w:rPr>
          <w:b/>
        </w:rPr>
        <w:t>Shared claim-specific concepts:</w:t>
      </w:r>
      <w:r>
        <w:t xml:space="preserve"> drug, experts, four; EU scope visible. This is a provisional connection, not an outcome finding.</w:t>
      </w:r>
    </w:p>
    <w:p>
      <w:pPr>
        <w:pStyle w:val="SourceNote"/>
      </w:pPr>
      <w:r>
        <w:rPr>
          <w:b/>
        </w:rPr>
        <w:t>Available abstract (not full text):</w:t>
      </w:r>
      <w:r>
        <w:t xml:space="preserve"> BACKGROUND: The number of migrants in the European Union (EU) has been growing, including migrants at risk of using drugs. Little information is available on the actual drug use among first-generation migrants who use drugs in the EU, nor on their access to drug dependency services. This study aims to reach consensus among experts in the EU on the current situation regarding vulnerable migrants who use drugs in the EU and to develop a set of actionable recommendations. METHODS: Between April and September 2022, a panel of 57 experts on migration and/or drug use, working in 24 countries, participated in a three-stage Delphi study to develop statements and recommendations about drug use and access to healthcare services for migrants who use drugs in the EU. RESULTS: High levels of agreement were reached on the 20 statements (mean=98.0%) and 15 recommendations (mean=99.7%). The recommendations focus on four main topics; 1) increasing data availability and quality, to inform guidelines; 2) increasing the availability of drug dependency services for migrants, including screening for mental health issues and involving migrants who use drugs in the development of services; 3) eliminating country and service level barriers for accessing these services, as well as providing migrants who use drugs with suitable information, and combating stigma and discrimination; 4) the need for increas</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project, three, international, provide;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Invited Commentary: Drug Checking for Novel Insights Into the Unregulated Drug Supply — https://doi.org/10.17615/s217-j120</w:t>
      </w:r>
    </w:p>
    <w:p>
      <w:pPr/>
      <w:r>
        <w:rPr>
          <w:b/>
        </w:rPr>
        <w:t>Shared claim-specific concepts:</w:t>
      </w:r>
      <w:r>
        <w:t xml:space="preserve"> invited, drug, provide, understanding; EU scope not established. This is a provisional connection, not an outcome finding.</w:t>
      </w:r>
    </w:p>
    <w:p>
      <w:pPr>
        <w:pStyle w:val="SourceNote"/>
      </w:pPr>
      <w:r>
        <w:rPr>
          <w:b/>
        </w:rPr>
        <w:t>Available abstract (not full text):</w:t>
      </w:r>
      <w:r>
        <w:t xml:space="preserve"> Tobias et al. (Am J Epidemiol. 2022;191 (2):241-247) present a novel analysis of time trends in fentanyl concentrations in the unregulated drug supply in British Columbia, Canada. The preexisting knowledge about unregulated drugs had come from law-enforcement seizures and postmortem toxicology. As both of these data sources are subject to selection bias, large-scale drug-checking programs are poised to be a crucial component of the public health response to the unrelenting increase in overdose in North America. As programs expand, we offer 2 guiding principles. First, the primary purpose of these programs is to deliver timely results to people who use drugs to mitigate health risks. Second, innovation is needed to go beyond criminal justice paradigms in laboratory analysis for a more nuanced understanding of health concerns. We provide examples of the role adulterants play in our understanding of drug harms. We also describe the applications and limitations of common laboratory assays, with implications for epidemiologic surveillance. While the research and direct service teams in British Columbia have taken groundbreaking steps, there is still a need to establish best practices for communicating results to sample donors in an approachable yet nonalarmist tone.</w:t>
      </w:r>
    </w:p>
    <w:p>
      <w:pPr/>
      <w:r>
        <w:rPr>
          <w:b/>
        </w:rPr>
        <w:t>POSSIBLE 2021:</w:t>
      </w:r>
      <w:r>
        <w:t xml:space="preserve"> Radiographer tips for gaining European research funding-our experience with the SAFE EUROPE project — https://openalex.org/W3202602997</w:t>
      </w:r>
    </w:p>
    <w:p>
      <w:pPr/>
      <w:r>
        <w:rPr>
          <w:b/>
        </w:rPr>
        <w:t>Shared claim-specific concepts:</w:t>
      </w:r>
      <w:r>
        <w:t xml:space="preserve"> project, invited, three, international, over; EU scope visible. This is a provisional connection, not an outcome finding.</w:t>
      </w:r>
    </w:p>
    <w:p>
      <w:pPr>
        <w:pStyle w:val="SourceNote"/>
      </w:pPr>
      <w:r>
        <w:rPr>
          <w:b/>
        </w:rPr>
        <w:t>Available abstract (not full text):</w:t>
      </w:r>
      <w:r>
        <w:t xml:space="preserve"> Abstract Purpose Research in radiography is expanding rapidly however gaining funding for research activity is getting increasingly difficult. The European Union (EU) is a valuable source of funding and has funding available in many areas e.g. regional development, employment or research. The aim of this paper is to share our experience of a successful funding application for radiography research. Methodology A application was made to the EU Sector Skills Alliance grant funding in 2017 to develop research on education and curriculum development for therapy radiographers. The proposed research project was aligned with the requisites of the EU funding call i.e. cooperation for innovation and the exchange of good practices. Seven international partners across Europe were invited to join the consortium to perform specific tasks for the application with one partner identified as the Principal Investigator. A re-submission was made in 2018 using the feedback provided by the evaluation panel in 2017. Results Successful grant of 499,736 Euros of research funding was awarded and the SAFE EUROPE project started in January 2019. The project is being led by Ulster University over three years and includes national professional associations, European federation, universities and hospitals. Literature reviews, surveys and interviews with stakeholders are currently underway across Europe. Conc</w:t>
      </w:r>
    </w:p>
    <w:p>
      <w:pPr/>
      <w:r>
        <w:rPr>
          <w:b/>
        </w:rPr>
        <w:t>POSSIBLE 2021:</w:t>
      </w:r>
      <w:r>
        <w:t xml:space="preserve"> Roadmap on digital holography [Invited] — https://doi.org/10.1364/oe.435915</w:t>
      </w:r>
    </w:p>
    <w:p>
      <w:pPr/>
      <w:r>
        <w:rPr>
          <w:b/>
        </w:rPr>
        <w:t>Shared claim-specific concepts:</w:t>
      </w:r>
      <w:r>
        <w:t xml:space="preserve"> invited, experts, vision; EU scope not established. This is a provisional connection, not an outcome finding.</w:t>
      </w:r>
    </w:p>
    <w:p>
      <w:pPr>
        <w:pStyle w:val="SourceNote"/>
      </w:pPr>
      <w:r>
        <w:rPr>
          <w:b/>
        </w:rPr>
        <w:t>Available abstract (not full text):</w:t>
      </w:r>
      <w:r>
        <w:t xml:space="preserve"> This Roadmap article on digital holography provides an overview of a vast array of research activities in the field of digital holography. The paper consists of a series of 25 sections from the prominent experts in digital holography presenting various aspects of the field on sensing, 3D imaging and displays, virtual and augmented reality, microscopy, cell identification, tomography, label-free live cell imaging, and other applications. Each section represents the vision of its author to describe the significant progress, potential impact, important developments, and challenging issues in the field of digital holography.</w:t>
      </w:r>
    </w:p>
    <w:p>
      <w:pPr/>
      <w:r>
        <w:rPr>
          <w:b/>
        </w:rPr>
        <w:t>POSSIBLE 2021:</w:t>
      </w:r>
      <w:r>
        <w:t xml:space="preserve"> Invited Commentary: Drug Checking for Novel Insights Into the Unregulated Drug Supply — https://doi.org/10.1093/aje/kwab233</w:t>
      </w:r>
    </w:p>
    <w:p>
      <w:pPr/>
      <w:r>
        <w:rPr>
          <w:b/>
        </w:rPr>
        <w:t>Shared claim-specific concepts:</w:t>
      </w:r>
      <w:r>
        <w:t xml:space="preserve"> invited, drug, provide, understanding; EU scope not established. This is a provisional connection, not an outcome finding.</w:t>
      </w:r>
    </w:p>
    <w:p>
      <w:pPr>
        <w:pStyle w:val="SourceNote"/>
      </w:pPr>
      <w:r>
        <w:rPr>
          <w:b/>
        </w:rPr>
        <w:t>Available abstract (not full text):</w:t>
      </w:r>
      <w:r>
        <w:t xml:space="preserve"> Tobias et al. (Am J Epidemiol. 2022;191 (2):241-247) present a novel analysis of time trends in fentanyl concentrations in the unregulated drug supply in British Columbia, Canada. The preexisting knowledge about unregulated drugs had come from law-enforcement seizures and postmortem toxicology. As both of these data sources are subject to selection bias, large-scale drug-checking programs are poised to be a crucial component of the public health response to the unrelenting increase in overdose in North America. As programs expand, we offer 2 guiding principles. First, the primary purpose of these programs is to deliver timely results to people who use drugs to mitigate health risks. Second, innovation is needed to go beyond criminal justice paradigms in laboratory analysis for a more nuanced understanding of health concerns. We provide examples of the role adulterants play in our understanding of drug harms. We also describe the applications and limitations of common laboratory assays, with implications for epidemiologic surveillance. While the research and direct service teams in British Columbia have taken groundbreaking steps, there is still a need to establish best practices for communicating results to sample donors in an approachable yet nonalarmist tone.</w:t>
      </w:r>
    </w:p>
    <w:p>
      <w:pPr/>
      <w:r>
        <w:rPr>
          <w:b/>
        </w:rPr>
        <w:t>POSSIBLE 2021:</w:t>
      </w:r>
      <w:r>
        <w:t xml:space="preserve"> Integrating partner notification and contact tracing services across Europe: findings from the Integrate project — https://doi.org/10.1186/s12879-021-06445-5</w:t>
      </w:r>
    </w:p>
    <w:p>
      <w:pPr/>
      <w:r>
        <w:rPr>
          <w:b/>
        </w:rPr>
        <w:t>Shared claim-specific concepts:</w:t>
      </w:r>
      <w:r>
        <w:t xml:space="preserve"> project, three, four; EU scope visible. This is a provisional connection, not an outcome finding.</w:t>
      </w:r>
    </w:p>
    <w:p>
      <w:pPr>
        <w:pStyle w:val="SourceNote"/>
      </w:pPr>
      <w:r>
        <w:rPr>
          <w:b/>
        </w:rPr>
        <w:t>Available abstract (not full text):</w:t>
      </w:r>
      <w:r>
        <w:t xml:space="preserve"> BACKGROUND: Partner notification/contact tracing (PN/CT) is a process whereby people diagnosed with an infectious disease notify their sexual and needle-sharing partners/close contacts and invite them for testing and treatment due to exposure to the disease. PN is a necessary testing and prevention tool supported by the European Centre for Disease Prevention and Control (ECDC) and World Health Organization (WHO). Traditionally, PN efforts have been siloed within disease areas, with separate pathways and systems responsible for specific diseases. The INTEGRATE project sought to improve PN/CT outcomes by sharing knowledge across diseases and countries. METHODS: INTEGRATE used two mapping exercises to assess the PN landscape in Europe and identify areas for integration and cross-learnings for Sexually Transmitted Infections (STIs) and Tuberculosis. Mapping exercises were surveys to 29 consortium partners and in-depth qualitative interviews at four selected pilot sites: Ireland, Greece, Romania and Italy. RESULTS: Areas for the improvement of PN/CT emerged: lack of resources and insufficient staff training, different modes of disease transmission, country-specific laws and regulations, the advent of General Data Protection Regulation (GDPR), differences in healthcare system pathways, historical concerns, and cultural differences. Activities highlighted key areas PN/CT outcomes coul</w:t>
      </w:r>
    </w:p>
    <w:p>
      <w:pPr>
        <w:pStyle w:val="Heading2"/>
      </w:pPr>
      <w:r>
        <w:t>951.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Generative artificial intelligence for managerial foresight — https://doi.org/10.1016/j.futures.2026.103831</w:t>
      </w:r>
    </w:p>
    <w:p>
      <w:pPr/>
      <w:r>
        <w:rPr>
          <w:b/>
        </w:rPr>
        <w:t>Shared claim-specific concepts:</w:t>
      </w:r>
      <w:r>
        <w:t xml:space="preserve"> foresight, qualitative;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2025:</w:t>
      </w:r>
      <w:r>
        <w:t xml:space="preserve"> Foresight for Danube Region’s Future-Oriented Competitive Planning: Book of Abstracts — https://doi.org/10.18690/um.fov.6.2025</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2024:</w:t>
      </w:r>
      <w:r>
        <w:t xml:space="preserve"> Mission-oriented scenarios: a new method for urban foresight — https://doi.org/10.1108/fs-06-2023-0119</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r>
        <w:rPr>
          <w:b/>
        </w:rPr>
        <w:t>POSSIBLE 2023:</w:t>
      </w:r>
      <w:r>
        <w:t xml:space="preserve"> Interaction of subjects of the educational Process with the help of a Foresight Project — https://doi.org/10.7256/2454-0676.2023.2.38619</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pPr/>
      <w:r>
        <w:rPr>
          <w:b/>
        </w:rPr>
        <w:t>POSSIBLE 2023:</w:t>
      </w:r>
      <w:r>
        <w:t xml:space="preserve"> Improving Public Action to Mitigate River Flooding in Niamey (Niger) — https://doi.org/10.3390/land12081523</w:t>
      </w:r>
    </w:p>
    <w:p>
      <w:pPr/>
      <w:r>
        <w:rPr>
          <w:b/>
        </w:rPr>
        <w:t>Shared claim-specific concepts:</w:t>
      </w:r>
      <w:r>
        <w:t xml:space="preserve"> purpose, foresight, flooding, flood, qualitative; EU scope not established. This is a provisional connection, not an outcome finding.</w:t>
      </w:r>
    </w:p>
    <w:p>
      <w:pPr>
        <w:pStyle w:val="SourceNote"/>
      </w:pPr>
      <w:r>
        <w:rPr>
          <w:b/>
        </w:rPr>
        <w:t>Available abstract (not full text):</w:t>
      </w:r>
      <w:r>
        <w:t xml:space="preserve"> The purpose of this paper is to analyze the effects of repeated floods in the city of Niamey and the strategies developed by the state in terms of prevention, rehabilitation, and care for victims. Although numerous framework documents have been drafted in the last decade and urbanization in flood zones has been limited, the reality in Niamey shows that urban sprawl is increasing along the riverbank and the population facing vulnerable situations is growing. The inefficiency of state action determines that, on the one hand, it is non-governmental institutions that need to develop improvement plans—with the recovery of the city being dependent on the arrival of their funds and their distribution in those areas that donor countries consider most suitable—and on the other hand, it is the citizens—already vulnerable—who must find their own resilience mechanisms to try to survive the next flood. This study reveals that this diversity of players is involved in flood management through emergency relief, solidarity in rehousing, and providing support for living and non-living flood victims. Despite this mobilization, the actions undertaken are hampered by a number of constraints. Insufficient financial and human resources, a lack of foresight on the part of the authorities, and poorly coordinated actions are the main difficulties limiting the success of public action in the face of floo</w:t>
      </w:r>
    </w:p>
    <w:p>
      <w:pPr/>
      <w:r>
        <w:rPr>
          <w:b/>
        </w:rPr>
        <w:t>POSSIBLE 2022:</w:t>
      </w:r>
      <w:r>
        <w:t xml:space="preserve"> Disaster Risk Financing systems for fluvial flood risk in Democratic Republic of Congo and Pakistan — https://doi.org/10.5194/egusphere-egu22-8204</w:t>
      </w:r>
    </w:p>
    <w:p>
      <w:pPr/>
      <w:r>
        <w:rPr>
          <w:b/>
        </w:rPr>
        <w:t>Shared claim-specific concepts:</w:t>
      </w:r>
      <w:r>
        <w:t xml:space="preserve"> foresight, flooding, flood, national, assessment; EU scope not established. This is a provisional connection, not an outcome finding.</w:t>
      </w:r>
    </w:p>
    <w:p>
      <w:pPr>
        <w:pStyle w:val="SourceNote"/>
      </w:pPr>
      <w:r>
        <w:rPr>
          <w:b/>
        </w:rPr>
        <w:t>Available abstract (not full text):</w:t>
      </w:r>
      <w:r>
        <w:t xml:space="preserve">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pPr/>
      <w:r>
        <w:rPr>
          <w:b/>
        </w:rPr>
        <w:t>POSSIBLE 2022:</w:t>
      </w:r>
      <w:r>
        <w:t xml:space="preserve"> Foresight Research as а Strategic Planning Component — https://doi.org/10.37491/unz.85-86.15</w:t>
      </w:r>
    </w:p>
    <w:p>
      <w:pPr/>
      <w:r>
        <w:rPr>
          <w:b/>
        </w:rPr>
        <w:t>Shared claim-specific concepts:</w:t>
      </w:r>
      <w:r>
        <w:t xml:space="preserve"> purpose, foresight, national; EU scope not established. This is a provisional connection, not an outcome finding.</w:t>
      </w:r>
    </w:p>
    <w:p>
      <w:pPr>
        <w:pStyle w:val="SourceNote"/>
      </w:pPr>
      <w:r>
        <w:rPr>
          <w:b/>
        </w:rPr>
        <w:t>Available abstract (not full text):</w:t>
      </w:r>
      <w:r>
        <w:t xml:space="preserve"> An important component of the state organizational and economic mechanism to promote high-tech production is the presence of a well-established system of strategic planning, which helps to determine the trajectory of long-term changes in technological competitiveness. Creating an effective policy framework in the field of science, technology and innovation (STI), its planning is an important element of a sustainable policy system. Roadmaps, on the basis of which development strategies and plans for achieving the set goals are developed, are a modern tool of strategic planning, in particular in the field of STI. From the point of view of economic and social management, the technological foresight, as an element of the roadmap, provides the basis for the decision-making process on science and innovation by identifying key long-term prospects for science, technology, innovation and long-term investment in STI. Foresight outlines future priorities for science and innovation, focusing on various aspects of projected change. Prediction is not the same as forecasting. While forecasting tries to predict a single «correct» version of the future, Forsythe uses several alternative plausible futures based on their usefulness to develop sound, forward-looking policies. The object of research of this work is the roadmap of science, technology, innovation (STI), as a tool for strategic planni</w:t>
      </w:r>
    </w:p>
    <w:p>
      <w:pPr/>
      <w:r>
        <w:rPr>
          <w:b/>
        </w:rPr>
        <w:t>POSSIBLE 2020:</w:t>
      </w:r>
      <w:r>
        <w:t xml:space="preserve"> Marine Foresight Study — https://openalex.org/W3147024838</w:t>
      </w:r>
    </w:p>
    <w:p>
      <w:pPr/>
      <w:r>
        <w:rPr>
          <w:b/>
        </w:rPr>
        <w:t>Shared claim-specific concepts:</w:t>
      </w:r>
      <w:r>
        <w:t xml:space="preserve"> foresight, government, national; EU scope visible. This is a provisional connection, not an outcome finding.</w:t>
      </w:r>
    </w:p>
    <w:p>
      <w:pPr>
        <w:pStyle w:val="SourceNote"/>
      </w:pPr>
      <w:r>
        <w:rPr>
          <w:b/>
        </w:rPr>
        <w:t>Available abstract (not full text):</w:t>
      </w:r>
      <w:r>
        <w:t xml:space="preserve"> Ireland is experiencing a period of major change in terms of the legal and policy framework for marine decision-making, the political and socio-economic context for marine activities, the influence of technological change on marine activities and resultant societal impacts.Furthermore, increased awareness of the marine environment by the general public, owed to increased education and increased access to resources, as envisaged by the previous Integrated Marine Plan for Ireland, Harnessing Our Ocean Wealth (HOOW), continues to provide increased engagement with marine issues.Ireland is beginning the process of developing a successor to HOOW, and this foresight study seeks to support that process.The study has reviewed existing information, both in relation to past and current trends and potential future changes, in seeking to identify the key drivers of change across social, technological, economic, environmental and political topics.The results of the study are captured in an Evidence Database and summary report.This report was initially prepared while government formation talks were ongoing.It has been updated to reflect the Programme for Government (PfG) (Government of Ireland, 2020) which sets out a new vision for Ireland, incorporating a strategy for recovery and rebuilding in the period during and after the COVID-19 emergency.This includes many elements which relate to mar</w:t>
      </w:r>
    </w:p>
    <w:p>
      <w:pPr/>
      <w:r>
        <w:rPr>
          <w:b/>
        </w:rPr>
        <w:t>POSSIBLE 2019:</w:t>
      </w:r>
      <w:r>
        <w:t xml:space="preserve"> Horizon Scanning in Foresight – Why Horizon Scanning is only a part of the game — https://doi.org/10.1002/ffo2.23</w:t>
      </w:r>
    </w:p>
    <w:p>
      <w:pPr/>
      <w:r>
        <w:rPr>
          <w:b/>
        </w:rPr>
        <w:t>Shared claim-specific concepts:</w:t>
      </w:r>
      <w:r>
        <w:t xml:space="preserve"> foresight, national, backed; EU scope visible. This is a provisional connection, not an outcome finding.</w:t>
      </w:r>
    </w:p>
    <w:p>
      <w:pPr>
        <w:pStyle w:val="SourceNote"/>
      </w:pPr>
      <w:r>
        <w:rPr>
          <w:b/>
        </w:rPr>
        <w:t>Available abstract (not full text):</w:t>
      </w:r>
      <w:r>
        <w:t xml:space="preserve">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pPr>
        <w:pStyle w:val="Heading2"/>
      </w:pPr>
      <w:r>
        <w:t>952.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2014:</w:t>
      </w:r>
      <w:r>
        <w:t xml:space="preserve"> Brazil’s Immigrant Song — https://doi.org/10.1177/0740277514564953</w:t>
      </w:r>
    </w:p>
    <w:p>
      <w:pPr/>
      <w:r>
        <w:rPr>
          <w:b/>
        </w:rPr>
        <w:t>Shared claim-specific concepts:</w:t>
      </w:r>
      <w:r>
        <w:t xml:space="preserve"> immigrants; EU scope visible. This is a provisional connection, not an outcome finding.</w:t>
      </w:r>
    </w:p>
    <w:p>
      <w:pPr>
        <w:pStyle w:val="SourceNote"/>
      </w:pPr>
      <w:r>
        <w:rPr>
          <w:b/>
        </w:rPr>
        <w:t>Available abstract (not full text):</w:t>
      </w:r>
      <w:r>
        <w:t xml:space="preserve"> Brasília, Brazil—Sulemana Adamu, 27, was born and lived most of his life in Accra, the capital of Ghana and the 11th largest city in Africa. He used to spend most of his days fixing computers as an IT technician and playing with friends in a drums quartet. Sensing no real opportunity in his country’s decaying economy, Sulemana saved for 18 months, planning a long trip to seek his fortune somewhere else.Shakir Hussain, 29, was born and lived most of his life in Sylhet, a district of Bangladesh surrounded by tea estates with a population of 500,000 inhabitants—a number that scarcely registers in one of the most populous countries on earth. For a while Shakir worked at a phone company, then dropped out to help his father and brother with their small construction business. But money was scarce and when the Bangladesh Awami League arrived in power, political persecution started as well. At the age of 24, Shakir spoke to his parents and, with their financial help, packed his bags for Latin America.Cosme Sousa, 33, was born and lived most of his life in São João do Carú, a town with barely 15,000 inhabitants in Maranhão, one of the poorest states in Brazil, located at its northeastern tip. For eight years he taught geography and history at the local elementary school. The money was never sufficient to support his two children and his wife. With the chance of earning a better income cu</w:t>
      </w:r>
    </w:p>
    <w:p>
      <w:pPr>
        <w:pStyle w:val="Heading2"/>
      </w:pPr>
      <w:r>
        <w:t>953.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2023:</w:t>
      </w:r>
      <w:r>
        <w:t xml:space="preserve"> The so-called Magnitsky Laws from the Perspective of International Law — https://openalex.org/W7135579267</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The so-called Magnitsky Laws from the Perspective of International Law Abstract This diploma thesis treats the phenomenon of so-called Magnitsky acts, a subtype of targeted international sanctions, from the point of view of international law. The text of the thesis is structured into three chapters. The first chapter deals with the origins of Magnitsky acts. Documented are the circumstances of the incarceration and death of Sergey Magnitsky. Described are the origins of the first Magnitsky Acts, i.e., the U.S. Magnitsky Act and Global Magnitsky Act, and the spreading of analogous norms around the world. The second chapter is a survey and legal comparison of selected legislation - in the United States, Canada, European Union, and Czech Republic. Based on the literature and the individual norms, the features common to all Magnitsky acts are determined. Subsequently, the acts are compared using five criteria. These are sanction aspects, as a definition of the prosecuted behavior; creation of the sanctions list, as an entitlement of the government agencies to create such lists; individual sanctions tools; appeals and remedies in the sanctions process, or removal from the sanction list; the overview of the sanctioned entities. The third chapter discusses the nature of the Magnitsky acts in the context of...</w:t>
      </w:r>
    </w:p>
    <w:p>
      <w:pPr/>
      <w:r>
        <w:rPr>
          <w:b/>
        </w:rPr>
        <w:t>POSSIBLE 2023:</w:t>
      </w:r>
      <w:r>
        <w:t xml:space="preserve"> Homestay Accommodation for Refugees (in Europe). A Literature Review — https://doi.org/10.1177/01979183231172101</w:t>
      </w:r>
    </w:p>
    <w:p>
      <w:pPr/>
      <w:r>
        <w:rPr>
          <w:b/>
        </w:rPr>
        <w:t>Shared claim-specific concepts:</w:t>
      </w:r>
      <w:r>
        <w:t xml:space="preserve"> first, so-called, context, different; EU scope visible. This is a provisional connection, not an outcome finding.</w:t>
      </w:r>
    </w:p>
    <w:p>
      <w:pPr>
        <w:pStyle w:val="SourceNote"/>
      </w:pPr>
      <w:r>
        <w:rPr>
          <w:b/>
        </w:rPr>
        <w:t>Available abstract (not full text):</w:t>
      </w:r>
      <w:r>
        <w:t xml:space="preserve"> In the aftermath of the rapidly increasing number of refugees arriving in Europe following the Russian invasion of Ukraine, nonprofit organizations, private companies, and also public institutions have promoted homestay initiatives: That is, local households hosting refugees. In order to reflect on the political issues that homestay accommodation for refugees raises, the article charts and synthesizes the available research on homestay produced in 75 works written in English, French, German, and Italian, and with a particular focus on the European context. Most of those texts were published in the second half of the 2010s and focused on the homestay initiatives that developed in the context of the so-called 2015 “refugee crisis.” We analyzed this material by focusing on three different levels: First, hospitality as an inter-individual relationship within the domestic sphere (micro level); second, refugee homestay as diverse accommodation arrangements, implemented by informal groups, nonprofit organizations, and public institutions (meso level); and, third, the (non-) contentious dimension of homestay accommodation (macrolevel). The review also identifies theoretical, methodological, and empirical perspectives for future studies on homestay. We call for more attention to be given to the intersectional inequalities and power relations between hosts and guests; to the life traject</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First Language and Second Language in the Multilingual Context — https://doi.org/10.20884/1.jes.2022.3.2.6944</w:t>
      </w:r>
    </w:p>
    <w:p>
      <w:pPr/>
      <w:r>
        <w:rPr>
          <w:b/>
        </w:rPr>
        <w:t>Shared claim-specific concepts:</w:t>
      </w:r>
      <w:r>
        <w:t xml:space="preserve"> first, context, different, but; EU scope visible. This is a provisional connection, not an outcome finding.</w:t>
      </w:r>
    </w:p>
    <w:p>
      <w:pPr>
        <w:pStyle w:val="SourceNote"/>
      </w:pPr>
      <w:r>
        <w:rPr>
          <w:b/>
        </w:rPr>
        <w:t>Available abstract (not full text):</w:t>
      </w:r>
      <w:r>
        <w:t xml:space="preserve"> Studies in English continues to gain ground in different countries and from different perspectives to the extent that some concepts need to be rethought. For this reason, the first language (L1) and second language (L2) in a multilingual setting were examined. This study was motivated by the fact that despite the extensive research into language teaching and language learning, little was clear about L1 and L2 in the context where many indigenous languages coexist with European languages and others. As example, Chad which is a multilingual country has French and Arabic as official languages, and English is given the status of a foreign language. Many studies in English in non-native English speaking environment considered the students’ mother tongue as L1, but the current research aimed to show that the first language could refer to the second language and rethink what are called first language and second language in research on English language learning by contextualising the situation. Qualitative method was used. It did not involve the collection of data. It was based on literature: books, articles, and opinions. So, from the body of the paper, the findings showed that many studies in English referred to the first language not as the speaker’s mother tongue, but the second language. This meant that L1 in terms of the students’ native languages (indigenous languages) should no</w:t>
      </w:r>
    </w:p>
    <w:p>
      <w:pPr/>
      <w:r>
        <w:rPr>
          <w:b/>
        </w:rPr>
        <w:t>POSSIBLE 2022:</w:t>
      </w:r>
      <w:r>
        <w:t xml:space="preserve"> Clay Tobacco Pipes in Europe from the Late Sixteenth to the First Half of the Nineteenth Century: Geographical and Cultural Contexts — https://doi.org/10.6001/lituanistica.v67i4.4647</w:t>
      </w:r>
    </w:p>
    <w:p>
      <w:pPr/>
      <w:r>
        <w:rPr>
          <w:b/>
        </w:rPr>
        <w:t>Shared claim-specific concepts:</w:t>
      </w:r>
      <w:r>
        <w:t xml:space="preserve"> first, context, different, but, production, consumption; EU scope visible. This is a provisional connection, not an outcome finding.</w:t>
      </w:r>
    </w:p>
    <w:p>
      <w:pPr>
        <w:pStyle w:val="SourceNote"/>
      </w:pPr>
      <w:r>
        <w:rPr>
          <w:b/>
        </w:rPr>
        <w:t>Available abstract (not full text):</w:t>
      </w:r>
      <w:r>
        <w:t xml:space="preserve"> The aim of the article is to present a summary of the history of clay tobacco pipes in Europe and to explore their cultural and geographical context.In post-medieval archaeological sites, clay tobacco pipes are quite common finds. The first evidence of tobacco in Western Europe dates from the late sixteenth century, during the Age of Discovery. The industry of tobacco pipe manufacturing started in the early seventeenth century, and English pipe makers and smokers were the innovators of the new habit and style of smoking. Soon after that, Dutch cities like Amsterdam and Gouda became major centres in producing and selling clay tobacco pipes. Through the Baltic and Mediterranean harbours and then along land routes, tobacco spread across Europe as a product of colonial trade and a new habit of smoking as such. The Thirty Years’ War and Northern Wars played a crucial role in the consumption of tobacco, because soldiers rapidly accepted and spread the new culture of smoking.In the eastern and south-eastern European region, tobacco and pipes appeared in the early seventeenth century. Despite this fact, smoking as an incorrect habit was banned or restricted in Russia and the Ottoman Empire in effect of the rulers’ decisions. Only in the late seventeenth century all the prohibitions of tobacco consumption were lifted. At this time, clay tobacco pipes manufactured by the locals predomina</w:t>
      </w:r>
    </w:p>
    <w:p>
      <w:pPr/>
      <w:r>
        <w:rPr>
          <w:b/>
        </w:rPr>
        <w:t>POSSIBLE 2022:</w:t>
      </w:r>
      <w:r>
        <w:t xml:space="preserve"> ARABIC IN THE EUROPEAN CONTEXT — https://doi.org/10.66766/risr.2022.1.08</w:t>
      </w:r>
    </w:p>
    <w:p>
      <w:pPr/>
      <w:r>
        <w:rPr>
          <w:b/>
        </w:rPr>
        <w:t>Shared claim-specific concepts:</w:t>
      </w:r>
      <w:r>
        <w:t xml:space="preserve"> context, different, but; EU scope visible. This is a provisional connection, not an outcome finding.</w:t>
      </w:r>
    </w:p>
    <w:p>
      <w:pPr>
        <w:pStyle w:val="SourceNote"/>
      </w:pPr>
      <w:r>
        <w:rPr>
          <w:b/>
        </w:rPr>
        <w:t>Available abstract (not full text):</w:t>
      </w:r>
      <w:r>
        <w:t xml:space="preserve"> We are human beings that live in “spheres”. These could be found in a wide variety and could take different forms. They are either narrow, more common to us, or wide, so wide that we could never imagine. However, we tend to be too preoccupied with ourselves, and thus with the narrow spheres. In the end, our field of view gets smaller and smaller and we eventually lose sight of what matters the most: the wide sphere. This story may sound too childish, too insignificant for us to take into consideration, but this is actually the vivid image of the present world. As individuals, we live in specific communities, thus in continuous interaction with other members of society, hence with the Arabs as well. This social phenomenon appeared in ancient times. Their culture has always fascinated us, especially since their influences in various fields have intertwined with the European civilization. But, in order to come to understand and, therefore, accept this culture, it was and still is necessary for the Arabic language to be studied. Thus, this process should become a priority for us as there is the need for removing certain cultural and communication barriers. The purpose of this paper is to raise awareness of the importance of studying Arabic. This goal would not lead to the decrease or elimination of the “spheres" that each one of us lives in, but to their union so as to create stron</w:t>
      </w:r>
    </w:p>
    <w:p>
      <w:pPr/>
      <w:r>
        <w:rPr>
          <w:b/>
        </w:rPr>
        <w:t>POSSIBLE 2021:</w:t>
      </w:r>
      <w:r>
        <w:t xml:space="preserve"> Who Called Team Europe? The European Union’s Development Policy Response During the First Wave of COVID-19 — https://doi.org/10.1057/s41287-021-00428-7</w:t>
      </w:r>
    </w:p>
    <w:p>
      <w:pPr/>
      <w:r>
        <w:rPr>
          <w:b/>
        </w:rPr>
        <w:t>Shared claim-specific concepts:</w:t>
      </w:r>
      <w:r>
        <w:t xml:space="preserve"> first, context; EU scope visible. This is a provisional connection, not an outcome finding.</w:t>
      </w:r>
    </w:p>
    <w:p>
      <w:pPr>
        <w:pStyle w:val="SourceNote"/>
      </w:pPr>
      <w:r>
        <w:rPr>
          <w:b/>
        </w:rPr>
        <w:t>Available abstract (not full text):</w:t>
      </w:r>
      <w:r>
        <w:t xml:space="preserve"> The COVID-19 pandemic is a critical juncture for global development. Under the label of "Team Europe", the EU has sought to mobilize rapid development assistance to support partners in addressing the impacts of the crisis, while promoting joined-up approaches among European actors to assert itself in a changing and competitive geopolitical context. This article assesses how substantive and process-oriented EU development policy norms are reflected in the Union's global COVID-19 response. Focusing on the EU's response during the first wave of the COVID-19 pandemic in the first half of 2020, the article shows that the EU's response to this extraordinary crisis consisted of a deepening of EU integration. In so doing, the EU emphasized process-oriented over substantive norms in its development policy.</w:t>
      </w:r>
    </w:p>
    <w:p>
      <w:pPr/>
      <w:r>
        <w:rPr>
          <w:b/>
        </w:rPr>
        <w:t>POSSIBLE 2021:</w:t>
      </w:r>
      <w:r>
        <w:t xml:space="preserve"> FORMATION OF THE MOLDOVAN LOCAL SELF-GOVERNMENT SYSTEM IN THE CONTEXT OF EUROPEAN INTEGRATION (1990S) — https://doi.org/10.28995/2686-7648-2021-4-53-85</w:t>
      </w:r>
    </w:p>
    <w:p>
      <w:pPr/>
      <w:r>
        <w:rPr>
          <w:b/>
        </w:rPr>
        <w:t>Shared claim-specific concepts:</w:t>
      </w:r>
      <w:r>
        <w:t xml:space="preserve"> first, context, but, provide; EU scope visible. This is a provisional connection, not an outcome finding.</w:t>
      </w:r>
    </w:p>
    <w:p>
      <w:pPr>
        <w:pStyle w:val="SourceNote"/>
      </w:pPr>
      <w:r>
        <w:rPr>
          <w:b/>
        </w:rPr>
        <w:t>Available abstract (not full text):</w:t>
      </w:r>
      <w:r>
        <w:t xml:space="preserve"> The article considers the process of formation of the institutional and legal framework for the local self-government system in the Republic of Moldova. Chronologically, the study covers the first decade after the collapse of the Soviet Union. The author places the formation of the national local self-government system in the context of the European vector of Moldovan foreign policy, analysing the process (especially the implementation of the so- called “decentralization reform”) from the perspective of Moldova’s interaction with the European Union and the Council of Europe. The theories of formal structure and social imitation provide the conceptual framework for the study. The author briefly describes the Soviet self-government system, the gradual abandonment of which was the essence of the reforms of the 1990s, and touches upon the organization of self-governance according to the Anglo-Sax- on and Continental models and the modern systems of self-governance existing in the European Union, to which the Republic of Moldova aspires to become a member. The article consecutively analyses the stages of work of Moldovan legislators aimed at the formation of local authorities, evaluating its results both in terms of compliance with European norms and principles of local self-government organization and in the context of the national ethno-political, institutional and legal, civil an</w:t>
      </w:r>
    </w:p>
    <w:p>
      <w:pPr/>
      <w:r>
        <w:rPr>
          <w:b/>
        </w:rPr>
        <w:t>POSSIBLE 2021:</w:t>
      </w:r>
      <w:r>
        <w:t xml:space="preserve"> The quality of life in housing estates in the context of West-european and post-socialist countries — https://openalex.org/W4287501664</w:t>
      </w:r>
    </w:p>
    <w:p>
      <w:pPr/>
      <w:r>
        <w:rPr>
          <w:b/>
        </w:rPr>
        <w:t>Shared claim-specific concepts:</w:t>
      </w:r>
      <w:r>
        <w:t xml:space="preserve"> first, so-called, context, different, but; EU scope visible. This is a provisional connection, not an outcome finding.</w:t>
      </w:r>
    </w:p>
    <w:p>
      <w:pPr>
        <w:pStyle w:val="SourceNote"/>
      </w:pPr>
      <w:r>
        <w:rPr>
          <w:b/>
        </w:rPr>
        <w:t>Available abstract (not full text):</w:t>
      </w:r>
      <w:r>
        <w:t xml:space="preserve"> This paper provides a clear insight into the quality of life on the level of housing estates in European countries. In doing so, the questions of housing and satisfaction with the housing situation in the estates as well as with surrounding areas and the neighbourhood, in general, is being considered as an important dimension of a complex research concept called the quality of life. In analysing the quality of housing, we inevitably encounter an interesting division into the so-called two different versions of Europe or two types of housing estates. In the phase of planning and constructing, they shared a common idea of designing modern and functional, mixed estates that would solve the housing question of most residents, i.e. of different social classes. However, the first type is marked by the socio-historical context of Western Europe, and the second by Eastern Europe, or as some authors like to frame it, the differences in housing quality between ‘capitalist’ and ‘socialist’ cities. From that perspective specifically, it seems useful to analyse the quality of life and the possibility of renewing both types of housing estates, by now deprived and decrepit, built after the Second World War in both types of cities. This applies equally to those in Western Europe, often marked by a significantly worse image and higher levels of socioeconomic problems (crime, segregation, deteri</w:t>
      </w:r>
    </w:p>
    <w:p>
      <w:pPr/>
      <w:r>
        <w:rPr>
          <w:b/>
        </w:rPr>
        <w:t>POSSIBLE 2020:</w:t>
      </w:r>
      <w:r>
        <w:t xml:space="preserve"> The issue of so-called hate speech in the context of freedom of speech — https://openalex.org/W7135460664</w:t>
      </w:r>
    </w:p>
    <w:p>
      <w:pPr/>
      <w:r>
        <w:rPr>
          <w:b/>
        </w:rPr>
        <w:t>Shared claim-specific concepts:</w:t>
      </w:r>
      <w:r>
        <w:t xml:space="preserve"> first, so-called, context, describe, relevant, provide; EU scope visible. This is a provisional connection, not an outcome finding.</w:t>
      </w:r>
    </w:p>
    <w:p>
      <w:pPr>
        <w:pStyle w:val="SourceNote"/>
      </w:pPr>
      <w:r>
        <w:rPr>
          <w:b/>
        </w:rPr>
        <w:t>Available abstract (not full text):</w:t>
      </w:r>
      <w:r>
        <w:t xml:space="preserve"> The issue of so called hate speech in the context of freedom of speech Abstract This thesis titled The issue of so-called hate speech in the context of freedom of speech deals with the legal regulation of hate speech at the international and national level. The thesis contains a comprehensive analysis of legal instruments regulating hate speech in civil, anti-discrimination, administrative and criminal law. This thesis combines the theoretical basis of hate speech regulation with practical knowledge about the applicability of individual legal norms and is supplemented by relevant case law of the Czech courts and the European Court of Human Rights. The aim of this work is to describe the phenomenon of hate speech, provide an analysis of legal instruments regulating hate speech and also to analyse legal arguments for hate speech regulation. The thesis attempts to find the boundary between protected speech and speech that is unprotected by the international and constitutional framework of freedom of speech protection, by means of an analysis of individual court decisions. The thesis also contains a critical reflection of the current legal framework of hate speech regulation and suggests possible variants of legislative changes in the future. The thesis is structured into five chapters. The first part...</w:t>
      </w:r>
    </w:p>
    <w:p>
      <w:pPr>
        <w:pStyle w:val="Heading2"/>
      </w:pPr>
      <w:r>
        <w:t>954.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2021:</w:t>
      </w:r>
      <w:r>
        <w:t xml:space="preserve"> Spatial Patterns in Actual Evapotranspiration Climatologies for Europe — https://doi.org/10.3390/rs13122410</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2019:</w:t>
      </w:r>
      <w:r>
        <w:t xml:space="preserve"> Heatwaves, droughts, and fires: Exploring compound and cascading dry hazards at the pan-European scale — https://doi.org/10.1016/j.envint.2019.105276</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different, comparing, data;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2017:</w:t>
      </w:r>
      <w:r>
        <w:t xml:space="preserve"> Comparison of four inverse modelling systems applied to the estimation of HFC-125, HFC-134a, and SF 6 emissions over Europe — https://doi.org/10.5194/acp-17-10651-2017</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Abstract. Hydrofluorocarbons (HFCs) are used in a range of industrial applications and have largely replaced previously used gases (CFCs and HCFCs). HFCs are not ozone depleting but have large global warming potentials and are, therefore, reported to the United Nations Framework Convention on Climate Change (UNFCCC). Here, we use four independent inverse models to estimate European emissions of the two HFCs contributing the most to global warming (HFC-134a and HFC-125) and of SF6 for the year 2011. Using an ensemble of inverse models offers the possibility to better understand systematic uncertainties in inversions. All systems relied on the same measurement time series from Jungfraujoch (Switzerland), Mace Head (Ireland), and Monte Cimone (Italy), and the same a priori emissions, but differed in terms of Lagrangian transport model (FLEXPART, NAME), inversion method (Bayesian, Extended Kalman Filter), treatment of background mole fractions, spatial gridding, and a priori uncertainties. The model systems were compared with respect to the ability to reproduce the measurement time series, the spatial distribution of the posterior emissions, uncertainty reductions, and total emissions estimated for selected countries. All systems were able to reproduce the measurement time series very well with prior correlations between 0.5 and 0.9 and posterior correlations being higher by 0.05 t</w:t>
      </w:r>
    </w:p>
    <w:p>
      <w:pPr/>
      <w:r>
        <w:rPr>
          <w:b/>
        </w:rPr>
        <w:t>POSSIBLE 2017:</w:t>
      </w:r>
      <w:r>
        <w:t xml:space="preserve"> BECOMING GENDERED IN EUROPEAN PREHISTORY: WAS NEOLITHIC GENDER FUNDAMENTALLY DIFFERENT? — https://doi.org/10.1017/aaq.2017.54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It is notable how little gender archaeology has been written for the European Neolithic, in contrast to the following Bronze Age. We cannot blame this absence on a lack of empirical data or on archaeologists’ theoretical naïveté. Instead, we argue that this absence reflects the fact that gender in this period was qualitatively different in form from the types of gender that emerged in Europe from about 3000 cal BC onwards; the latter still form the norm in European and American contexts today, and our standard theories and methodologies are designed to uncover this specific form of gender. In Bronze Age gender systems, gender was mostly binary, associated with stable, lifelong identities expressed in recurrent complexes of gendered symbolism. In contrast, Neolithic gender appears to have been less firmly associated with personal identity and more contextually relevant; it slips easily through our methodological nets. In proposing this “contextual gender” model for Neolithic gender, we both open up new understandings of gender in the past and present and pose significant questions for our models of gender more widely.</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r>
        <w:rPr>
          <w:b/>
        </w:rPr>
        <w:t>POSSIBLE 2016:</w:t>
      </w:r>
      <w:r>
        <w:t xml:space="preserve"> Hepatitis E Seroprevalence in Europe: A Meta-Analysis — https://doi.org/10.3390/v8080211</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UNLABELLED: There have been large numbers of studies on anti-HEV IgG seroprevalence in Europe, however, the results of these studies have produced high variability of seroprevalence rates, making interpretation increasingly problematic. Therefore, the aim of this study was to develop a clearer understanding of anti-HEV IgG seroprevalence in Europe and identify risk groups for HEV exposure by a meta-analysis of published studies. METHODS: All European HEV-seroprevalence studies from 2003 to 2015 were reviewed. Data were stratified by assay, geographical location, and patient cohort (general population, patients with HIV, solid-organ transplant recipients, chronic liver disease patients, and individuals in contact with swine/wild animals). Data were pooled using a mixed-effects model. RESULTS: Four hundred thirty-two studies were initially identified, of which 73 studies were included in the analysis. Seroprevalence estimates ranged from 0.6% to 52.5%, increased with age, but were unrelated to gender. General population seroprevalence varied depending on assays: Wantai (WT): 17%, Mikrogen (MG): 10%, MP-diagnostics (MP): 7%, DiaPro: 4%, Abbott 2%. The WT assay reported significantly higher seroprevalence rates across all cohorts (p &lt; 0.001). Individuals in contact with swine/wild animals had significantly higher seroprevalence rates than the general population, irrespective of ass</w:t>
      </w:r>
    </w:p>
    <w:p>
      <w:pPr/>
      <w:r>
        <w:rPr>
          <w:b/>
        </w:rPr>
        <w:t>POSSIBLE 2015:</w:t>
      </w:r>
      <w:r>
        <w:t xml:space="preserve"> Hail potential in Europe based on a regional climate model hindcast — https://doi.org/10.1002/2015gl067118</w:t>
      </w:r>
    </w:p>
    <w:p>
      <w:pPr/>
      <w:r>
        <w:rPr>
          <w:b/>
        </w:rPr>
        <w:t>Shared claim-specific concepts:</w:t>
      </w:r>
      <w:r>
        <w:t xml:space="preserve"> different, identified; EU scope visible. This is a provisional connection, not an outcome finding.</w:t>
      </w:r>
    </w:p>
    <w:p>
      <w:pPr>
        <w:pStyle w:val="SourceNote"/>
      </w:pPr>
      <w:r>
        <w:rPr>
          <w:b/>
        </w:rPr>
        <w:t>Available abstract (not full text):</w:t>
      </w:r>
      <w:r>
        <w:t xml:space="preserve"> Abstract Due to the local‐scale nature of hail and a lack of appropriate observation systems, comprehensive, reliable, and consistent information about hail frequency and intensity in Europe is not available. To overcome this constraint, we developed a logistic hail model that quantifies the potential of the atmosphere to form hailstorms. The model is based on a combination of appropriate hail‐relevant meteorological parameters. This paper presents the application of an adjusted version of the logistic model with the objective being to estimate the hail potential across Europe based on dynamically downscaled National Centers for Environmental Prediction/National Center for Atmospheric Research1 reanalysis over a long‐term period of 60 years (1951–2010). The model output, in terms of the potential hail index (PHI), identified several hot spots that are well known from other observational studies. Time series of the PHI over the 60 year period show a high correlation at different sites across Europe and high annual and multiannual variability, but no overall trend.</w:t>
      </w:r>
    </w:p>
    <w:p>
      <w:pPr/>
      <w:r>
        <w:rPr>
          <w:b/>
        </w:rPr>
        <w:t>POSSIBLE 2015:</w:t>
      </w:r>
      <w:r>
        <w:t xml:space="preserve"> A dataset of future daily weather data for crop modelling over Europe derived from climate change scenarios — https://doi.org/10.1007/s00704-015-1650-4</w:t>
      </w:r>
    </w:p>
    <w:p>
      <w:pPr/>
      <w:r>
        <w:rPr>
          <w:b/>
        </w:rPr>
        <w:t>Shared claim-specific concepts:</w:t>
      </w:r>
      <w:r>
        <w:t xml:space="preserve"> different, plausible, simulation, data; EU scope visible. This is a provisional connection, not an outcome finding.</w:t>
      </w:r>
    </w:p>
    <w:p>
      <w:pPr>
        <w:pStyle w:val="SourceNote"/>
      </w:pPr>
      <w:r>
        <w:rPr>
          <w:b/>
        </w:rPr>
        <w:t>Available abstract (not full text):</w:t>
      </w:r>
      <w:r>
        <w:t xml:space="preserve"> Coupled atmosphere-ocean general circulation models (GCMs) simulate different realizations of possible future climates at global scale under contrasting scenarios of land-use and greenhouse gas emissions. Such data require several additional processing steps before it can be used to drive impact models. Spatial downscaling, typically by regional climate models (RCM), and bias-correction are two such steps that have already been addressed for Europe. Yet, the errors in resulting daily meteorological variables may be too large for specific model applications. Crop simulation models are particularly sensitive to these inconsistencies and thus require further processing of GCM-RCM outputs. Moreover, crop models are often run in a stochastic manner by using various plausible weather time series (often generated using stochastic weather generators) to represent climate time scale for a period of interest (e.g. 2000 ± 15 years), while GCM simulations typically provide a single time series for a given emission scenario. To inform agricultural policy-making, data on near- and medium-term decadal time scale is mostly requested, e.g. 2020 or 2030. Taking a sample of multiple years from these unique time series to represent time horizons in the near future is particularly problematic because selecting overlapping years may lead to spurious trends, creating artefacts in the results of the i</w:t>
      </w:r>
    </w:p>
    <w:p>
      <w:pPr/>
      <w:r>
        <w:rPr>
          <w:b/>
        </w:rPr>
        <w:t>POSSIBLE 2015:</w:t>
      </w:r>
      <w:r>
        <w:t xml:space="preserve"> Introduction of a simple-model-based land surface dataset for Europe — https://doi.org/10.1088/1748-9326/10/4/044012</w:t>
      </w:r>
    </w:p>
    <w:p>
      <w:pPr/>
      <w:r>
        <w:rPr>
          <w:b/>
        </w:rPr>
        <w:t>Shared claim-specific concepts:</w:t>
      </w:r>
      <w:r>
        <w:t xml:space="preserve"> against, data; EU scope visible. This is a provisional connection, not an outcome finding.</w:t>
      </w:r>
    </w:p>
    <w:p>
      <w:pPr>
        <w:pStyle w:val="SourceNote"/>
      </w:pPr>
      <w:r>
        <w:rPr>
          <w:b/>
        </w:rPr>
        <w:t>Available abstract (not full text):</w:t>
      </w:r>
      <w:r>
        <w:t xml:space="preserve"> Land surface hydrology can play a crucial role during extreme events such as droughts, floods and even heat waves. We introduce in this study a new hydrological dataset for Europe that consists of soil moisture, runoff and evapotranspiration (ET). It is derived with a simple water balance model (SWBM) forced with precipitation, temperature and net radiation. The SWBM dataset extends over the period 1984–2013 with a daily time step and 0.5° × 0.5° resolution. We employ a novel calibration approach, in which we consider 300 random parameter sets chosen from an observation-based range. Using several independent validation datasets representing soil moisture (or terrestrial water content), ET and streamflow, we identify the best performing parameter set and hence the new dataset. To illustrate its usefulness, the SWBM dataset is compared against several state-of-the-art datasets (ERA-Interim/Land, MERRA-Land, GLDAS-2-Noah, simulations of the Community Land Model Version 4), using all validation datasets as reference. For soil moisture dynamics it outperforms the benchmarks. Therefore the SWBM soil moisture dataset constitutes a reasonable alternative to sparse measurements, little validated model results, or proxy data such as precipitation indices. Also in terms of runoff the SWBM dataset performs well, whereas the evaluation of the SWBM ET dataset is overall satisfactory, but the</w:t>
      </w:r>
    </w:p>
    <w:p>
      <w:pPr>
        <w:pStyle w:val="Heading2"/>
      </w:pPr>
      <w:r>
        <w:t>955.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2025:</w:t>
      </w:r>
      <w:r>
        <w:t xml:space="preserve"> Modelling of Soil Multifunctionality Across Europe — https://doi.org/10.1111/sum.70147</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The Projected Effects of Climate Change on the Potential Distribution of Planococcus minor Based on Ensemble Species Distribution Models — https://doi.org/10.3390/agronomy15051165</w:t>
      </w:r>
    </w:p>
    <w:p>
      <w:pPr/>
      <w:r>
        <w:rPr>
          <w:b/>
        </w:rPr>
        <w:t>Shared claim-specific concepts:</w:t>
      </w:r>
      <w:r>
        <w:t xml:space="preserve"> minor, climate, pathway; EU scope not established. This is a provisional connection, not an outcome finding.</w:t>
      </w:r>
    </w:p>
    <w:p>
      <w:pPr>
        <w:pStyle w:val="SourceNote"/>
      </w:pPr>
      <w:r>
        <w:rPr>
          <w:b/>
        </w:rPr>
        <w:t>Available abstract (not full text):</w:t>
      </w:r>
      <w:r>
        <w:t xml:space="preserve"> Planococcus minor is an invasive pest of significant economic importance that has attracted international attention. Predicting the potential geographic distribution of P. minor under climate change is crucial to developing effective prevention and control strategies for safeguarding agricultural productivity. In this study, we selected four species distribution models (GBM, GLM, MARS, MAXENT) and utilized the Biomod2 package to construct an ensemble model for predicting the suitable habitats of P. minor under the averaged climate conditions of 1970–2000 and 2041–2060 (2050s), including a low-emission pathway (SSP1-2.6) and a high-emission pathway (SSP5-8.5). Among the 19 bioclimatic variables considered, precipitation of the wettest quarter and temperature seasonality were identified as the most influential factors affecting the distribution of P. minor. Under the averaged climate conditions of 1970–2000, suitable habitats for P. minor are mainly distributed in tropical and subtropical regions worldwide. In China, highly suitable zones are concentrated in Yunnan, Guangxi, Guangdong, Hainan, and Taiwan. In the future, the global range of P. minor is projected to expand, with some highly suitable areas transitioning toward medium and low suitability. Under the high-emission pathway (SSP5-8.5) scenario, suitable habitats in China are anticipated to exhibit a pronounced trend of i</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2022:</w:t>
      </w:r>
      <w:r>
        <w:t xml:space="preserve"> Retreat of Major European Tree Species Distribution under Climate Change—Minor Natives to the Rescue? — https://doi.org/10.3390/su14095213</w:t>
      </w:r>
    </w:p>
    <w:p>
      <w:pPr/>
      <w:r>
        <w:rPr>
          <w:b/>
        </w:rPr>
        <w:t>Shared claim-specific concepts:</w:t>
      </w:r>
      <w:r>
        <w:t xml:space="preserve"> minor, climate, use; EU scope visible. This is a provisional connection, not an outcome finding.</w:t>
      </w:r>
    </w:p>
    <w:p>
      <w:pPr>
        <w:pStyle w:val="SourceNote"/>
      </w:pPr>
      <w:r>
        <w:rPr>
          <w:b/>
        </w:rPr>
        <w:t>Available abstract (not full text):</w:t>
      </w:r>
      <w:r>
        <w:t xml:space="preserve"> Climate change is projected to trigger strong declines in the potential distribution of major tree species in Europe. While minor natives have moved into the spotlight as alternatives, their ecology is often poorly understood. We use an ensemble species distribution modelling approach on a set of promising native tree species to gain insights into their distribution potential under different climate change scenarios. Moreover, we identify the urgency and potential of altered species distributions in favor of minor natives by comparing the niche dynamics of five major native tree species with the set of six minor natives in a case study. Our models project stark range contractions and range shifts among major tree species, strongly amplified under high emission scenarios. Abies alba, Picea abies and Fagus sylvatica are affected the strongest. While also experiencing range shifts, the minor European natives Castanea sativa, Sorbus torminalis, and Ulmus laevis all considerably expand their range potential across climate change scenarios. Accompanied by Carpinus betulus, with a stable range size, they hold the potential to substantially contribute to sustainably adapting European forest to climate change.</w:t>
      </w:r>
    </w:p>
    <w:p>
      <w:pPr/>
      <w:r>
        <w:rPr>
          <w:b/>
        </w:rPr>
        <w:t>POSSIBLE 2022:</w:t>
      </w:r>
      <w:r>
        <w:t xml:space="preserve"> Modelling site response at regional scale for the 2020 European Seismic Risk Model (ESRM20) — https://doi.org/10.1007/s10518-022-01526-5</w:t>
      </w:r>
    </w:p>
    <w:p>
      <w:pPr/>
      <w:r>
        <w:rPr>
          <w:b/>
        </w:rPr>
        <w:t>Shared claim-specific concepts:</w:t>
      </w:r>
      <w:r>
        <w:t xml:space="preserve"> compared, order, determine; EU scope visible. This is a provisional connection, not an outcome finding.</w:t>
      </w:r>
    </w:p>
    <w:p>
      <w:pPr>
        <w:pStyle w:val="SourceNote"/>
      </w:pPr>
      <w:r>
        <w:rPr>
          <w:b/>
        </w:rPr>
        <w:t>Available abstract (not full text):</w:t>
      </w:r>
      <w:r>
        <w:t xml:space="preserve">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pPr/>
      <w:r>
        <w:rPr>
          <w:b/>
        </w:rPr>
        <w:t>POSSIBLE 2022:</w:t>
      </w:r>
      <w:r>
        <w:t xml:space="preserve"> Modeling and Simulation of Household Appliances Power Consumption — https://doi.org/10.3390/app12073689</w:t>
      </w:r>
    </w:p>
    <w:p>
      <w:pPr/>
      <w:r>
        <w:rPr>
          <w:b/>
        </w:rPr>
        <w:t>Shared claim-specific concepts:</w:t>
      </w:r>
      <w:r>
        <w:t xml:space="preserve"> increase, power, consumption, compared, levels, electricity; EU scope not established. This is a provisional connection, not an outcome finding.</w:t>
      </w:r>
    </w:p>
    <w:p>
      <w:pPr>
        <w:pStyle w:val="SourceNote"/>
      </w:pPr>
      <w:r>
        <w:rPr>
          <w:b/>
        </w:rPr>
        <w:t>Available abstract (not full text):</w:t>
      </w:r>
      <w:r>
        <w:t xml:space="preserve"> The consumption of household appliances tends to increase. Therefore, the application of energy efficiency measurements is urgently needed to reduce the levels of power consumption. Over the last years, various methods have been used to predict household electricity consumption. As a novelty, this paper proposed a method of predicting the consumption of household appliances by evaluating statistical distributions (Kolmogorov–Smirnov Test and Pearson’s X2 test). To test the veracity of the evaluations, first, a set of random values was simulated for each hour, and their respective averages were calculated. These were compared with the averages of the real values for each hour. With the exception of HVAC during working days, great results were obtained. For the refrigerator, the maximum error was 3.91%, while for the lighting, it was 4.27%. At the point of consumption, the accuracy was even higher, with an error of 1.17% for the dryer while for the washing machine and dishwasher, their minimum errors were less than 1%. The error results confirm that the applied methodology is perfectly acceptable for modeling household appliance consumption and consequently predicting it. However, these consumptions can be only extrapolated to dwellings with similar surface areas and habitats.</w:t>
      </w:r>
    </w:p>
    <w:p>
      <w:pPr/>
      <w:r>
        <w:rPr>
          <w:b/>
        </w:rPr>
        <w:t>POSSIBLE 2022:</w:t>
      </w:r>
      <w:r>
        <w:t xml:space="preserve"> Dynamic Process Modeling of Topside Systems for Evaluating Power Consumption and Possibilities of Using Wind Power — https://doi.org/10.3390/en15249482</w:t>
      </w:r>
    </w:p>
    <w:p>
      <w:pPr/>
      <w:r>
        <w:rPr>
          <w:b/>
        </w:rPr>
        <w:t>Shared claim-specific concepts:</w:t>
      </w:r>
      <w:r>
        <w:t xml:space="preserve"> power, consumption, use; EU scope not established. This is a provisional connection, not an outcome finding.</w:t>
      </w:r>
    </w:p>
    <w:p>
      <w:pPr>
        <w:pStyle w:val="SourceNote"/>
      </w:pPr>
      <w:r>
        <w:rPr>
          <w:b/>
        </w:rPr>
        <w:t>Available abstract (not full text):</w:t>
      </w:r>
      <w:r>
        <w:t xml:space="preserve"> Norwegian offshore wind farms may be able to supply power to offshore oil and gas platforms in the near future thanks to the expeditious development of offshore wind technology. This would result in a reduction in CO2 emissions from oil and gas offshore installations, which are currently powered predominantly by gas turbines. The challenge with using wind power is that offshore oil and gas installations require a fairly constant and stable source of power, whereas wind power typically exhibits significant fluctuations over time. The purpose of this study is to perform a technical feasibility evaluation of using wind power to supply an offshore oil and gas installation on the basis of dynamic process simulations. Throughout the study, only the topside processing system is considered, since it is the most energy-intensive part of an oil and gas facility. An offshore field on the Norwegian Continental Shelf is used as a case study. The results indicate that, when the processing system operates in steady-state conditions, it cannot be powered solely by wind energy, and another power source is required to compensate for low wind power generation intervals. An alternative would be to store wind energy during periods of high generation (e.g., by producing hydrogen or ammonia) and use it during periods of low generation. Utilizing energy storage methods, wind energy can be continuously</w:t>
      </w:r>
    </w:p>
    <w:p>
      <w:pPr/>
      <w:r>
        <w:rPr>
          <w:b/>
        </w:rPr>
        <w:t>POSSIBLE 2022:</w:t>
      </w:r>
      <w:r>
        <w:t xml:space="preserve"> Modelling the impact of improved photosynthetic properties on crop performance in Europe — https://doi.org/10.1002/fes3.402</w:t>
      </w:r>
    </w:p>
    <w:p>
      <w:pPr/>
      <w:r>
        <w:rPr>
          <w:b/>
        </w:rPr>
        <w:t>Shared claim-specific concepts:</w:t>
      </w:r>
      <w:r>
        <w:t xml:space="preserve"> increase, climate, use; EU scope visible. This is a provisional connection, not an outcome finding.</w:t>
      </w:r>
    </w:p>
    <w:p>
      <w:pPr>
        <w:pStyle w:val="SourceNote"/>
      </w:pPr>
      <w:r>
        <w:rPr>
          <w:b/>
        </w:rPr>
        <w:t>Available abstract (not full text):</w:t>
      </w:r>
      <w:r>
        <w:t xml:space="preserve"> Abstract Using the GECROS model, we simulated the effect of improvements in photosynthesis a range of growth parameters, including yield, and on the ε c (the conversion efficiency of absorbed solar energy to the chemical energy of biomass) and ε i (the efficiency of solar energy interception or absorption by the canopy) parameters of the Monteith crop growth equation, for wheat and potato (which use C3 photosynthesis) and maize (which uses C4 photosynthesis). In the case of the C3 crops, the improvements in photosynthesis were via 20% increases in the parameters V cmax (carboxylation capacity of Rubisco), J max (electron transport capacity), S c/o (Rubisco specificity), κ 2LL (efficiency of converting incident light into electron transport) and g m (mesophyll conductance), while for the C4 crop, it was via 20% increase in V cmax , J max and S c/o and a 20% decrease in g bs (the conductance that controls the leak of CO 2 from the bundle sheath cells in C4 leaves). The changes were applied individually and in combination. The responses were modelled using climate data collected over a 10‐year period from 66 sites around Europe. Improvements in photosynthesis did result in increases in yield but with considerable variation between the parameters that were adjusted. The greatest increases were obtained for increases in J max and κ 2LL (up to an average 11% increase for total plant </w:t>
      </w:r>
    </w:p>
    <w:p>
      <w:pPr/>
      <w:r>
        <w:rPr>
          <w:b/>
        </w:rPr>
        <w:t>POSSIBLE 2021:</w:t>
      </w:r>
      <w:r>
        <w:t xml:space="preserve"> Current and projected regional economic impacts of heatwaves in Europe — https://doi.org/10.1038/s41467-021-26050-z</w:t>
      </w:r>
    </w:p>
    <w:p>
      <w:pPr/>
      <w:r>
        <w:rPr>
          <w:b/>
        </w:rPr>
        <w:t>Shared claim-specific concepts:</w:t>
      </w:r>
      <w:r>
        <w:t xml:space="preserve"> increase, current, compared;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pStyle w:val="Heading2"/>
      </w:pPr>
      <w:r>
        <w:t>956.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2024:</w:t>
      </w:r>
      <w:r>
        <w:t xml:space="preserve"> Variation of biomass carbon stock within agroforestry systems in the Senegalese groundnut basin — https://doi.org/10.1007/s43621-024-00208-3</w:t>
      </w:r>
    </w:p>
    <w:p>
      <w:pPr/>
      <w:r>
        <w:rPr>
          <w:b/>
        </w:rPr>
        <w:t>Shared claim-specific concepts:</w:t>
      </w:r>
      <w:r>
        <w:t xml:space="preserve"> investigated, biomass, stock, climate, two, management; EU scope not established. This is a provisional connection, not an outcome finding.</w:t>
      </w:r>
    </w:p>
    <w:p>
      <w:pPr>
        <w:pStyle w:val="SourceNote"/>
      </w:pPr>
      <w:r>
        <w:rPr>
          <w:b/>
        </w:rPr>
        <w:t>Available abstract (not full text):</w:t>
      </w:r>
      <w:r>
        <w:t xml:space="preserve"> Abstract Agroforestry plays a pivotal role in mitigating greenhouse gas (GHG) emissions and addressing the challenges posed by climate change. While carbon sequestration efforts have primarily centred on forests, it is imperative to acknowledge the contribution that non-forest ecosystems, such as agroforestry, can offer. This study investigated the influence of agroforestry systems on the variation of biomass carbon stocks in the Sahelo-Sudanian and Sudanian regions of the Senegalese Groundnut basin. Three primary agroforestry systems were studied: silvopastoral, agrisilvicultural, and agrosilvopastoral. Forty-six (46) 100 m × 100 m plots were sampled, within which 1 × 1 m2 subplots were used to sample understory biomass across three agroforestry systems in the two climatic zones. Analysis of variance was performed to assess the influence of agroforestry systems and climatic zones on biomass carbon stocks. The findings showed that in the Sahelo-Sudanian region, the agrisilvicultural system exhibited the highest AGC + BGC stocks, averaging 43.42 ± 21.61 tCha−1. In contrast, the silvopastoral system showed significantly higher AGC + BGC stocks, which amounted to 36.33 ± 12.27 tCha−1 in the Sudanian region. On the other hand, understory carbon stocks were significantly higher (p &lt; 0.01) in the agrisilvicultural and agrosilvopastoral systems than in the silvopastoral system in both</w:t>
      </w:r>
    </w:p>
    <w:p>
      <w:pPr/>
      <w:r>
        <w:rPr>
          <w:b/>
        </w:rPr>
        <w:t>POSSIBLE 2024:</w:t>
      </w:r>
      <w:r>
        <w:t xml:space="preserve"> Carbon Stock Estimation of Poplar Plantations Based on Additive Biomass Models — https://doi.org/10.3390/f15101829</w:t>
      </w:r>
    </w:p>
    <w:p>
      <w:pPr/>
      <w:r>
        <w:rPr>
          <w:b/>
        </w:rPr>
        <w:t>Shared claim-specific concepts:</w:t>
      </w:r>
      <w:r>
        <w:t xml:space="preserve"> biomass, stock, climate, two, management, high; EU scope not established. This is a provisional connection, not an outcome finding.</w:t>
      </w:r>
    </w:p>
    <w:p>
      <w:pPr>
        <w:pStyle w:val="SourceNote"/>
      </w:pPr>
      <w:r>
        <w:rPr>
          <w:b/>
        </w:rPr>
        <w:t>Available abstract (not full text):</w:t>
      </w:r>
      <w:r>
        <w:t xml:space="preserve"> Accurate estimation of biomass and carbon stocks in forest ecosystems is critical for understanding their roles in carbon sequestration and climate change mitigation. Currently, the development of stand biomass models and carbon stock estimation at the regional scale has emerged as a prominent research priority. In this study, 225 Populus spp. (poplar) trees in Shandong Province, China, were destructively sampled to obtain the biomass of their components. Two models (MS1 and MS2) were developed using allometric equations and the seemingly unrelated regression (SUR) method to ensure additive properties across tree components. The model evaluation employed the leave-one-out jackknife (LOO) method, considering statistics such as adjusted R-squared (Ra2), root mean square error (RMSE), mean absolute percent error (MAPE), and mean absolute error (MAE). The results from our models demonstrated high accuracy, with MS2 slightly outperforming MS1 after incorporating tree height as an independent variable. The models reliably estimated component-specific biomass and carbon stocks, with distinct variations observed in the carbon content among foliage (47.14 ± 2.07%), branches (47.26 ± 2.48%), stems (47.67 ± 2.21%), and roots (46.37 ± 2.78%). Carbon stocks in poplar plantations increased with the diameter class, ranging from 5 to 35 cm and correspondingly from 3.670 to 172.491 Mg C ha−1. A</w:t>
      </w:r>
    </w:p>
    <w:p>
      <w:pPr/>
      <w:r>
        <w:rPr>
          <w:b/>
        </w:rPr>
        <w:t>POSSIBLE 2024:</w:t>
      </w:r>
      <w:r>
        <w:t xml:space="preserve"> Fishery stock dynamics in the Baltic Sea: The dichotomy between total allowable catch limits and spawning stock biomass — https://doi.org/10.2478/aopf-2024-0013</w:t>
      </w:r>
    </w:p>
    <w:p>
      <w:pPr/>
      <w:r>
        <w:rPr>
          <w:b/>
        </w:rPr>
        <w:t>Shared claim-specific concepts:</w:t>
      </w:r>
      <w:r>
        <w:t xml:space="preserve"> biomass, stock, management, one, other; EU scope not established. This is a provisional connection, not an outcome finding.</w:t>
      </w:r>
    </w:p>
    <w:p>
      <w:pPr>
        <w:pStyle w:val="SourceNote"/>
      </w:pPr>
      <w:r>
        <w:rPr>
          <w:b/>
        </w:rPr>
        <w:t>Available abstract (not full text):</w:t>
      </w:r>
      <w:r>
        <w:t xml:space="preserve"> Abstract When managing heavily exploited fisheries, the primary objective is ensuring the long-term sustainability of stocks. Policy makers employ various measures to achieve this, with one important approach being the establishment of total allowable catch (TAC) limits for commercial fish stocks. These limits are set to maintain a target level that can sustain or rebuild the spawning stock biomass (SSB), which is an indicator of a stock’s reproductive capacity. Ideally, a strong correlation between TAC quotas and SSB exists, indicating that reductions in TAC are positively impacting SSB. However, in practice, the influence of TAC quotas on fish populations is diminished by other factors affecting reproductive capabilities. This study conducted on the eight most commercially valuable stocks in the Baltic Sea examined this relationship using statistical analysis. The findings revealed that five stocks exhibited a strong-to-moderate positive association between variables, while data for the remaining three stocks were insufficient. The results indicated that stocks with a strong correlation between TAC limits and SSB can be managed more effectively, offering greater potential for sustainability. In contrast, those without this correlation need a more holistic approach that incorporates external ecological factors, as management alone may not suffice to prevent declines. Future st</w:t>
      </w:r>
    </w:p>
    <w:p>
      <w:pPr/>
      <w:r>
        <w:rPr>
          <w:b/>
        </w:rPr>
        <w:t>POSSIBLE 2023:</w:t>
      </w:r>
      <w:r>
        <w:t xml:space="preserve"> The overlooked contribution of trees outside forests to tree cover and woody biomass across Europe — https://doi.org/10.1126/sciadv.adh4097</w:t>
      </w:r>
    </w:p>
    <w:p>
      <w:pPr/>
      <w:r>
        <w:rPr>
          <w:b/>
        </w:rPr>
        <w:t>Shared claim-specific concepts:</w:t>
      </w:r>
      <w:r>
        <w:t xml:space="preserve"> biomass, stock, high, forests; EU scope visible. This is a provisional connection, not an outcome finding.</w:t>
      </w:r>
    </w:p>
    <w:p>
      <w:pPr>
        <w:pStyle w:val="SourceNote"/>
      </w:pPr>
      <w:r>
        <w:rPr>
          <w:b/>
        </w:rPr>
        <w:t>Available abstract (not full text):</w:t>
      </w:r>
      <w:r>
        <w:t xml:space="preserve"> Abstract Trees are an integral part of almost all European landscapes, but only forest resources are systematically assessed by national inventories, and the extent to which trees in urban and agricultural areas contribute to biomass and carbon stocks at the national level remains largely unknown. Here we make use of nanosatellite imagery to generate canopy cover, height, and above-ground biomass maps for the entire European continent from 3-m resolution imagery. Our country-scale biomass estimates have a systematic bias of only 7.6% (overestimation; R = 0.98) when compared to national inventories of 30 countries, and our new dataset is sufficiently highly resolved spatially to support the inclusion of tree biomass outside forests, which we quantify to 0.8 Pg. Although this represents only 2% of the total European tree biomass on average, large variations between countries are found (for example 10% for UK) and trees in urban areas contribute substantially to national carbon stocks (for example 8% for the Netherlands). The good agreement with national inventory data, the scalability, and the high level of detail across landscapes, including trees outside forests, make our approach attractive for operational implementation to support national carbon stock inventory schemes.</w:t>
      </w:r>
    </w:p>
    <w:p>
      <w:pPr/>
      <w:r>
        <w:rPr>
          <w:b/>
        </w:rPr>
        <w:t>POSSIBLE 2023:</w:t>
      </w:r>
      <w:r>
        <w:t xml:space="preserve"> Global increase in biomass carbon stock dominated by growth of northern young forests over past decade — https://doi.org/10.1038/s41561-023-01274-4</w:t>
      </w:r>
    </w:p>
    <w:p>
      <w:pPr/>
      <w:r>
        <w:rPr>
          <w:b/>
        </w:rPr>
        <w:t>Shared claim-specific concepts:</w:t>
      </w:r>
      <w:r>
        <w:t xml:space="preserve"> biomass, stock, forests, increase;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Allometric relationships between above-ground biomass increment and stand characteristics for crimean pine in Taşköprü, Turkey — https://doi.org/10.1590/01047760202329013169</w:t>
      </w:r>
    </w:p>
    <w:p>
      <w:pPr/>
      <w:r>
        <w:rPr>
          <w:b/>
        </w:rPr>
        <w:t>Shared claim-specific concepts:</w:t>
      </w:r>
      <w:r>
        <w:t xml:space="preserve"> investigated, biomass, increments, one, high, increment; EU scope not established. This is a provisional connection, not an outcome finding.</w:t>
      </w:r>
    </w:p>
    <w:p>
      <w:pPr>
        <w:pStyle w:val="SourceNote"/>
      </w:pPr>
      <w:r>
        <w:rPr>
          <w:b/>
        </w:rPr>
        <w:t>Available abstract (not full text):</w:t>
      </w:r>
      <w:r>
        <w:t xml:space="preserve"> Background: Biomass increment, one of the main components of net primary production (NPP) in forest ecosystems, plays an important role as well as total biomass in the global carbon cycle. In this study, the changes of increments of the above-ground total, stem and branch biomasses depending on stand characteristics (i.e., stand age, stand density, and site index) were investigated, and these relations were modeled for Crimean pine (Pinus nigra J.F.Arnold subsp. pallasiana (Lamb.) Holmboe) stands in Taşköprü region of Türkiye. Data were obtained from 109 sample trees within 74 sample plots representing the wide range of possible stand characteristics. Results: The equations developed for above-ground total, stem and branch biomass increments have quite high coefficients of determination (R 2 =0.784, 0.684 and 0.780, respectively), whereas low root mean square errors (RMSE=0.749, 0.692 and 0.116, respectively). The results indicated that the biomass increment estimates from the allometric equations developed were decreasing with stand age and increasing with stand density and site index and also stand density is the strongest stand characteristic on biomass increment. Conclusion: The estimates are also consistent with the growth patterns, so the equations can be used for biomass increment estimations and also for carbon storage and NPP projections for Crimean pine stands of the </w:t>
      </w:r>
    </w:p>
    <w:p>
      <w:pPr/>
      <w:r>
        <w:rPr>
          <w:b/>
        </w:rPr>
        <w:t>POSSIBLE 2023:</w:t>
      </w:r>
      <w:r>
        <w:t xml:space="preserve"> Assessment of aboveground biomass and carbon stock of subtropical pine forest of Pakistan — https://doi.org/10.17221/125/2022-jfs</w:t>
      </w:r>
    </w:p>
    <w:p>
      <w:pPr/>
      <w:r>
        <w:rPr>
          <w:b/>
        </w:rPr>
        <w:t>Shared claim-specific concepts:</w:t>
      </w:r>
      <w:r>
        <w:t xml:space="preserve"> biomass, stock, forests; EU scope not established. This is a provisional connection, not an outcome finding.</w:t>
      </w:r>
    </w:p>
    <w:p>
      <w:pPr>
        <w:pStyle w:val="SourceNote"/>
      </w:pPr>
      <w:r>
        <w:rPr>
          <w:b/>
        </w:rPr>
        <w:t>Available abstract (not full text):</w:t>
      </w:r>
      <w:r>
        <w:t xml:space="preserve"> The presented study estimated the aboveground biomass (AGB) ofÂ Pinus roxburghii (chir pine) natural forests and plantations, and created biomass maps using aÂ relationship (regression model) between AGB and Sentinel-2 spectral indices. The mean AGBÂ and BGBÂ (belowground biomass) ofÂ natural forests were 79.54 Mg·ha–1Â and 20.68 Mg·ha–1, respectively, whereas the mean AGBÂ and BGBÂ ofÂ plantations were 94.48 Mg·ha–1Â and 24.56 Mg·ha–1, respectively. Correlation showed that mean diameter atÂ breast height (DBH) and mean height have weak relationships with AGB, and BGBÂ has shown correlation coefficients (R2Â =Â 0.46) and (R2Â =Â 0.56) for polynomial models. Regression models between AGBÂ (Mg·ha–1) ofÂ Pinus roxburghii natural forest and Sentinel-2 spectral indices showed aÂ strong relationship with Ratio Vegetation Index (RVI) with R2 = 0.72 followed byÂ Normalized Difference Vegetation Index (NDVI) and Atmospherically Resistant Vegetation Index (ARVI) with R2Â =Â 0.70. InÂ contrast, the lower performance ofÂ spectral indices has been shown inÂ regression with plantation AGB. Correlation coefficients (R2) were 0.41, 0.41, and 0.40Â for RVI, NDVI, and ARVI, respectively. All indices showed that the distribution ofÂ AGBÂ data was not the best fit with the linear regression model. Therefore, non-linear exponential and power models were considered the best fit for NDVI, RVI, and AR</w:t>
      </w:r>
    </w:p>
    <w:p>
      <w:pPr>
        <w:pStyle w:val="Heading2"/>
      </w:pPr>
      <w:r>
        <w:t>957.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The Blue Banana or the Influence of Symbolic Divisions on Our Representations of Europe — https://doi.org/10.1002/9781394393664.ch6</w:t>
      </w:r>
    </w:p>
    <w:p>
      <w:pPr/>
      <w:r>
        <w:rPr>
          <w:b/>
        </w:rPr>
        <w:t>Shared claim-specific concepts:</w:t>
      </w:r>
      <w:r>
        <w:t xml:space="preserve"> use, blue; EU scope visible. This is a provisional connection, not an outcome finding.</w:t>
      </w:r>
    </w:p>
    <w:p>
      <w:pPr>
        <w:pStyle w:val="SourceNote"/>
      </w:pPr>
      <w:r>
        <w:rPr>
          <w:b/>
        </w:rPr>
        <w:t>Available abstract (not full text):</w:t>
      </w:r>
      <w:r>
        <w:t xml:space="preserve"> In the European context, their dissemination from one country to another without sufficient information about the initial context of their conception can lead to interpretation errors and polemics. The capacity of a map to forge mental representations explains why spatial planning documents can paradoxically avoid making use of cartography, for fear of eliciting opposition from groups legitimately seeking to valorize the excellence of their location. The image of the blue banana suddenly appeared in 1989. The blue banana was fundamentally just a striking reinterpretation of the centerperiphery model, a classic theoretical tool. The impact of the blue banana as an almost monopolistic division of European space nevertheless has a surprising element, since the megalopolis was in itself not a discovery.</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2024:</w:t>
      </w:r>
      <w:r>
        <w:t xml:space="preserve"> The Financial Feasibility of Farming Blue Mussels Offshore Using the Smart Farm Approach: European Evidence — https://doi.org/10.4194/aquast1474</w:t>
      </w:r>
    </w:p>
    <w:p>
      <w:pPr/>
      <w:r>
        <w:rPr>
          <w:b/>
        </w:rPr>
        <w:t>Shared claim-specific concepts:</w:t>
      </w:r>
      <w:r>
        <w:t xml:space="preserve"> blue, maritime; EU scope visible. This is a provisional connection, not an outcome finding.</w:t>
      </w:r>
    </w:p>
    <w:p>
      <w:pPr>
        <w:pStyle w:val="SourceNote"/>
      </w:pPr>
      <w:r>
        <w:rPr>
          <w:b/>
        </w:rPr>
        <w:t>Available abstract (not full text):</w:t>
      </w:r>
      <w:r>
        <w:t xml:space="preserve"> This paper analyses the financial feasibility of a mussel farm that employs the Smart Farm approach with reinforced equipment in the offshore Dutch North Sea. The literature review suggests favourable conditions for this farm given past Smart Farm applications, existing offshore mussel farms, environmental impact considerations, offshore mussel health, and Dutch regulatory clarity. The study methodology section explains the utilization of the discounted cash flow (DCF) analysis model and the technological, farm size, location, mussel seed collection, cost, and production assumptions. This farm would require an initial capital expenditure of €1,695,350 and would produce 300 tonnes per annum (tpa), which would progressively increase to 700 tpa based on additional mussel lines and mature farming practices. This study found an Internal Rate of Return (IRR) of 19.78% and a Net Present Value (NPV) of €3,479,178 over 25 years. This IRR is higher than rates projected by comparable studies. It is attributed to the strong technological maturity, mobility, scalability, mechanization, and production offered by the Smart Farm. Through pursuing this farm and similar mussel farming projects, investors can help advance humanity across domains including employment, sustainability, ocean decarbonization, the ocean economy, nutrition science, maritime engineering, aquaculture, world food supply, </w:t>
      </w:r>
    </w:p>
    <w:p>
      <w:pPr/>
      <w:r>
        <w:rPr>
          <w:b/>
        </w:rPr>
        <w:t>POSSIBLE 2023:</w:t>
      </w:r>
      <w:r>
        <w:t xml:space="preserve"> The Blue Beret — https://doi.org/10.5204/mcj.2969</w:t>
      </w:r>
    </w:p>
    <w:p>
      <w:pPr/>
      <w:r>
        <w:rPr>
          <w:b/>
        </w:rPr>
        <w:t>Shared claim-specific concepts:</w:t>
      </w:r>
      <w:r>
        <w:t xml:space="preserve"> use, blue, time, general; EU scope visible. This is a provisional connection, not an outcome finding.</w:t>
      </w:r>
    </w:p>
    <w:p>
      <w:pPr>
        <w:pStyle w:val="SourceNote"/>
      </w:pPr>
      <w:r>
        <w:rPr>
          <w:b/>
        </w:rPr>
        <w:t>Available abstract (not full text):</w:t>
      </w:r>
      <w:r>
        <w:t xml:space="preserve"> When we think of United Nations (UN) peacekeepers, the first image that is conjured in our mind is of an individual sporting a blue helmet or a blue beret (fig. 1). While simple and uncomplicated, these blue accessories represent an expression and an embodiment resembling that of a warrior, sent to bring peace to conflict-torn communities. UN peacekeeping first conceptually emerged in 1948 in the wake of the Arab-Israeli war that ensued following the United Kingdom’s relinquishing of its mandate over Palestine, and the proclamation of the State of Israel. “Forged in the crucible of practical diplomacy” (Rubinstein 16), unarmed military observers were deployed to Palestine to monitor the hostilities and mediate armistice agreements between Israel and its Arab neighbours. This operation, the United Nations Truce Supervision Organization (UNTSO), significantly exemplified the diplomatic and observational capabilities of military men, in line with the UN Charter’s objectives of international peace and security, setting henceforth a basic archetype for international peacekeeping. It was only in 1956, however, that peacekeeping formally emerged when armed UN forces deployed to Egypt to supervise the withdrawal of forces occupying the Suez Canal (informally known as the ‘Second Arab-Israeli’ war). Here, the formation of UN peacekeeping represented an international pacifying mechanism </w:t>
      </w:r>
    </w:p>
    <w:p>
      <w:pPr/>
      <w:r>
        <w:rPr>
          <w:b/>
        </w:rPr>
        <w:t>POSSIBLE 2023:</w:t>
      </w:r>
      <w:r>
        <w:t xml:space="preserve"> EU Involvement in the Financing of the Blue Economy — https://doi.org/10.33067/se.1.2023.7</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he prospect of implementing the concept of the Blue Economy is currently still at a relatively early stage of achieving its full potential. The purpose of this paper is to present the idea of the ocean economy and selected aspects of its financing, including initiatives undertaken in this area by the European Union. Part I characterises the Blue Economy, part II discusses selected aspects of financing a sustainable ocean economy, and part III analyses the institutional approach, particularly within the EU, to the financing process of this type of economy. The descriptive method was used to conduct this study, and the available literature on and legal acts related to the subject of the article has been analysed. The undertakings made so far, especially by the EU, are impressive and, moreover, are driving global activity towards the sustainable financing of the Blue Economy. It is becoming a fundamental priority to realise the governments’ and international organisations’ aspirations to make economies independent from excessive carbon emissions, to counteract water degradation, overfishing, and shrinking drinking water resources. In the long term, it is important to develop coherence between the actions of national entities and the sources and methods of international funding. This is in order to develop a mutual, global good of innovative fi nancing of coastal projects for susta</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2022:</w:t>
      </w:r>
      <w:r>
        <w:t xml:space="preserve"> Informing the design of urban green and blue spaces through an understanding of Europeans' usage and preferences — https://doi.org/10.1002/pan3.10419</w:t>
      </w:r>
    </w:p>
    <w:p>
      <w:pPr/>
      <w:r>
        <w:rPr>
          <w:b/>
        </w:rPr>
        <w:t>Shared claim-specific concepts:</w:t>
      </w:r>
      <w:r>
        <w:t xml:space="preserve"> blue, aimed, time; EU scope visible. This is a provisional connection, not an outcome finding.</w:t>
      </w:r>
    </w:p>
    <w:p>
      <w:pPr>
        <w:pStyle w:val="SourceNote"/>
      </w:pPr>
      <w:r>
        <w:rPr>
          <w:b/>
        </w:rPr>
        <w:t>Available abstract (not full text):</w:t>
      </w:r>
      <w:r>
        <w:t xml:space="preserve"> Abstract In light of global climate change and the biodiversity crisis, making cities more resilient through an adjusted design of urban green and blue spaces is crucial. Nature‐based solutions help address these challenges while providing opportunities for nature experiences, and providing cultural ecosystem services that support public health. The COVID‐19 pandemic and its associated stressors highlighted the interrelated socio‐ecological services provided by nature‐based solutions like urban green and blue spaces. This pan‐European study therefore aimed to enhance the socio‐ecological understanding of green and blue spaces to support their design and management. Using an online survey, green and blue space preferences, usage, and pandemic‐related changes in greenspace visit and outdoor recreation frequencies were examined. Greenspace visit and outdoor recreation frequencies were associated with respondents’ ( N = 584 from 15 countries) geographical location, dominant type of neighbourhood greenspace and greenspace availability during the pandemic, but not greenspace perceptions or sociodemographic background. Greenspace visit and outdoor recreation frequencies were generally high; however, Southern Europeans reported lower greenspace visit and outdoor recreation frequencies both before and during the pandemic than Northern Europeans. Many Southern Europeans also reported hav</w:t>
      </w:r>
    </w:p>
    <w:p>
      <w:pPr/>
      <w:r>
        <w:rPr>
          <w:b/>
        </w:rPr>
        <w:t>POSSIBLE 2021:</w:t>
      </w:r>
      <w:r>
        <w:t xml:space="preserve"> Current Status of the Algae Production Industry in Europe: An Emerging Sector of the Blue Bioeconomy — https://doi.org/10.3389/fmars.2020.626389</w:t>
      </w:r>
    </w:p>
    <w:p>
      <w:pPr/>
      <w:r>
        <w:rPr>
          <w:b/>
        </w:rPr>
        <w:t>Shared claim-specific concepts:</w:t>
      </w:r>
      <w:r>
        <w:t xml:space="preserve"> blue, dimension, strategy, yet; EU scope visible. This is a provisional connection, not an outcome finding.</w:t>
      </w:r>
    </w:p>
    <w:p>
      <w:pPr>
        <w:pStyle w:val="SourceNote"/>
      </w:pPr>
      <w:r>
        <w:rPr>
          <w:b/>
        </w:rPr>
        <w:t>Available abstract (not full text):</w:t>
      </w:r>
      <w:r>
        <w:t xml:space="preserve">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pPr/>
      <w:r>
        <w:rPr>
          <w:b/>
        </w:rPr>
        <w:t>POSSIBLE 2021:</w:t>
      </w:r>
      <w:r>
        <w:t xml:space="preserve"> Ocean resource use: building the coastal blue economy — https://doi.org/10.1007/s11160-021-09636-0</w:t>
      </w:r>
    </w:p>
    <w:p>
      <w:pPr/>
      <w:r>
        <w:rPr>
          <w:b/>
        </w:rPr>
        <w:t>Shared claim-specific concepts:</w:t>
      </w:r>
      <w:r>
        <w:t xml:space="preserve"> use, blue; EU scope not established. This is a provisional connection, not an outcome finding.</w:t>
      </w:r>
    </w:p>
    <w:p>
      <w:pPr>
        <w:pStyle w:val="SourceNote"/>
      </w:pPr>
      <w:r>
        <w:rPr>
          <w:b/>
        </w:rPr>
        <w:t>Available abstract (not full text):</w:t>
      </w:r>
      <w:r>
        <w:t xml:space="preserve">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pPr/>
      <w:r>
        <w:rPr>
          <w:b/>
        </w:rPr>
        <w:t>POSSIBLE 2021:</w:t>
      </w:r>
      <w:r>
        <w:t xml:space="preserve"> 6G Vision, Value, Use Cases and Technologies From European 6G Flagship Project Hexa-X — https://doi.org/10.1109/access.2021.3130030</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pPr/>
      <w:r>
        <w:rPr>
          <w:b/>
        </w:rPr>
        <w:t>POSSIBLE 2021:</w:t>
      </w:r>
      <w:r>
        <w:t xml:space="preserve"> Large variability in response to projected climate and land‐use changes among European bumblebee species — https://doi.org/10.1111/gcb.15780</w:t>
      </w:r>
    </w:p>
    <w:p>
      <w:pPr/>
      <w:r>
        <w:rPr>
          <w:b/>
        </w:rPr>
        <w:t>Shared claim-specific concepts:</w:t>
      </w:r>
      <w:r>
        <w:t xml:space="preserve"> use, project, direct; EU scope visible. This is a provisional connection, not an outcome finding.</w:t>
      </w:r>
    </w:p>
    <w:p>
      <w:pPr>
        <w:pStyle w:val="SourceNote"/>
      </w:pPr>
      <w:r>
        <w:rPr>
          <w:b/>
        </w:rPr>
        <w:t>Available abstract (not full text):</w:t>
      </w:r>
      <w:r>
        <w:t xml:space="preserve"> Bumblebees (Bombus ssp.) are among the most important wild pollinators, but many species have suffered from range declines. Land-use change, agricultural intensification, and the associated loss of habitat have been identified as drivers of the observed dynamics, amplifying pressures from a changing climate. However, these drivers are still underrepresented in continental-scale species distribution modeling. Here, we project the potential distribution of 47 European bumblebee species in 2050 and 2080 from existing European-scale distribution maps, based on a set of climate and land-use futures simulated through a regional integrated assessment model and consistent with the RCP-SSP scenario framework. We compare projections including (1) dynamic climate and constant land use (CLIM); (2) constant climate and dynamic land use (LU); and (3) dynamic climate and dynamic land use (COMB) to disentangle the effects of land use and climate change on future habitat suitability, providing the first rigorous continental-scale assessment of linked climate-land-use futures for bumblebees. We find that direct climate impacts, although variable across species, dominate responses for most species, especially under high-end climate change scenarios (up to 99% range loss). Land-use impacts are highly variable across species and scenarios, ranging from severe losses (up to 75% loss) to considerable</w:t>
      </w:r>
    </w:p>
    <w:p>
      <w:pPr>
        <w:pStyle w:val="Heading2"/>
      </w:pPr>
      <w:r>
        <w:t>958.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2023:</w:t>
      </w:r>
      <w:r>
        <w:t xml:space="preserve"> The impacts of the European chemical industry on the planetary boundaries — https://doi.org/10.1016/j.spc.2023.12.006</w:t>
      </w:r>
    </w:p>
    <w:p>
      <w:pPr/>
      <w:r>
        <w:rPr>
          <w:b/>
        </w:rPr>
        <w:t>Shared claim-specific concepts:</w:t>
      </w:r>
      <w:r>
        <w:t xml:space="preserve"> chemical, industry, based; EU scope visible. This is a provisional connection, not an outcome finding.</w:t>
      </w:r>
    </w:p>
    <w:p>
      <w:pPr>
        <w:pStyle w:val="SourceNote"/>
      </w:pPr>
      <w:r>
        <w:rPr>
          <w:b/>
        </w:rPr>
        <w:t>Available abstract (not full text):</w:t>
      </w:r>
      <w:r>
        <w:t xml:space="preserve"> The European chemical industry plays a crucial role in the economy, manufacturing thousands of products that find applications across many sectors. On the other hand, this sector is also one of the largest energy consumers, and emits significant amounts of greenhouse gases, together with toxic, bioaccumulative and persistent chemicals. Acknowledging the need for a shift towards a greener industry model, this contribution assesses the absolute sustainability level of this sector by contrasting the impacts it causes with the ecological capacity of the planet, as given by the planetary boundaries framework. Results indicate that impacts incurred by the European chemical industry transgress CO2-based thresholds significantly, with burdens on atmospheric CO2 concentration, energy imbalance, and ocean acidification being 15, 16 and 6 times larger than planetary limits. The biosphere integrity boundary, assessed here based on functional diversity, is also transgressed by 3 %. The five chemicals with the highest production volume, namely ammonia, polypropylene, high-density polyethylene, styrene, and benzene, are responsible for around 50 % of impacts in all the planetary boundaries. This suggests that they should be the target of dedicated research and policies. Finally, the study assesses a set of improvement pathways for the European chemical industry to become sustainable. It is fo</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2020:</w:t>
      </w:r>
      <w:r>
        <w:t xml:space="preserve"> Novel foods in the European Union: Scientific requirements and challenges of the risk assessment process by the European Food Safety Authority — https://doi.org/10.1016/j.foodres.2020.109515</w:t>
      </w:r>
    </w:p>
    <w:p>
      <w:pPr/>
      <w:r>
        <w:rPr>
          <w:b/>
        </w:rPr>
        <w:t>Shared claim-specific concepts:</w:t>
      </w:r>
      <w:r>
        <w:t xml:space="preserve"> challenges, based, made, derived; EU scope visible. This is a provisional connection, not an outcome finding.</w:t>
      </w:r>
    </w:p>
    <w:p>
      <w:pPr>
        <w:pStyle w:val="SourceNote"/>
      </w:pPr>
      <w:r>
        <w:rPr>
          <w:b/>
        </w:rPr>
        <w:t>Available abstract (not full text):</w:t>
      </w:r>
      <w:r>
        <w:t xml:space="preserve"> The European Food Safety Authority (EFSA) has been involved in the risk assessment of novel foods since 2003. The implementation of the current novel food regulation in 2018 rendered EFSA the sole entity of the European Union responsible for such safety evaluations. The risk assessment is based on the data submitted by applicants in line with the scientific requirements described in the respective EFSA guidance document. The present work aims to elaborate on the rationale behind the scientific questions raised during the risk assessment of novel foods, with a focus on complex mixtures and whole foods. Novel foods received by EFSA in 2003-2019 were screened and clustered by nature and complexity. The requests for additional or supplementary information raised by EFSA during all risk assessments were analyzed for identifying reoccurring issues. In brief, it is shown that applications concern mainly novel foods derived from plants, microorganisms, fungi, algae, and animals. A plethora of requests relates to the production process, the compositional characterization of the novel food, and the evaluation of the product's toxicological profile. Recurring issues related to specific novel food categories were noted. The heterogeneous nature and the variable complexity of novel foods emphasize the challenge to tailor aspects of the evaluation approach to the characteristics of each indi</w:t>
      </w:r>
    </w:p>
    <w:p>
      <w:pPr/>
      <w:r>
        <w:rPr>
          <w:b/>
        </w:rPr>
        <w:t>POSSIBLE 2018:</w:t>
      </w:r>
      <w:r>
        <w:t xml:space="preserve"> Food safety challenges and One Health within Europe — https://doi.org/10.1186/s13028-017-0355-3</w:t>
      </w:r>
    </w:p>
    <w:p>
      <w:pPr/>
      <w:r>
        <w:rPr>
          <w:b/>
        </w:rPr>
        <w:t>Shared claim-specific concepts:</w:t>
      </w:r>
      <w:r>
        <w:t xml:space="preserve"> challenges, industry, based; EU scope visible. This is a provisional connection, not an outcome finding.</w:t>
      </w:r>
    </w:p>
    <w:p>
      <w:pPr>
        <w:pStyle w:val="SourceNote"/>
      </w:pPr>
      <w:r>
        <w:rPr>
          <w:b/>
        </w:rPr>
        <w:t>Available abstract (not full text):</w:t>
      </w:r>
      <w:r>
        <w:t xml:space="preserve"> This review discusses food safety aspects of importance from a One Health perspective, focusing on Europe. Using examples of food pathogen/food commodity combinations, spread of antimicrobial resistance in the food web and the risk of transmission of zoonotic pathogens in a circular system, it demonstrates how different perspectives are interconnected. The chosen examples all show the complexity of the food system and the necessity of using a One Health approach. Food safety resources should be allocated where they contribute most One Health benefits. Data on occurrence and disease burden and knowledge of source attribution are crucial in assessing costs and benefits of control measures. Future achievements in food safety, public health and welfare will largely be based on how well politicians, researchers, industry, national agencies and other stakeholders manage to collaborate using the One Health approach. It can be concluded that closer cooperation between different disciplines is necessary to avoid silo thinking when addressing important food safety challenges. The importance of this is often mentioned, but more proof of concept is needed by the research community.</w:t>
      </w:r>
    </w:p>
    <w:p>
      <w:pPr>
        <w:pStyle w:val="Heading2"/>
      </w:pPr>
      <w:r>
        <w:t>959.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960.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2024:</w:t>
      </w:r>
      <w:r>
        <w:t xml:space="preserve"> Researchers at Risk: An Update on National-level Actions in Europe 2024 (Inspireurope+) — https://doi.org/10.5281/zenodo.17361729</w:t>
      </w:r>
    </w:p>
    <w:p>
      <w:pPr/>
      <w:r>
        <w:rPr>
          <w:b/>
        </w:rPr>
        <w:t>Shared claim-specific concepts:</w:t>
      </w:r>
      <w:r>
        <w:t xml:space="preserve"> national, science, number, aim, initiatives; EU scope visible. This is a provisional connection, not an outcome finding.</w:t>
      </w:r>
    </w:p>
    <w:p>
      <w:pPr>
        <w:pStyle w:val="SourceNote"/>
      </w:pPr>
      <w:r>
        <w:rPr>
          <w:b/>
        </w:rPr>
        <w:t>Available abstract (not full text):</w:t>
      </w:r>
      <w:r>
        <w:t xml:space="preserve"> Academic freedom and institutional autonomy are currently under pressure in many countries around the world. The initial Inspireurope mapping report and the first report on national-level initiatives in Europe have already pointed out that the number of researchers at risk largely exceeds the available support structures. In the last two years, the contributors to this report have witnessed an increasing number of applications by researchers at risk. Attacks on the academic freedom of scholars and university students continue to curtail academic freedom by limiting what can and cannot be said in and out of classrooms, and additionally by encouraging self-censorship. They affect staff and students alike and range from loss of life and liberty to loss of professional standing, and employment. In some countries, this results from war or armed conflict, as in Ukraine, Sudan, or the Middle East. In other countries, the attacks follow in the trail of increasingly oppressive and authoritarian regimes. Afghanistan, Iran or Russia may serve as examples of countries where the risk of prosecution faced by scholars and students, and, particularly by female academics, has continued to be on the rise. For decades such attacks have been met by NGOs, higher education institutions and government-backed programs offering temporary positions for researchers who have been forced to flee oppressive</w:t>
      </w:r>
    </w:p>
    <w:p>
      <w:pPr/>
      <w:r>
        <w:rPr>
          <w:b/>
        </w:rPr>
        <w:t>POSSIBLE 2024:</w:t>
      </w:r>
      <w:r>
        <w:t xml:space="preserve"> Why European Social Sciences and Humanities Advocacy Matters — https://doi.org/10.1017/pub.2024.49</w:t>
      </w:r>
    </w:p>
    <w:p>
      <w:pPr/>
      <w:r>
        <w:rPr>
          <w:b/>
        </w:rPr>
        <w:t>Shared claim-specific concepts:</w:t>
      </w:r>
      <w:r>
        <w:t xml:space="preserve"> national, science, shaping, article; EU scope visible. This is a provisional connection, not an outcome finding.</w:t>
      </w:r>
    </w:p>
    <w:p>
      <w:pPr>
        <w:pStyle w:val="SourceNote"/>
      </w:pPr>
      <w:r>
        <w:rPr>
          <w:b/>
        </w:rPr>
        <w:t>Available abstract (not full text):</w:t>
      </w:r>
      <w:r>
        <w:t xml:space="preserve"> Abstract This article highlights the importance of European scientists, particularly in the social sciences and humanities, in shaping global research policies through active advocacy in science policy. The European Union (EU) is a significant transnational research funder, largely through its multiannual Framework Programmes, such as Horizon Europe (2020–2027), which support collaboration between researchers worldwide. This funding drives innovation and societal benefit, influencing global standards on topics like sustainability, cultural heritage, and data protection. The EU’s openness to consultation makes it unique compared to countries like the United States and China, where funding decisions are decided top-down by governments and policymakers. Thus, European humanities and social science researchers have a unique opportunity to shape the political research agenda. To strengthen this advocacy, three practical steps await researchers: (1) understand national research narratives, (2) ensure research impacts policymaking, and (3) support international research organisations.</w:t>
      </w:r>
    </w:p>
    <w:p>
      <w:pPr/>
      <w:r>
        <w:rPr>
          <w:b/>
        </w:rPr>
        <w:t>POSSIBLE 2023:</w:t>
      </w:r>
      <w:r>
        <w:t xml:space="preserve"> Incidence of Lyme Borreliosis in Europe from National Surveillance Systems (2005–2020) — https://doi.org/10.1089/vbz.2022.0071</w:t>
      </w:r>
    </w:p>
    <w:p>
      <w:pPr/>
      <w:r>
        <w:rPr>
          <w:b/>
        </w:rPr>
        <w:t>Shared claim-specific concepts:</w:t>
      </w:r>
      <w:r>
        <w:t xml:space="preserve"> national, poland, within, number; EU scope visible. This is a provisional connection, not an outcome finding.</w:t>
      </w:r>
    </w:p>
    <w:p>
      <w:pPr>
        <w:pStyle w:val="SourceNote"/>
      </w:pPr>
      <w:r>
        <w:rPr>
          <w:b/>
        </w:rPr>
        <w:t>Available abstract (not full text):</w:t>
      </w:r>
      <w:r>
        <w:t xml:space="preserve"> Background: Lyme borreliosis (LB) is the most common tick-borne disease in Europe. To inform European intervention strategies, including vaccines under development, we conducted a systematic review for LB incidence. Methods: We searched publicly available surveillance data reporting LB incidence in Europe from 2005 to 2020. Population-based incidence was calculated as the number of reported LB cases per 100,000 population per year (PPY), and high LB risk areas (incidence &gt;10/100,00 PPY for 3 consecutive years) were estimated. Results: Estimates of LB incidence were available for 25 countries. There was marked heterogeneity in surveillance systems (passive vs. mandatory and sentinel sites vs. national), case definitions (clinical, laboratory, or both), and testing methods, limiting comparison across countries. Twenty-one countries (84%) had passive surveillance; four (Belgium, France, Germany, and Switzerland) used sentinel surveillance systems. Only four countries (Bulgaria, France, Poland, and Romania) used standardized case definitions recommended by European public health institutions. Among all surveillance systems and considering any case definition for the most recently available years, national LB incidences were highest in Estonia, Lithuania, Slovenia, and Switzerland (&gt;100 cases/100,000 PPY), followed by France and Poland (40–80/100,000 PPY), and Finland and Latvia (20</w:t>
      </w:r>
    </w:p>
    <w:p>
      <w:pPr/>
      <w:r>
        <w:rPr>
          <w:b/>
        </w:rPr>
        <w:t>POSSIBLE 2023:</w:t>
      </w:r>
      <w:r>
        <w:t xml:space="preserve"> Opposition Discourse About National Recovery and Resilience Plans. Poland and Hungary Compared — https://doi.org/10.33067/se.1.2023.2</w:t>
      </w:r>
    </w:p>
    <w:p>
      <w:pPr/>
      <w:r>
        <w:rPr>
          <w:b/>
        </w:rPr>
        <w:t>Shared claim-specific concepts:</w:t>
      </w:r>
      <w:r>
        <w:t xml:space="preserve"> national, poland, within, article, polish; EU scope visible. This is a provisional connection, not an outcome finding.</w:t>
      </w:r>
    </w:p>
    <w:p>
      <w:pPr>
        <w:pStyle w:val="SourceNote"/>
      </w:pPr>
      <w:r>
        <w:rPr>
          <w:b/>
        </w:rPr>
        <w:t>Available abstract (not full text):</w:t>
      </w:r>
      <w:r>
        <w:t xml:space="preserve"> Although the governments of Poland and Hungary seem to similarly contest the conditionality mechanism that requires one to respect the rule of law when using EU funds, there are differences between these countries. They become visible in the framing of political communication as regards the opposition parties. This article seeks to identify the grounds of the competition from parliamentary opposition of the governments in relation to the EU Recovery and Resilience Fund. An analysis of 2021’s parliamentary debates on national recovery and resilience plans revealed three communication frameworks: the financial frame (the policy dimension), the quality of governance frame (the politics dimension), and the European integration frame which shaped domestic political rivalry (the polity dimension). Differences within these framings between the narrative of the Polish and Hungarian opposition resulted from different institutional and structural contexts. The study confirms the importance of national opposition parties for the analysis of the process of European integration. The existence of a liberal opposition may promote the salience of the topic of European integration in domestic political debate.</w:t>
      </w:r>
    </w:p>
    <w:p>
      <w:pPr/>
      <w:r>
        <w:rPr>
          <w:b/>
        </w:rPr>
        <w:t>POSSIBLE 2022:</w:t>
      </w:r>
      <w:r>
        <w:t xml:space="preserve"> Building National Open Science Cloud Initiatives (NOSCIs) in Southeast Europe — https://doi.org/10.15291/pubmet.3952</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The National Initiatives for Open Science in Europe (NI4OS Europe) project supports the development of the European Open Science Cloud (EOSC) by contributing to its portfolio of services, by involving national and regional research communities in the EOSC governance, by strengthening open science (OS) practices, and by promoting the FAIR principles (Macan et al., 2020; Garavelli et al., 2021) to help build the infrastructure and create a favourable environment for open and intensive scholarly communication.The main instrument in achieving this is the network of 15 national Open Science Cloud Initiatives (NOSCIs) established in the partner countries as national-level coalitions of Open Science stakeholders that have a prominent role and interest in the EOSC. The concept of NOSCI has been developed in response to the specific traits and challenges in the targeted region, based on complex and multilayered analyses of stakeholders, policies, and local contexts (Toli et al., 2020). Inclusive by nature, NOSCIs connect stakeholders from across the research lifecycle at the national level and provide not only a testbed for the formulation of OS policies but also a forum for knowledge dissemination and sharing.Drawing on a secondary analysis of the abundant data collected and materials produced during the project, this presentation focuses on the challenges identified as the NOSCIs were</w:t>
      </w:r>
    </w:p>
    <w:p>
      <w:pPr/>
      <w:r>
        <w:rPr>
          <w:b/>
        </w:rPr>
        <w:t>POSSIBLE 2021:</w:t>
      </w:r>
      <w:r>
        <w:t xml:space="preserve"> Effectiveness of research grants funded by European Research Council and Polish National Science Centre — https://doi.org/10.1016/j.joi.2021.101243</w:t>
      </w:r>
    </w:p>
    <w:p>
      <w:pPr/>
      <w:r>
        <w:rPr>
          <w:b/>
        </w:rPr>
        <w:t>Shared claim-specific concepts:</w:t>
      </w:r>
      <w:r>
        <w:t xml:space="preserve"> funded, national, science, centre, poland, project; EU scope visible. This is a provisional connection, not an outcome finding.</w:t>
      </w:r>
    </w:p>
    <w:p>
      <w:pPr>
        <w:pStyle w:val="SourceNote"/>
      </w:pPr>
      <w:r>
        <w:rPr>
          <w:b/>
        </w:rPr>
        <w:t>Available abstract (not full text):</w:t>
      </w:r>
      <w:r>
        <w:t xml:space="preserve"> We propose WEIG – Wroclaw Effectiveness Indicator for Grants. This new scientometric measure is an aggregated quality measure of scientific papers published with the grant support divided by its budget. Several WEIG variations have been considered with respect to journal quality indicators like Impact Factor (IF), Article Influence Score (AIS), and Average Journal Impact Factor Percentile (IF%). Projects from two public agencies were analysed utilising the WEIG measures: European Research Council (ERC) and National Science Centre, Poland (NSC). The studies revealed that NSC grants are overall more effective than ERC ones, constantly 2–3 times more for Physical Sciences and Engineering (PE). There are four NSC panels distinctively more efficient than their counterparts in ERC: Mathematics (PE1), Fundamental Constituents of Matter (PE2), Computer Science and Informatics (PE6) and Universe Sciences (PE9). The most efficient NSC funding schemes are Etiuda, Preludium, and Harmonia. The higher average effectiveness of programmes aimed at young scientists has been observed: the ERC Starting Grants have greater effectiveness than Advanced Grants. Both agencies manage to keep overall efficiency regardless of increasing their budget over the years. Limitations of the proposed approach to assess project effectiveness, especially for Social Sciences and Humanities, are also discussed.</w:t>
      </w:r>
    </w:p>
    <w:p>
      <w:pPr/>
      <w:r>
        <w:rPr>
          <w:b/>
        </w:rPr>
        <w:t>POSSIBLE 2021:</w:t>
      </w:r>
      <w:r>
        <w:t xml:space="preserve"> Science funding under an authoritarian regime: Portugal's National Education Board and the European ‘academic landscape’ in the interwar period — https://doi.org/10.1098/rsnr.2021.0037</w:t>
      </w:r>
    </w:p>
    <w:p>
      <w:pPr/>
      <w:r>
        <w:rPr>
          <w:b/>
        </w:rPr>
        <w:t>Shared claim-specific concepts:</w:t>
      </w:r>
      <w:r>
        <w:t xml:space="preserve"> national, science, number, article; EU scope visible. This is a provisional connection, not an outcome finding.</w:t>
      </w:r>
    </w:p>
    <w:p>
      <w:pPr>
        <w:pStyle w:val="SourceNote"/>
      </w:pPr>
      <w:r>
        <w:rPr>
          <w:b/>
        </w:rPr>
        <w:t>Available abstract (not full text):</w:t>
      </w:r>
      <w:r>
        <w:t xml:space="preserve"> This article enables an understanding of scientific practice and funding in a peripheral country ruled by a dictatorship in the interwar period, and thus provides the basis for comparison with studies of other non-democratic regimes. We examine the work of Portugal's Junta de Educação Nacional (National Education Board), which administered and provided funding for science from 1929 to 1936. Our findings show that this public body encouraged the participation of the Portuguese academic community in international science networks. This scenario contrasts with the dominant historiographical thesis that between the wars the Portuguese academic community did not play a role in international networks, and that it lacked state support. Also in contrast with the dominant historiography, whose ideological bias meant that a simplified picture was portrayed, whereas the reality is shown to be complex, this study demonstrates that the Portuguese dictatorial state sought to foster scientific progress through the Junta, but that resentment among academics and the resistance of universities to innovation meant that this objective was only partially achieved. Finally, the memory of a number of scientists has been rescued from oblivion, as we show how their political stance during the dictatorship led to their being ignored by historiographers when democracy prevailed.</w:t>
      </w:r>
    </w:p>
    <w:p>
      <w:pPr/>
      <w:r>
        <w:rPr>
          <w:b/>
        </w:rPr>
        <w:t>POSSIBLE 2021:</w:t>
      </w:r>
      <w:r>
        <w:t xml:space="preserve"> Current Wildland Fire Patterns and Challenges in Europe: A Synthesis of National Perspectives — https://doi.org/10.1177/11786221211028185</w:t>
      </w:r>
    </w:p>
    <w:p>
      <w:pPr/>
      <w:r>
        <w:rPr>
          <w:b/>
        </w:rPr>
        <w:t>Shared claim-specific concepts:</w:t>
      </w:r>
      <w:r>
        <w:t xml:space="preserve"> funded, national, science, within, aim, article; EU scope visible. This is a provisional connection, not an outcome finding.</w:t>
      </w:r>
    </w:p>
    <w:p>
      <w:pPr>
        <w:pStyle w:val="SourceNote"/>
      </w:pPr>
      <w:r>
        <w:rPr>
          <w:b/>
        </w:rPr>
        <w:t>Available abstract (not full text):</w:t>
      </w:r>
      <w:r>
        <w:t xml:space="preserve"> Changes in climate, land use, and land management impact the occurrence and severity of wildland fires in many parts of the world. This is particularly evident in Europe, where ongoing changes in land use have strongly modified fire patterns over the last decades. Although satellite data by the European Forest Fire Information System provide large-scale wildland fire statistics across European countries, there is still a crucial need to collect and summarize in-depth local analysis and understanding of the wildland fire condition and associated challenges across Europe. This article aims to provide a general overview of the current wildland fire patterns and challenges as perceived by national representatives, supplemented by national fire statistics (2009–2018) across Europe. For each of the 31 countries included, we present a perspective authored by scientists or practitioners from each respective country, representing a wide range of disciplines and cultural backgrounds. The authors were selected from members of the COST Action “Fire and the Earth System: Science &amp; Society” funded by the European Commission with the aim to share knowledge and improve communication about wildland fire. Where relevant, a brief overview of key studies, particular wildland fire challenges a country is facing, and an overview of notable recent fire events are also presented. Key perceived challen</w:t>
      </w:r>
    </w:p>
    <w:p>
      <w:pPr/>
      <w:r>
        <w:rPr>
          <w:b/>
        </w:rPr>
        <w:t>POSSIBLE 2020:</w:t>
      </w:r>
      <w:r>
        <w:t xml:space="preserve"> Thematic variations and auctorial foresights: The French National Funding Agency (Agence Nationale de la Recherche - ANR) (Biennial Conference of the European Society for the History of Science, London, UK, 14/09/2018-17/09/2018) — https://openalex.org/W3096754253</w:t>
      </w:r>
    </w:p>
    <w:p>
      <w:pPr/>
      <w:r>
        <w:rPr>
          <w:b/>
        </w:rPr>
        <w:t>Shared claim-specific concepts:</w:t>
      </w:r>
      <w:r>
        <w:t xml:space="preserve"> national, science, shaping; EU scope visible. This is a provisional connection, not an outcome finding.</w:t>
      </w:r>
    </w:p>
    <w:p>
      <w:pPr>
        <w:pStyle w:val="SourceNote"/>
      </w:pPr>
      <w:r>
        <w:rPr>
          <w:b/>
        </w:rPr>
        <w:t>Available abstract (not full text):</w:t>
      </w:r>
      <w:r>
        <w:t xml:space="preserve"> The French national funding agency (Agence Nationale de la Recherche - ANR) represents since 2005 the “delegation authority” of the public science system. As being the principal national funding agency, ANR influence regarding research communities is a mix of huge prestige, when getting a grant, and a collective satiric humour shared on Twitter (Agence Nationale de l'Excellence Scientifique, @Excelleagence). In between, the fact and the fears that ANR role in shaping and reconfiguring French research priorities is regularly debated. Based on the analysis of ANR data (2006 to 2016), recently released, our proposition aims to observe how and to what extent, ANR research priorities are impacting French communities research agenda. From a comparison between ANR thematic, grants thematic and research prospective expressed then realised by researchers themselves, the analysis will provide elements to depict the way researchers are adapting to the ANR authority. Our approach is both quantitative and qualitative and takes into account the longitudinal dimension to observe the variations occurred during 2006-2016 period.</w:t>
      </w:r>
    </w:p>
    <w:p>
      <w:pPr/>
      <w:r>
        <w:rPr>
          <w:b/>
        </w:rPr>
        <w:t>POSSIBLE 2020:</w:t>
      </w:r>
      <w:r>
        <w:t xml:space="preserve"> What Large-Scale Publication and Citation Data Tell Us About International Research Collaboration in Europe: Changing National Patterns in Global Contexts — https://doi.org/10.1080/03075079.2020.1749254</w:t>
      </w:r>
    </w:p>
    <w:p>
      <w:pPr/>
      <w:r>
        <w:rPr>
          <w:b/>
        </w:rPr>
        <w:t>Shared claim-specific concepts:</w:t>
      </w:r>
      <w:r>
        <w:t xml:space="preserve"> national, science, within; EU scope visible. This is a provisional connection, not an outcome finding.</w:t>
      </w:r>
    </w:p>
    <w:p>
      <w:pPr>
        <w:pStyle w:val="SourceNote"/>
      </w:pPr>
      <w:r>
        <w:rPr>
          <w:b/>
        </w:rPr>
        <w:t>Available abstract (not full text):</w:t>
      </w:r>
      <w:r>
        <w:t xml:space="preserve"> This study analyzes the unprecedented growth of international research collaboration (IRC) in Europe during the period 2009–2018 in terms of co-authorship and citation distribution of globally indexed publications. The results reveal the dynamics of this change, as growing IRC moves European systems away from institutional collaboration, with stable and strong national collaboration. Domestic output has remained flat. The growth in publications in major European systems is almost entirely attributable to internationally co-authored papers. A comparison of trends within the four complementary collaboration modes clearly reveals that the growth of European science is driven solely by internationally co-authored papers. With the emergence of global network science, which diminishes the role of national policies in IRC and foregrounds the role of scientists, the individual scientist’s willingness to collaborate internationally is central to advancing IRC in Europe. Scientists collaborate internationally when it enhances their academic prestige, scientific recognition, and access to research funding, as indicated by the credibility cycle, prestige maximization, and global science models. The study encompassed 5.5 million Scopus-indexed articles, including 2.2 million involving international collaboration.</w:t>
      </w:r>
    </w:p>
    <w:p>
      <w:pPr>
        <w:pStyle w:val="Heading2"/>
      </w:pPr>
      <w:r>
        <w:t>961.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4.N. Round table: Policy options for fixing the global and European health and care workforce-crisis — https://doi.org/10.1093/eurpub/ckad160.260</w:t>
      </w:r>
    </w:p>
    <w:p>
      <w:pPr/>
      <w:r>
        <w:rPr>
          <w:b/>
        </w:rPr>
        <w:t>Shared claim-specific concepts:</w:t>
      </w:r>
      <w:r>
        <w:t xml:space="preserve"> include, there, countries; EU scope visible. This is a provisional connection, not an outcome finding.</w:t>
      </w:r>
    </w:p>
    <w:p>
      <w:pPr>
        <w:pStyle w:val="SourceNote"/>
      </w:pPr>
      <w:r>
        <w:rPr>
          <w:b/>
        </w:rPr>
        <w:t>Available abstract (not full text):</w:t>
      </w:r>
      <w:r>
        <w:t xml:space="preserve"> Abstract Globally and within Europe, health systems are plagued by health and care workforce (HCWF) shortages, regional maldistribution, and skill-gaps. Insufficient training pipelines for health and care workers (HCW), attrition, discouraging working conditions and, in Europe, the demographics are contributing factors to the HCWF-crisis. This situation has been aggravated by the impact of COVID-19 and its immense burden on HCW's resulting in a further thinning of the HCWF. Despite these challenges, there are also many lessons to be learned from the various COVID-19 health systems responses in countries on improving the situation for the HCWF. National responses to COVID-19 showed that the health and care workforce is capable of hugely positive change. The lessons generated offer powerful evidence on how best to develop a sustainable workforce that is equipped to deliver on the ambitions of universal health coverage (UHC), health security and the sustainable development goals (SDGs). There is, however, no simple solution or silver bullet that can resolve the crisis. The response needs to be multi-faceted. Therefore, in this roundtable discussion, we will review policy options bundled in three sets: The first set focuses on the working conditions, which include: changing the scope of practice and introducing team-based roles; increasing the use of technology and digital tools; a</w:t>
      </w:r>
    </w:p>
    <w:p>
      <w:pPr/>
      <w:r>
        <w:rPr>
          <w:b/>
        </w:rPr>
        <w:t>POSSIBLE 2022:</w:t>
      </w:r>
      <w:r>
        <w:t xml:space="preserve"> The clean development mechanism in Eastern Europe: an in-depth exploration — https://doi.org/10.1007/s11356-022-20988-3</w:t>
      </w:r>
    </w:p>
    <w:p>
      <w:pPr/>
      <w:r>
        <w:rPr>
          <w:b/>
        </w:rPr>
        <w:t>Shared claim-specific concepts:</w:t>
      </w:r>
      <w:r>
        <w:t xml:space="preserve"> cdm, clean, mechanism, there, countries, carry; EU scope visible. This is a provisional connection, not an outcome finding.</w:t>
      </w:r>
    </w:p>
    <w:p>
      <w:pPr>
        <w:pStyle w:val="SourceNote"/>
      </w:pPr>
      <w:r>
        <w:rPr>
          <w:b/>
        </w:rPr>
        <w:t>Available abstract (not full text):</w:t>
      </w:r>
      <w:r>
        <w:t xml:space="preserve">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pPr/>
      <w:r>
        <w:rPr>
          <w:b/>
        </w:rPr>
        <w:t>POSSIBLE 2020:</w:t>
      </w:r>
      <w:r>
        <w:t xml:space="preserve"> Preventing Harmful Internet Use-Related Addiction Problems in Europe: A Literature Review and Policy Options — https://doi.org/10.3390/ijerph17113797</w:t>
      </w:r>
    </w:p>
    <w:p>
      <w:pPr/>
      <w:r>
        <w:rPr>
          <w:b/>
        </w:rPr>
        <w:t>Shared claim-specific concepts:</w:t>
      </w:r>
      <w:r>
        <w:t xml:space="preserve"> countries, detailed; EU scope visible. This is a provisional connection, not an outcome finding.</w:t>
      </w:r>
    </w:p>
    <w:p>
      <w:pPr>
        <w:pStyle w:val="SourceNote"/>
      </w:pPr>
      <w:r>
        <w:rPr>
          <w:b/>
        </w:rPr>
        <w:t>Available abstract (not full text):</w:t>
      </w:r>
      <w:r>
        <w:t xml:space="preserve"> Internet use-related addiction problems are increasingly being recognized on a European scale due to international health organizations considering gaming addiction. In April 2013, the American Psychiatric Association recognized Internet Gaming Disorder in the fifth Diagnostic and Statistical Manual of Mental Disorders, and in April 2018, the World Health Organization included Gaming Disorder in the eleventh International Classification of Diseases. However, findings on these problems within this period are lacking in Europe, and a preventive approach is missing globally. A detailed critical literature review was conducted using PsycINFO and Web of Science in this five-year period. A total of 19 studies were reviewed and problems identified were: generalized Internet addiction and online gaming and gambling addictions across seven European countries (i.e., Spain, Germany, France, Italy, Greece, The Netherlands, and Denmark). The individuals with problematic use were found to be educated adolescents, usually young males with comorbid disorders, and gaming and gambling disorders were implicated in the most severe cases. Cognitive behavioral therapy was the main treatment, sometimes combined with a systemic approach for adolescents. Prevalence, high-risk populations, and factors contributing to these addiction problems are discussed, and a set of policy options are developed for t</w:t>
      </w:r>
    </w:p>
    <w:p>
      <w:pPr/>
      <w:r>
        <w:rPr>
          <w:b/>
        </w:rPr>
        <w:t>POSSIBLE 2020:</w:t>
      </w:r>
      <w:r>
        <w:t xml:space="preserve"> The demographic challenge of Eastern Europe and potential policy options — https://doi.org/10.4337/9781839109508.00028</w:t>
      </w:r>
    </w:p>
    <w:p>
      <w:pPr/>
      <w:r>
        <w:rPr>
          <w:b/>
        </w:rPr>
        <w:t>Shared claim-specific concepts:</w:t>
      </w:r>
      <w:r>
        <w:t xml:space="preserve"> include, countries; EU scope visible. This is a provisional connection, not an outcome finding.</w:t>
      </w:r>
    </w:p>
    <w:p>
      <w:pPr>
        <w:pStyle w:val="SourceNote"/>
      </w:pPr>
      <w:r>
        <w:rPr>
          <w:b/>
        </w:rPr>
        <w:t>Available abstract (not full text):</w:t>
      </w:r>
      <w:r>
        <w:t xml:space="preserve"> Eastern Europe’s economic convergence toward the West has come at a high cost. Outward migration to Western Europe was a key driver, and negative demographic trends are increasingly becoming a major socioeconomic challenge. Population projections foresee a drop in the number of inhabitants of Eastern European countries of about 5 per cent to 15 per cent over the next three decades. The available policy options to counter these demographic trends include: increasing productivity, scaling up immigration, raising activity rates or elevating fertility rates. However, the room for more female employment is rather limited in the region; the level of labour-saving robotization is still quite low, when compared to Western Europe; and most countries in the region are not well prepared for the digital economy. Successfully implementing new policies to counter adverse demographic trends also depends on the functioning of institutions. Unfortunately, recent years have seen a rise of authoritarianism and state capture in Eastern Europe, with an anti-immigration stance and negative implications for institutional quality.</w:t>
      </w:r>
    </w:p>
    <w:p>
      <w:pPr/>
      <w:r>
        <w:rPr>
          <w:b/>
        </w:rPr>
        <w:t>POSSIBLE 2020:</w:t>
      </w:r>
      <w:r>
        <w:t xml:space="preserve"> Reforestation policy has constrained options for managing risks on public forests — https://doi.org/10.1139/cjfr-2019-0422</w:t>
      </w:r>
    </w:p>
    <w:p>
      <w:pPr/>
      <w:r>
        <w:rPr>
          <w:b/>
        </w:rPr>
        <w:t>Shared claim-specific concepts:</w:t>
      </w:r>
      <w:r>
        <w:t xml:space="preserve"> include, sense; EU scope visible. This is a provisional connection, not an outcome finding.</w:t>
      </w:r>
    </w:p>
    <w:p>
      <w:pPr>
        <w:pStyle w:val="SourceNote"/>
      </w:pPr>
      <w:r>
        <w:rPr>
          <w:b/>
        </w:rPr>
        <w:t>Available abstract (not full text):</w:t>
      </w:r>
      <w:r>
        <w:t xml:space="preserve"> Strict forest renewal policies in western Canada focus on replicating the stand type that was cut and projecting the growth of young stands forward using simple models based upon past growing conditions. These policies arose from European principles of sustained yield and now limit options for adaptive management at the time of investment in forest renewal of public lands. We assert that such simple and restrictive policies, combined with long-term yield predictions, give a false sense of sustainability in times of increased drought, fires, and insect and disease attacks that accompany climate change. We must undertake comprehensive changes in forest policy that incorporate disturbance in our forest management planning. This is a large task! Options include (i) zoning public forests to vary intensities of management and minimize risk; (ii) changing stand- and forest-level models to increase the diversity of forests regenerated; (iii) widening the sphere of scientific experts that can influence forest policy and risk management; and (iv) reallocating expenditures on forest renewal, protection, and management to minimize negative impacts of disturbance. Such a comprehensive overhaul of forest management will be necessary as the current assumptions of forest sustainability come under further scrutiny by the public and investors.</w:t>
      </w:r>
    </w:p>
    <w:p>
      <w:pPr/>
      <w:r>
        <w:rPr>
          <w:b/>
        </w:rPr>
        <w:t>POSSIBLE 2019:</w:t>
      </w:r>
      <w:r>
        <w:t xml:space="preserve"> Economic polarisation in Europe: Causes and policy options — https://openalex.org/W3015815101</w:t>
      </w:r>
    </w:p>
    <w:p>
      <w:pPr/>
      <w:r>
        <w:rPr>
          <w:b/>
        </w:rPr>
        <w:t>Shared claim-specific concepts:</w:t>
      </w:r>
      <w:r>
        <w:t xml:space="preserve"> countries, without; EU scope visible. This is a provisional connection, not an outcome finding.</w:t>
      </w:r>
    </w:p>
    <w:p>
      <w:pPr>
        <w:pStyle w:val="SourceNote"/>
      </w:pPr>
      <w:r>
        <w:rPr>
          <w:b/>
        </w:rPr>
        <w:t>Available abstract (not full text):</w:t>
      </w:r>
      <w:r>
        <w:t xml:space="preserve"> This study discusses the challenges economic policy-makers in Europe have to cope with in order to ensure an economically prosperous and institutionally stable community of Member States of the European Union (EU). At the analytical level, we not only document a process of multi-dimensional polarisation of EU countries, but also link the existing economic divergences with a central long-term problem, namely structural polarisation: differences in the institutional and legal embedding (e.g. in the areas of tax and corporate law, the labour market or the financial sector) and technological capabilities are a major driver of divergence in living standards between some Member States. This polarisation, which started already before the financial crisis but has intensified over the last ten years, is largely due to the global as well as European 'race for the best location'. Without coordinated and cooperative intervention by economic policy-makers, a further drifting apart of economic development paths seems unavoidable. The large differences in the production structures of the EU countries and the resulting highly unequal distribution of technological capabilities are self-reinforcing in nature and would further intensify polarisation. The present study provides proposals for a coherent European overall strategy that not only addresses existing problems and makes possible the often</w:t>
      </w:r>
    </w:p>
    <w:p>
      <w:pPr/>
      <w:r>
        <w:rPr>
          <w:b/>
        </w:rPr>
        <w:t>POSSIBLE 2019:</w:t>
      </w:r>
      <w:r>
        <w:t xml:space="preserve"> Drought Management Planning Policy: From Europe to Spain — https://doi.org/10.3390/su11071862</w:t>
      </w:r>
    </w:p>
    <w:p>
      <w:pPr/>
      <w:r>
        <w:rPr>
          <w:b/>
        </w:rPr>
        <w:t>Shared claim-specific concepts:</w:t>
      </w:r>
      <w:r>
        <w:t xml:space="preserve"> include, countries, out; EU scope visible. This is a provisional connection, not an outcome finding.</w:t>
      </w:r>
    </w:p>
    <w:p>
      <w:pPr>
        <w:pStyle w:val="SourceNote"/>
      </w:pPr>
      <w:r>
        <w:rPr>
          <w:b/>
        </w:rPr>
        <w:t>Available abstract (not full text):</w:t>
      </w:r>
      <w:r>
        <w:t xml:space="preserve"> Climate change is anticipated to exacerbate the frequency, the intensity, and the duration of droughts, especially in Mediterranean countries. This might lead to more serious water scarcity episodes and fierce competition among water users. Are we really prepared to deal efficiently with droughts and water scarcity events? This paper sheds light on this question by reviewing the evolution of European drought management planning policy, recently developed scientific and technical advances, technical guidance documents, and an extensive number of journal papers. More specifically, Spain presents an ideal context to assess how drought risk has been historically addressed because this country has periodically suffered the impacts of intense droughts and water scarcity episodes, and has developed a long track record in water legislation, hydrological planning, and drought risk management strategies. The most recent Drought Management Plans (DMPs) were approved in December 2018. These include an innovative common diagnosis system that distinguishes droughts and water scarcity situations in terms of indicators, triggers, phases, and actions. We can conclude that DMP should be a live and active document able to integrate updated knowledge. The DMP needs also to set out a clear strategy in terms of water use priorities, drought monitoring systems, and measures in each river basin in ord</w:t>
      </w:r>
    </w:p>
    <w:p>
      <w:pPr/>
      <w:r>
        <w:rPr>
          <w:b/>
        </w:rPr>
        <w:t>POSSIBLE 2018:</w:t>
      </w:r>
      <w:r>
        <w:t xml:space="preserve"> Stock option taxation: a missing piece in European innovation policy? — https://doi.org/10.1007/s11187-018-0008-6</w:t>
      </w:r>
    </w:p>
    <w:p>
      <w:pPr/>
      <w:r>
        <w:rPr>
          <w:b/>
        </w:rPr>
        <w:t>Shared claim-specific concepts:</w:t>
      </w:r>
      <w:r>
        <w:t xml:space="preserve"> option, countries, without; EU scope visible. This is a provisional connection, not an outcome finding.</w:t>
      </w:r>
    </w:p>
    <w:p>
      <w:pPr>
        <w:pStyle w:val="SourceNote"/>
      </w:pPr>
      <w:r>
        <w:rPr>
          <w:b/>
        </w:rPr>
        <w:t>Available abstract (not full text):</w:t>
      </w:r>
      <w:r>
        <w:t xml:space="preserve"> Europe continues to lag behind the USA in venture capital (VC) activity and in the creation of successful startups, and has recently been surpassed by China. This is despite the fact that many European countries have deep financial markets, strong legal institutions, and high R&amp;D spending. We point to the tax treatment of employee stock options as an explanation for the stronger growth of the US VC sector. As a response to high uncertainty and transaction costs, VC financiers have developed a model in which founders and key recruitments are compensated with stock options under complex contracts. Low tax rates on employee stock options further raise the relative returns of working and investing in innovative entrepreneurial firms, and shift financial capital and talent to that sector. We measure the effective tax on stock options in VC-backed entrepreneurial firms in a number of developed economies. Countries with lower stock option taxation have higher VC activity and more high-growth expectation entrepreneurial activity. Based on these associations and the theoretical and empirical literature, we argue that more lenient taxation of gains on employee stock options can be a strategy for European countries to catch up in entrepreneurial finance. This tax policy would narrowly target entrepreneurial startups without requiring broad tax cuts. The favorable tax treatment of stock op</w:t>
      </w:r>
    </w:p>
    <w:p>
      <w:pPr/>
      <w:r>
        <w:rPr>
          <w:b/>
        </w:rPr>
        <w:t>POSSIBLE 2018:</w:t>
      </w:r>
      <w:r>
        <w:t xml:space="preserve"> The European Court of Justice and the Policy Process — https://doi.org/10.1093/oso/9780198717775.001.0001</w:t>
      </w:r>
    </w:p>
    <w:p>
      <w:pPr/>
      <w:r>
        <w:rPr>
          <w:b/>
        </w:rPr>
        <w:t>Shared claim-specific concepts:</w:t>
      </w:r>
      <w:r>
        <w:t xml:space="preserve"> detailed, general; EU scope visible. This is a provisional connection, not an outcome finding.</w:t>
      </w:r>
    </w:p>
    <w:p>
      <w:pPr>
        <w:pStyle w:val="SourceNote"/>
      </w:pPr>
      <w:r>
        <w:rPr>
          <w:b/>
        </w:rPr>
        <w:t>Available abstract (not full text):</w:t>
      </w:r>
      <w:r>
        <w:t xml:space="preserve"> Abstract The European Court of Justice is one of the most important actors in the process of European integration. Political science still struggles to understand its significance, with recent scholarship emphasizing how closely rulings reflect member states’ preferences. In this book, I argue that the implications of the supremacy and direct effect of the EU law have still been overlooked. As it constitutionalizes an intergovernmental treaty, the European Union has a detailed set of policies inscribed into its constitution that are extensively shaped by the Court’s case law. If rulings have constitutional status, their impact is considerable, even if the Court only occasionally diverts from member states’ preferences. By focusing on the four freedoms of goods, services, persons, and capital, as well as citizenship rights, the book analyses how the Court’s development of case law has ascribed a broad meaning to these freedoms. The constitutional status of this case law constrains policymaking at the European and member-state levels. Different case studies show how major pieces of EU legislation cannot move beyond case law but have to codify its principles. Judicialization is important in the EU. It also directly constrains member-state policies. Court rulings oriented towards individual disputes are difficult to translate into general policies, and into administrative practices</w:t>
      </w:r>
    </w:p>
    <w:p>
      <w:pPr/>
      <w:r>
        <w:rPr>
          <w:b/>
        </w:rPr>
        <w:t>POSSIBLE 2015:</w:t>
      </w:r>
      <w:r>
        <w:t xml:space="preserve"> Residential heating with wood and coal: health impacts and policy options in Europe and North America — https://openalex.org/W2240014870</w:t>
      </w:r>
    </w:p>
    <w:p>
      <w:pPr/>
      <w:r>
        <w:rPr>
          <w:b/>
        </w:rPr>
        <w:t>Shared claim-specific concepts:</w:t>
      </w:r>
      <w:r>
        <w:t xml:space="preserve"> without, emissions; EU scope visible. This is a provisional connection, not an outcome finding.</w:t>
      </w:r>
    </w:p>
    <w:p>
      <w:pPr>
        <w:pStyle w:val="SourceNote"/>
      </w:pPr>
      <w:r>
        <w:rPr>
          <w:b/>
        </w:rPr>
        <w:t>Available abstract (not full text):</w:t>
      </w:r>
      <w:r>
        <w:t xml:space="preserve"> Residential heating with wood and coal is an important source of ambient (outdoor) air pollution; it can also cause substantial indoor air pollution through either direct exposure or infiltration from outside.Evidence links emissions from wood and coal heating to serious health effects such as respiratory and cardiovascular mortality and morbidity.Wood and coal burning also emit carcinogenic compounds.The results presented in the report indicate that it will be difficult to tackle outdoor air pollution problems in many parts of the world without addressing this source sector.A better understanding of the role of wood biomass heating as a major source of globally harmful outdoor air pollutants (especially fine particles) is needed among national, regional and local administrations, politicians and the public at large.</w:t>
      </w:r>
    </w:p>
    <w:p>
      <w:pPr/>
      <w:r>
        <w:rPr>
          <w:b/>
        </w:rPr>
        <w:t>POSSIBLE 2015:</w:t>
      </w:r>
      <w:r>
        <w:t xml:space="preserve"> Towards a European Policy for Rewilding — https://doi.org/10.1007/978-3-319-12039-3_11</w:t>
      </w:r>
    </w:p>
    <w:p>
      <w:pPr/>
      <w:r>
        <w:rPr>
          <w:b/>
        </w:rPr>
        <w:t>Shared claim-specific concepts:</w:t>
      </w:r>
      <w:r>
        <w:t xml:space="preserve"> option, include; EU scope visible. This is a provisional connection, not an outcome finding.</w:t>
      </w:r>
    </w:p>
    <w:p>
      <w:pPr>
        <w:pStyle w:val="SourceNote"/>
      </w:pPr>
      <w:r>
        <w:rPr>
          <w:b/>
        </w:rPr>
        <w:t>Available abstract (not full text):</w:t>
      </w:r>
      <w:r>
        <w:t xml:space="preserve"> Millions of hectares of agricultural land could be released from human pressure within the next decades in Europe. Rewilding presents a great opportunity to restore the abandoned landscapes, along with the biodiversity and the supply of those ecosystem services that were until now restricted to the remaining few wild areas of the continent. As a result, rewilding is in a dire need of a policy framework in the European Union, to promote its implementation as a land management option, to evaluate its outcomes, and to share knowledge and good practices among stakeholders. In this chapter, we review the history of conservation policies and protected areas in the EU, the implementation of the Natura 2000 Network being one of the major milestones. We also discuss the role of conservation in sectoral activities such as agriculture. We present the growing importance given to wilderness areas and the inclusion of wilderness management into European policies. We then evaluate the contribution of wilderness and rewilding to the achievement of global and EU targets. Finally, recommendations are made to efficiently and adequately include rewilding into the European framework of conservation policies.</w:t>
      </w:r>
    </w:p>
    <w:p>
      <w:pPr>
        <w:pStyle w:val="Heading2"/>
      </w:pPr>
      <w:r>
        <w:t>962.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2025:</w:t>
      </w:r>
      <w:r>
        <w:t xml:space="preserve"> Prevalence of Glaucoma in Europe and Projections to 2050 — https://doi.org/10.1016/j.ophtha.2025.06.002</w:t>
      </w:r>
    </w:p>
    <w:p>
      <w:pPr/>
      <w:r>
        <w:rPr>
          <w:b/>
        </w:rPr>
        <w:t>Shared claim-specific concepts:</w:t>
      </w:r>
      <w:r>
        <w:t xml:space="preserve"> current, estimates, predict;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r>
        <w:rPr>
          <w:b/>
        </w:rPr>
        <w:t>POSSIBLE 2020:</w:t>
      </w:r>
      <w:r>
        <w:t xml:space="preserve"> Methane emissions from natural gas and LNG imports: An increasingly urgent issue for the future of gas in Europe — https://openalex.org/W3129629820</w:t>
      </w:r>
    </w:p>
    <w:p>
      <w:pPr/>
      <w:r>
        <w:rPr>
          <w:b/>
        </w:rPr>
        <w:t>Shared claim-specific concepts:</w:t>
      </w:r>
      <w:r>
        <w:t xml:space="preserve"> import, gas, already, there, countries; EU scope visible. This is a provisional connection, not an outcome finding.</w:t>
      </w:r>
    </w:p>
    <w:p>
      <w:pPr>
        <w:pStyle w:val="SourceNote"/>
      </w:pPr>
      <w:r>
        <w:rPr>
          <w:b/>
        </w:rPr>
        <w:t>Available abstract (not full text):</w:t>
      </w:r>
      <w:r>
        <w:t xml:space="preserve"> Pressure is mounting on the natural gas and LNG community to reduce methane emissions and this is most urgent in EU countries following the adoption of much tougher greenhouse gas reduction targets of 2030 and the publication of the European Commission's Methane Strategy. With rapidly declining indigenous EU production and therefore rising import dependence, there are increasing calls for emissions from imported pipeline gas and LNG to be quantified and based on actual measurements, as opposed to standard emission factors. The Methane Strategy promises to be a significant milestone in that process. Companies which are supplying (or intending to supply) natural gas to the EU - the largest global import market for pipeline gas and a very significant market for LNG - would be well advised to pay close attention to how the regulation of methane emissions is unfolding, and to make an immediate and positive response. Failure to do so could accelerate the demise of natural gas in European energy balances faster than would otherwise have been the case, and shorten the time available for transition to decarbonised gases - specifically hydrogen - using existing natural gas infrastructure. This EU initiative will (and arguably already has) attracted attention from non-EU governments and companies involved in global gas and LNG trade. We have already seen deliveries of 'carbon neutral' LNG</w:t>
      </w:r>
    </w:p>
    <w:p>
      <w:pPr/>
      <w:r>
        <w:rPr>
          <w:b/>
        </w:rPr>
        <w:t>POSSIBLE 2020:</w:t>
      </w:r>
      <w:r>
        <w:t xml:space="preserve"> The dilemma of gas importing and exporting countries — https://doi.org/10.26889/9781784671624</w:t>
      </w:r>
    </w:p>
    <w:p>
      <w:pPr/>
      <w:r>
        <w:rPr>
          <w:b/>
        </w:rPr>
        <w:t>Shared claim-specific concepts:</w:t>
      </w:r>
      <w:r>
        <w:t xml:space="preserve"> gas, there, especially, countries; EU scope not established. This is a provisional connection, not an outcome finding.</w:t>
      </w:r>
    </w:p>
    <w:p>
      <w:pPr>
        <w:pStyle w:val="SourceNote"/>
      </w:pPr>
      <w:r>
        <w:rPr>
          <w:b/>
        </w:rPr>
        <w:t>Available abstract (not full text):</w:t>
      </w:r>
      <w:r>
        <w:t xml:space="preserve"> At a time of low prices and an apparent surplus of supply in the global gas market it is important to try and identify new sources of demand, especially for LNG. In this respect, one interesting theme is how some countries are switching from their traditional role as LNG exporters to becoming importers of gas as their indigenous demand grows. Ieda Gomes explores this concept using the case studies of Malaysia and Indonesia, and she attempts to identify the key drivers behind the shifts in the gas economies of both countries. Significantly, though, there are also a few countries where gas has an existing role in the domestic energy economy, and which have historically imported gas, which have now found new gas resources and are starting to export. A prime example of this is Argentina, where the discovery of large shale gas resources has led to a gas surplus and the opportunity to generate export revenues. This paper analyses this example as a contrast to the first two and examines whether it is a sustainable situation. Overall, we believe that this paper can provide some important insights into the factors which can influence the position of gas in a country’s energy balance, especially if the prevalence of hydrocarbons has created a dependency via subsidies prices or other politically-driven strategies. There are a number of other examples around the world where the demands of </w:t>
      </w:r>
    </w:p>
    <w:p>
      <w:pPr/>
      <w:r>
        <w:rPr>
          <w:b/>
        </w:rPr>
        <w:t>POSSIBLE 2019:</w:t>
      </w:r>
      <w:r>
        <w:t xml:space="preserve"> Assessment of IMERG Precipitation Estimates over Europe — https://doi.org/10.3390/rs11212470</w:t>
      </w:r>
    </w:p>
    <w:p>
      <w:pPr/>
      <w:r>
        <w:rPr>
          <w:b/>
        </w:rPr>
        <w:t>Shared claim-specific concepts:</w:t>
      </w:r>
      <w:r>
        <w:t xml:space="preserve"> estimates, there, eastern; EU scope visible. This is a provisional connection, not an outcome finding.</w:t>
      </w:r>
    </w:p>
    <w:p>
      <w:pPr>
        <w:pStyle w:val="SourceNote"/>
      </w:pPr>
      <w:r>
        <w:rPr>
          <w:b/>
        </w:rPr>
        <w:t>Available abstract (not full text):</w:t>
      </w:r>
      <w:r>
        <w:t xml:space="preserve"> This paper evaluates Integrated Multi-Satellite Retrievals from GPM (IMERG-F) over Europe for the period 2014–2018 in order to evaluate application of the retrievals to hydrology. IMERG-F is compared with a large pan-European precipitation dataset built on rain gauge stations, i.e., the ENSEMBLES OBServation (E-OBS) gridded dataset. Although there is overall agreement in the spatial distribution of mean precipitation (R2 = 0.8), important discrepancies are revealed in mountainous regions, specifically the Alps, Pyrenees, west coast of the British Isles, Scandinavia, the Iberian and Italian peninsulas, and the Adriatic coastline. The results show that the strongest contributors to poor performance are pixels where IMERG-F has no gauges available for adjustment. If rain gauges are available, IMERG-F yields results similar to those of the surface observations, although the performance varies by region. However, even accounting for gauge adjustment, IMERG-F systematically underestimates precipitation in the Alps and Scandinavian mountains. Conversely, IMERG-F overestimates precipitation in the British Isles, Italian Peninsula, Adriatic coastline, and eastern European plains. Additionally, the research shows that gauge adjustment worsens the spatial gradient of precipitation because of the coarse resolution of Global Precipitation Climatology Centre data.</w:t>
      </w:r>
    </w:p>
    <w:p>
      <w:pPr/>
      <w:r>
        <w:rPr>
          <w:b/>
        </w:rPr>
        <w:t>POSSIBLE 2018:</w:t>
      </w:r>
      <w:r>
        <w:t xml:space="preserve"> Predicting Medical Students’ Current Attitudes Toward Psychiatry, Interest in Psychiatry, and Estimated Likelihood of Working in Psychiatry: A Cross-Sectional Study in Four European Countries — https://doi.org/10.3389/fpsyt.2018.00049</w:t>
      </w:r>
    </w:p>
    <w:p>
      <w:pPr/>
      <w:r>
        <w:rPr>
          <w:b/>
        </w:rPr>
        <w:t>Shared claim-specific concepts:</w:t>
      </w:r>
      <w:r>
        <w:t xml:space="preserve"> current, need, there, countries; EU scope visible. This is a provisional connection, not an outcome finding.</w:t>
      </w:r>
    </w:p>
    <w:p>
      <w:pPr>
        <w:pStyle w:val="SourceNote"/>
      </w:pPr>
      <w:r>
        <w:rPr>
          <w:b/>
        </w:rPr>
        <w:t>Available abstract (not full text):</w:t>
      </w:r>
      <w:r>
        <w:t xml:space="preserve"> Psychiatry as a medical discipline is becoming increasingly important due to the high and increasing world-wide burden associated with mental disorders. Surprisingly, however, there is a lack of young academics choosing psychiatry as a career. Previous evidence on medical students’ perspectives is abundant but has methodological shortcomings. Therefore, by attempting to avoid previous shortcomings, we aimed to contribute to a better understanding of the predictors of the following three outcome variables: current medical students’ attitudes towards psychiatry, interest in psychiatry and estimated likelihood of working in psychiatry. The sample consisted of N = 1356 medical students at 45 medical schools in Germany and Austria as well as regions of Switzerland and Hungary with a German language curriculum. We used snowball sampling via Facebook with a link to an online questionnaire as recruitment procedure. Snowball sampling is based on referrals made among people. This questionnaire included a German version of the Attitudes Towards Psychiatry Scale (ATP-30-G) and further variables related to outcomes and potential predictors in terms of sociodemography (e.g. gender) or medical training (e.g. curriculum-related experience with psychiatry). Data were analysed by linear mixed models and further regression models. On average, students had a positive attitude to and high general i</w:t>
      </w:r>
    </w:p>
    <w:p>
      <w:pPr/>
      <w:r>
        <w:rPr>
          <w:b/>
        </w:rPr>
        <w:t>POSSIBLE 2018:</w:t>
      </w:r>
      <w:r>
        <w:t xml:space="preserve"> Annual number of candidates for transcatheter aortic valve implantation per country: current estimates and future projections — https://doi.org/10.1093/eurheartj/ehy107</w:t>
      </w:r>
    </w:p>
    <w:p>
      <w:pPr/>
      <w:r>
        <w:rPr>
          <w:b/>
        </w:rPr>
        <w:t>Shared claim-specific concepts:</w:t>
      </w:r>
      <w:r>
        <w:t xml:space="preserve"> current, estimates, predict, countries; EU scope visible. This is a provisional connection, not an outcome finding.</w:t>
      </w:r>
    </w:p>
    <w:p>
      <w:pPr>
        <w:pStyle w:val="SourceNote"/>
      </w:pPr>
      <w:r>
        <w:rPr>
          <w:b/>
        </w:rPr>
        <w:t>Available abstract (not full text):</w:t>
      </w:r>
      <w:r>
        <w:t xml:space="preserve"> Aims: The number of transcatheter aortic valve implantation (TAVI) procedures is rapidly increasing. This has a major impact on health care resource planning. However, the annual numbers of TAVI candidates per country are unknown. The aim of this study was to estimate current and future number of annual TAVI candidates in 27 European countries, the USA and Canada. Methods and results: Systematic literature searches and meta-analyses were performed on aortic stenosis (AS) epidemiology and decision-making in severe symptomatic AS. The incidence rate of severe AS was determined. Findings were combined with population statistics and integrated into a model employing Monte Carlo simulations to predict the annual number of TAVI candidates. Various future scenarios and sensitivity analyses were explored. Data from 37 studies (n = 26 402) informed the model. The calculated incidence rate of severe AS was 4.4‰/year [95% confidence interval (95% CI) 3.0-6.1‰] in patients ≥65 years. AS-related symptoms were present in 68.3% (95% CI 60.8-75.9%) of patients with severe AS. Despite having severe symptomatic AS, 41.6% (95% CI 36.9-46.3%) did not undergo surgical aortic valve replacement. Of the non-operated patients, 61.7% (95% CI 42.0-81.7%) received TAVI. The model predicted 114 757 (95% CI 69 380-172 799) European and 58 556 (95% CI 35 631-87 738) Northern-American TAVI candidates annually</w:t>
      </w:r>
    </w:p>
    <w:p>
      <w:pPr/>
      <w:r>
        <w:rPr>
          <w:b/>
        </w:rPr>
        <w:t>POSSIBLE 2018:</w:t>
      </w:r>
      <w:r>
        <w:t xml:space="preserve"> The Influence of Imports and Exports on the Evolution of Greenhouse Gas Emissions: The Case for the European Union — https://doi.org/10.3390/en11071644</w:t>
      </w:r>
    </w:p>
    <w:p>
      <w:pPr/>
      <w:r>
        <w:rPr>
          <w:b/>
        </w:rPr>
        <w:t>Shared claim-specific concepts:</w:t>
      </w:r>
      <w:r>
        <w:t xml:space="preserve"> import, gas, countries; EU scope visible. This is a provisional connection, not an outcome finding.</w:t>
      </w:r>
    </w:p>
    <w:p>
      <w:pPr>
        <w:pStyle w:val="SourceNote"/>
      </w:pPr>
      <w:r>
        <w:rPr>
          <w:b/>
        </w:rPr>
        <w:t>Available abstract (not full text):</w:t>
      </w:r>
      <w:r>
        <w:t xml:space="preserve"> Part of a country’s emissions are caused by producing goods for export to other countries, while a country’s own needs also generate emissions in other parts of the world that are associated with the products they import. Our interest was to evaluate the influence of imports and exports of goods and services on greenhouse gas (GHG) emissions in a data panel composed of 30 countries over 21 years. We included as control variables the gross domestic product per capita, employment, an indicator of the economic crisis and a non-linear trend and inferences were performed using a Bayesian framework. The results showed that it was the exports and imports of goods, rather than services, that were related to CO2-equivalent levels. Exports and imports of goods were very inelastic, albeit less so in the case of the index. In summary, the more a country imports, the higher their GHG emission levels are. However, it is important to point out that when employment rates are higher more energy is consumed and GHG emissions are greater. In richer countries, GDP per capita is the factor that best explains why their emissions are so high.</w:t>
      </w:r>
    </w:p>
    <w:p>
      <w:pPr/>
      <w:r>
        <w:rPr>
          <w:b/>
        </w:rPr>
        <w:t>POSSIBLE 2018:</w:t>
      </w:r>
      <w:r>
        <w:t xml:space="preserve"> Anticipatory strategies for Eastern European natural gas security — https://doi.org/10.15781/t2gh9bt0w</w:t>
      </w:r>
    </w:p>
    <w:p>
      <w:pPr/>
      <w:r>
        <w:rPr>
          <w:b/>
        </w:rPr>
        <w:t>Shared claim-specific concepts:</w:t>
      </w:r>
      <w:r>
        <w:t xml:space="preserve"> import, gas, russian, eastern, countries; EU scope visible. This is a provisional connection, not an outcome finding.</w:t>
      </w:r>
    </w:p>
    <w:p>
      <w:pPr>
        <w:pStyle w:val="SourceNote"/>
      </w:pPr>
      <w:r>
        <w:rPr>
          <w:b/>
        </w:rPr>
        <w:t>Available abstract (not full text):</w:t>
      </w:r>
      <w:r>
        <w:t xml:space="preserve"> Countries asymmetrically dependent on the import of energy resources are potentially vulnerable to coercion from supplier states. Anticipating the potential for coercion, asymmetrically dependent states will make infrastructure improvements to substitute supply if the cost of these improvements is lower than the potential cost of coercion. This thesis provides a pricing framework for members of the European Union to estimate substitution strategies in order to reduce dependence on and the potential for coercion by Russia. Currently, Russia provides roughly 30% of the EU’s natural gas consumption and half of this gas is transported by pipeline through Ukraine in order to secure gas security. In 2006 and 2009, supply disruptions occurred due to a breakdown in negotiations between Russia and Ukraine, and EU members responded by constructing the necessary infrastructure to substitute Russian gas transited through Ukraine. The infrastructure improvements employed by the EU and its member states are examined to provide a pricing framework for countries still asymmetrically dependent. These strategies include LNG import facilities, new pipeline construction, reversing the flow of existing pipelines, and adding natural gas storage. This thesis applies the pricing framework to Finland and Bulgaria to evaluate which strategies would be most effective in terms of cost and the provision of</w:t>
      </w:r>
    </w:p>
    <w:p>
      <w:pPr>
        <w:pStyle w:val="Heading2"/>
      </w:pPr>
      <w:r>
        <w:t>963.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Fifty Years to Think Your Futures — https://doi.org/10.1007/978-3-031-66100-6_4</w:t>
      </w:r>
    </w:p>
    <w:p>
      <w:pPr/>
      <w:r>
        <w:rPr>
          <w:b/>
        </w:rPr>
        <w:t>Shared claim-specific concepts:</w:t>
      </w:r>
      <w:r>
        <w:t xml:space="preserve"> foresight, projects, used, companies, together, specific;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Climate change adaptation measures in the context of health promotion using participatory foresight — https://doi.org/10.1093/eurpub/ckae144.477</w:t>
      </w:r>
    </w:p>
    <w:p>
      <w:pPr/>
      <w:r>
        <w:rPr>
          <w:b/>
        </w:rPr>
        <w:t>Shared claim-specific concepts:</w:t>
      </w:r>
      <w:r>
        <w:t xml:space="preserve"> foresight, across, process, regional; EU scope visible. This is a provisional connection, not an outcome finding.</w:t>
      </w:r>
    </w:p>
    <w:p>
      <w:pPr>
        <w:pStyle w:val="SourceNote"/>
      </w:pPr>
      <w:r>
        <w:rPr>
          <w:b/>
        </w:rPr>
        <w:t>Available abstract (not full text):</w:t>
      </w:r>
      <w:r>
        <w:t xml:space="preserve"> Abstract Issue/problem Climate change is regarded as a big threat to human health (WHO 2023), requiring action to prepare our health systems. Using participatory foresight approach has the potential to increase capacities of communities and to sustain future health. The process is easily transferable to other regions or countries across Europe. The work is part of the Austrian “Climate-Resilience-Check Health for regions and municipalities”. Description of the problem We present an innovative qualitative method to contribute to a climate change and health vulnerability and adaptation assessment following WHO’s guidelines. Questions answered by the project were: • What measures can be taken to shape the regions’ potential for a health-promoting lifestyle and to increase climate resilience? • Does participatory foresight represent a well-suited method to develop climate adaptation measures which address local needs? Taking place between 10/23 to 12/23, the participatory foresight process consisted of (1) a foresight-workshop facilitating development of adaptation measures through the creation of personas and (2) intervention boards, which gave the broader population the opportunity to vote for measures developed in the workshop. The aim of the approach was to identify measures that receive approval within the population. Results The participatory foresight process highlighted the</w:t>
      </w:r>
    </w:p>
    <w:p>
      <w:pPr/>
      <w:r>
        <w:rPr>
          <w:b/>
        </w:rPr>
        <w:t>POSSIBLE 2023:</w:t>
      </w:r>
      <w:r>
        <w:t xml:space="preserve"> Scenario Development Using Foresight Studies — https://doi.org/10.5281/zenodo.7944509</w:t>
      </w:r>
    </w:p>
    <w:p>
      <w:pPr/>
      <w:r>
        <w:rPr>
          <w:b/>
        </w:rPr>
        <w:t>Shared claim-specific concepts:</w:t>
      </w:r>
      <w:r>
        <w:t xml:space="preserve"> foresight, used, across, process, tools; EU scope visible. This is a provisional connection, not an outcome finding.</w:t>
      </w:r>
    </w:p>
    <w:p>
      <w:pPr>
        <w:pStyle w:val="SourceNote"/>
      </w:pPr>
      <w:r>
        <w:rPr>
          <w:b/>
        </w:rPr>
        <w:t>Available abstract (not full text):</w:t>
      </w:r>
      <w:r>
        <w:t xml:space="preserve">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pPr/>
      <w:r>
        <w:rPr>
          <w:b/>
        </w:rPr>
        <w:t>POSSIBLE 2022:</w:t>
      </w:r>
      <w:r>
        <w:t xml:space="preserve"> Surveillance and Foresight Process of the Sustainable City Context: Innovation Potential Niches and Trends at the European Level — https://doi.org/10.3390/su14148795</w:t>
      </w:r>
    </w:p>
    <w:p>
      <w:pPr/>
      <w:r>
        <w:rPr>
          <w:b/>
        </w:rPr>
        <w:t>Shared claim-specific concepts:</w:t>
      </w:r>
      <w:r>
        <w:t xml:space="preserve"> foresight, projects, process, important, also, them; EU scope visible. This is a provisional connection, not an outcome finding.</w:t>
      </w:r>
    </w:p>
    <w:p>
      <w:pPr>
        <w:pStyle w:val="SourceNote"/>
      </w:pPr>
      <w:r>
        <w:rPr>
          <w:b/>
        </w:rPr>
        <w:t>Available abstract (not full text):</w:t>
      </w:r>
      <w:r>
        <w:t xml:space="preserve"> Over the last decades, the environmental situation of the planet has worsened. Much of the pollution and energy consumption is attributed to cities, which are expected to increase in size and population in the coming years. It is therefore necessary to develop systems to make them more sustainable and resilient. In this regard, different agendas, strategies, and regulations have been published, such as the 2030 Agenda. The current research carried out a surveillance and foresight process at the European level in the field of the sustainable city, analyzing actions accomplished, ongoing, or forthcoming from 2014 to the present (2020) and coming years. The objective is to identify the potential niches and opportunities for decision making to develop successful projects in this sector. The study concludes that one of the most promoted themes is related to the environment, highlighting nature and biodiversity in cities to improve environmental quality and achieve the decarbonization necessary to fight climate change. Furthermore, society plays an important role, emphasizing the need to promote the population’s inclusion and empowerment. It also underlines the promotion of urban regeneration, which should include energy transition and digitalization to create smart cities, with local circular economies.</w:t>
      </w:r>
    </w:p>
    <w:p>
      <w:pPr/>
      <w:r>
        <w:rPr>
          <w:b/>
        </w:rPr>
        <w:t>POSSIBLE 2021:</w:t>
      </w:r>
      <w:r>
        <w:t xml:space="preserve"> Foresight Capacity Building — https://doi.org/10.5281/zenodo.6630549</w:t>
      </w:r>
    </w:p>
    <w:p>
      <w:pPr/>
      <w:r>
        <w:rPr>
          <w:b/>
        </w:rPr>
        <w:t>Shared claim-specific concepts:</w:t>
      </w:r>
      <w:r>
        <w:t xml:space="preserve"> foresight, used, specific, also, related;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2020:</w:t>
      </w:r>
      <w:r>
        <w:t xml:space="preserve"> Project FORESIGHT: A ten-year retrospective — https://doi.org/10.1016/j.fsisyn.2020.08.005</w:t>
      </w:r>
    </w:p>
    <w:p>
      <w:pPr/>
      <w:r>
        <w:rPr>
          <w:b/>
        </w:rPr>
        <w:t>Shared claim-specific concepts:</w:t>
      </w:r>
      <w:r>
        <w:t xml:space="preserve"> foresight, used, process, also; EU scope not established. This is a provisional connection, not an outcome finding.</w:t>
      </w:r>
    </w:p>
    <w:p>
      <w:pPr>
        <w:pStyle w:val="SourceNote"/>
      </w:pPr>
      <w:r>
        <w:rPr>
          <w:b/>
        </w:rPr>
        <w:t>Available abstract (not full text):</w:t>
      </w:r>
      <w:r>
        <w:t xml:space="preserve"> Forensic service providers fulfill a fundamental role in a criminal justice system by providing scientific information that aids investigations and court proceedings. While the focus is often on the science aspect of these organizations, the provision is also of paramount importance. Historically, calls for more and better information about forensic laboratory performance (in essence, benchmarking) have gone unheard. Project FORESIGHT, created in 2008, filled this need through engagement with the forensic management community to build a needs-based process for providing operational data that can be used to enhance a laboratory's performance. With over 10 years of industry data, Project FORESIGHT is the de facto standard for benchmarking forensic service provision.</w:t>
      </w:r>
    </w:p>
    <w:p>
      <w:pPr>
        <w:pStyle w:val="Heading2"/>
      </w:pPr>
      <w:r>
        <w:t>964.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2025:</w:t>
      </w:r>
      <w:r>
        <w:t xml:space="preserve"> Implementation of a project approach to managing the development of territorial communities in accordance with the standards and experience of the European Union — https://doi.org/10.58442/3041-1858-2025-34(63)-253-274</w:t>
      </w:r>
    </w:p>
    <w:p>
      <w:pPr/>
      <w:r>
        <w:rPr>
          <w:b/>
        </w:rPr>
        <w:t>Shared claim-specific concepts:</w:t>
      </w:r>
      <w:r>
        <w:t xml:space="preserve"> approaches, project, trends; EU scope visible. This is a provisional connection, not an outcome finding.</w:t>
      </w:r>
    </w:p>
    <w:p>
      <w:pPr>
        <w:pStyle w:val="SourceNote"/>
      </w:pPr>
      <w:r>
        <w:rPr>
          <w:b/>
        </w:rPr>
        <w:t>Available abstract (not full text):</w:t>
      </w:r>
      <w:r>
        <w:t xml:space="preserve"> The article examines the need to implement a project approach to managing the development of territorial communities in Ukraine in accordance with the standards and experience of the European Union (EU). Scientific approaches to determining the essence of project management in the public sphere are analyzed, the main trends of its development in the context of the decentralization reform are summarized. It was determined that the project-program management model is an effective tool for ensuring the effectiveness, transparency and accountability of the activities of local self-government bodies, as well as increasing the effectiveness of strategic budgeting and the effective use of international technical assistance. The regulatory-legal and institutional-administrative bases of the EU and Ukraine in the field of application of the project approach to local development have been studied. In particular, the main methodologies, approaches and tools of project management in the public sphere, as well as the principles of new public management, good governance and sustainable development, as well as the concept of multi-level governance, are analyzed. The main directions of adaptation of these standards to Ukrainian practice have been determined, namely: harmonization of regulatory and legal procedures, development of institutional capacity and personnel potential, digitalization o</w:t>
      </w:r>
    </w:p>
    <w:p>
      <w:pPr/>
      <w:r>
        <w:rPr>
          <w:b/>
        </w:rPr>
        <w:t>POSSIBLE 2025:</w:t>
      </w:r>
      <w:r>
        <w:t xml:space="preserve"> EUROPEAN STRATEGIES FOR CROSS-SECTORAL COOPERATION THROUGH A PROJECT-BASED APPROACH IN PUBLIC ADMINISTRATION — https://doi.org/10.30838/ep.197.187-192</w:t>
      </w:r>
    </w:p>
    <w:p>
      <w:pPr/>
      <w:r>
        <w:rPr>
          <w:b/>
        </w:rPr>
        <w:t>Shared claim-specific concepts:</w:t>
      </w:r>
      <w:r>
        <w:t xml:space="preserve"> focus, project, planning, support, they, further; EU scope visible. This is a provisional connection, not an outcome finding.</w:t>
      </w:r>
    </w:p>
    <w:p>
      <w:pPr>
        <w:pStyle w:val="SourceNote"/>
      </w:pPr>
      <w:r>
        <w:rPr>
          <w:b/>
        </w:rPr>
        <w:t>Available abstract (not full text):</w:t>
      </w:r>
      <w:r>
        <w:t xml:space="preserve"> The article examines modern European strategies of intersectoral cooperation in public administration, with a focus on the project approach. It discusses how these strategies promote innovation, efficiency, and transparency in decision-making. By combining theoretical perspectives with practical examples, the research identifies key mechanisms that support collaboration among public, private, and civil sectors, contributing to improved governance. Special emphasis is placed on the project approach, which fosters innovation, enhances efficiency, and ensures transparency in decision-making. These principles are crucial for improving cooperation between sectors in line with societal and organizational goals. The research examines various forms of cross-sectoral collaboration, including public-private partnerships, public-public partnerships, and tripartite partnerships, which bring together collective efforts to address complex challenges. European strategies highlight the significance of transparency in decision-making by ensuring stakeholders have access to relevant information, monitoring outcomes closely, and upholding accountability. The integration of advanced technologies such as digitalization and AI further enhances these initiatives. These technologies promote efficient resource use and facilitate real-time data sharing, enhancing sector communication. The project-based </w:t>
      </w:r>
    </w:p>
    <w:p>
      <w:pPr/>
      <w:r>
        <w:rPr>
          <w:b/>
        </w:rPr>
        <w:t>POSSIBLE 2024:</w:t>
      </w:r>
      <w:r>
        <w:t xml:space="preserve"> USING AN INDICATIVE APPROACH TO ASSESSING THE SECURITY OF ELECTRICITY SUPPLY — https://doi.org/10.15407/srenergy2024.04.132</w:t>
      </w:r>
    </w:p>
    <w:p>
      <w:pPr/>
      <w:r>
        <w:rPr>
          <w:b/>
        </w:rPr>
        <w:t>Shared claim-specific concepts:</w:t>
      </w:r>
      <w:r>
        <w:t xml:space="preserve"> focus, planning, security, further; EU scope visible. This is a provisional connection, not an outcome finding.</w:t>
      </w:r>
    </w:p>
    <w:p>
      <w:pPr>
        <w:pStyle w:val="SourceNote"/>
      </w:pPr>
      <w:r>
        <w:rPr>
          <w:b/>
        </w:rPr>
        <w:t>Available abstract (not full text):</w:t>
      </w:r>
      <w:r>
        <w:t xml:space="preserve">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pPr/>
      <w:r>
        <w:rPr>
          <w:b/>
        </w:rPr>
        <w:t>POSSIBLE 2024:</w:t>
      </w:r>
      <w:r>
        <w:t xml:space="preserve"> Project coordination success factors in European Union-funded research, development and innovation projects under the Horizon 2020 and Horizon Europe programmes — https://doi.org/10.1186/s13731-024-00363-x</w:t>
      </w:r>
    </w:p>
    <w:p>
      <w:pPr/>
      <w:r>
        <w:rPr>
          <w:b/>
        </w:rPr>
        <w:t>Shared claim-specific concepts:</w:t>
      </w:r>
      <w:r>
        <w:t xml:space="preserve"> focus, project, further, framework, environment; EU scope visible. This is a provisional connection, not an outcome finding.</w:t>
      </w:r>
    </w:p>
    <w:p>
      <w:pPr>
        <w:pStyle w:val="SourceNote"/>
      </w:pPr>
      <w:r>
        <w:rPr>
          <w:b/>
        </w:rPr>
        <w:t>Available abstract (not full text):</w:t>
      </w:r>
      <w:r>
        <w:t xml:space="preserve"> Abstract Success factors for managing European Union-funded research, development and innovation projects is rather uncharted territory and scarce publications exist, even though considering that the H2020 funding was nearly €80 billion, and Horizon Europe is €95,5 billion. Managing these types of projects has been referred to as ‘managing the unmanageable’, which indicates importance of our study. The aim of this study was to gather input via survey from both project coordinators and partners by assessing factors in five categories of good practices, skills, characteristics and tools of project management, and coordination for successful project implementation. A total of 118 persons replied to the survey who have experience from Horizon 2020 or Horizon Europe funded project(s). Over 80 factors were assessed and rated by the participants. Via standard statistical analysis, a top three lists were created for the different categories from both project partners and coordinators perspectives. A combination of 15 top success factors was formed. Furthermore, to emphasise the practicality of the results, an overarching framework was formed where we propose three prioritised key success factors that research, development, and innovation project management of should focus on. The three key success factors are communication, trust, and collaboration. Communication and trust are further </w:t>
      </w:r>
    </w:p>
    <w:p>
      <w:pPr/>
      <w:r>
        <w:rPr>
          <w:b/>
        </w:rPr>
        <w:t>POSSIBLE 2023:</w:t>
      </w:r>
      <w:r>
        <w:t xml:space="preserve"> European experience in ensuring the financial security of financial institutions — https://doi.org/10.33108/galicianvisnyk_tntu2023.05.092</w:t>
      </w:r>
    </w:p>
    <w:p>
      <w:pPr/>
      <w:r>
        <w:rPr>
          <w:b/>
        </w:rPr>
        <w:t>Shared claim-specific concepts:</w:t>
      </w:r>
      <w:r>
        <w:t xml:space="preserve"> approaches, focus, security, analyzing, environment; EU scope visible. This is a provisional connection, not an outcome finding.</w:t>
      </w:r>
    </w:p>
    <w:p>
      <w:pPr>
        <w:pStyle w:val="SourceNote"/>
      </w:pPr>
      <w:r>
        <w:rPr>
          <w:b/>
        </w:rPr>
        <w:t>Available abstract (not full text):</w:t>
      </w:r>
      <w:r>
        <w:t xml:space="preserve"> The article is dedicated to exploring the essence of financial security for financial institutions in Ukraine in the context of a state of war and providing proposals for its enhancement. In light of international events, particularly the full-scale invasion and aggression by the russian federation, the insufficient level of financial security of Ukrainian financial institutions becomes exceptionally pertinent. Therefore, identifying internal and external threats to the financial security of these institutions during wartime, along with developing a strategy to neutralize these threats and enhance the effectiveness of financial security, emerges as an extremely relevant task. The article substantiates the significance of developing a strategic plan to bolster Ukraine's financial security, with a focus on the control of financial institution activities. The author meticulously examines key aspects and methods of ensuring stability and reliability of financial institutions in the European Union. Additionally, key elements of controlling financial institution activities within the context of Ukraine's financial sector development strategy are studied and compared with methods applied in other countries around the world. The article comprehensively examines practices and strategies for financial stability of institutions in European Union countries such as the Netherlands, Belgium,</w:t>
      </w:r>
    </w:p>
    <w:p>
      <w:pPr/>
      <w:r>
        <w:rPr>
          <w:b/>
        </w:rPr>
        <w:t>POSSIBLE 2023:</w:t>
      </w:r>
      <w:r>
        <w:t xml:space="preserve"> The regulatory security state in Europe — https://doi.org/10.1080/13501763.2023.2172061</w:t>
      </w:r>
    </w:p>
    <w:p>
      <w:pPr/>
      <w:r>
        <w:rPr>
          <w:b/>
        </w:rPr>
        <w:t>Shared claim-specific concepts:</w:t>
      </w:r>
      <w:r>
        <w:t xml:space="preserve"> security, framework, analyzing; EU scope visible. This is a provisional connection, not an outcome finding.</w:t>
      </w:r>
    </w:p>
    <w:p>
      <w:pPr>
        <w:pStyle w:val="SourceNote"/>
      </w:pPr>
      <w:r>
        <w:rPr>
          <w:b/>
        </w:rPr>
        <w:t>Available abstract (not full text):</w:t>
      </w:r>
      <w:r>
        <w:t xml:space="preserve"> The ‘regulatory state’ has prevailed in almost every sector of European public policy. The provision of security, however, is still widely viewed as the domain of the ‘positive state’, which rests on political authority and autonomous capacities. Challenging this presumption, we argue that expertise – as foundation of authority – and rules – as policy instruments – also shape the provision of European security by national and, in particular, supranational ‘regulatory security states’, namely the European Union (EU). We lay out a framework for mapping the uneven and contested rise of European regulatory security states; analyzing drivers and constraints of security state reforms; and grasping the implications of the regulatory security state for the effectiveness and democratic legitimacy of European security policy-making. We advance the research program on the regulatory state and contribute to an innovative understanding of who governs security in Europe’s multi-level polity, by what means, and on what legitimatory grounds.</w:t>
      </w:r>
    </w:p>
    <w:p>
      <w:pPr/>
      <w:r>
        <w:rPr>
          <w:b/>
        </w:rPr>
        <w:t>POSSIBLE 2023:</w:t>
      </w:r>
      <w:r>
        <w:t xml:space="preserve"> Evidence of development of underutilised crops and their ecosystem services in Europe: a systematic mapping approach — https://doi.org/10.1186/s43170-023-00194-y</w:t>
      </w:r>
    </w:p>
    <w:p>
      <w:pPr/>
      <w:r>
        <w:rPr>
          <w:b/>
        </w:rPr>
        <w:t>Shared claim-specific concepts:</w:t>
      </w:r>
      <w:r>
        <w:t xml:space="preserve"> focus, security, support, further; EU scope visible. This is a provisional connection, not an outcome finding.</w:t>
      </w:r>
    </w:p>
    <w:p>
      <w:pPr>
        <w:pStyle w:val="SourceNote"/>
      </w:pPr>
      <w:r>
        <w:rPr>
          <w:b/>
        </w:rPr>
        <w:t>Available abstract (not full text):</w:t>
      </w:r>
      <w:r>
        <w:t xml:space="preserve"> Abstract Background Growing interest in agrobiodiversity and sustainable agricultural practices has stimulated debates on diversifying cropping systems, furthering the potential for the reintroduction of underutilised crops. These crops may support multiple ecosystem services and enhance food security and agricultural value chains. This study used a systematic mapping approach to collate and summarise the state of research literature addresses the research question: What is the evidence for ecosystem service provision and economic value of underutilised crops? We focused on oats, triticale, hull-less barley, narrow-leaved lupin, buckwheat and faba beans due to their limited use in Europe, their broad gene pool, ecological benefits, and nutritional value. Method Three academic databases were used to identify research articles investigating the impacts of using the six underutilised crops of interest on outcomes including breeding, agronomic traits, nutrition and health, and economic values. In addition, current and recently completed European projects were searched to identify ongoing relevant research. After screening for relevance, data was extracted from all included articles and projects and imported into a spreadsheet for cross-tabulation and to produce descriptive statistics. Results From an initial 34,522 articles identified by the searches, 1346 relevant primary research</w:t>
      </w:r>
    </w:p>
    <w:p>
      <w:pPr/>
      <w:r>
        <w:rPr>
          <w:b/>
        </w:rPr>
        <w:t>POSSIBLE 2022:</w:t>
      </w:r>
      <w:r>
        <w:t xml:space="preserve"> Chemical Looping Combustion and Gasification: A Review and a Focus on European Research Projects — https://doi.org/10.1021/acs.iecr.2c02677</w:t>
      </w:r>
    </w:p>
    <w:p>
      <w:pPr/>
      <w:r>
        <w:rPr>
          <w:b/>
        </w:rPr>
        <w:t>Shared claim-specific concepts:</w:t>
      </w:r>
      <w:r>
        <w:t xml:space="preserve"> focus, they, provide; EU scope visible. This is a provisional connection, not an outcome finding.</w:t>
      </w:r>
    </w:p>
    <w:p>
      <w:pPr>
        <w:pStyle w:val="SourceNote"/>
      </w:pPr>
      <w:r>
        <w:rPr>
          <w:b/>
        </w:rPr>
        <w:t>Available abstract (not full text):</w:t>
      </w:r>
      <w:r>
        <w:t xml:space="preserve"> Climate change has driven attention toward promoting sustainable policies and processes to contain global warming below +1.5 &amp; DEG;C. Negative emission technologies (NET)-bioenergy with carbon capture and storage in particular (BECCS)-are expected to contribute to the achievement of that target. Recent research and development concerning NET focused on chemical looping combustion (CLC) and chemical looping gasification (CLG), as they should limit cost-and energy-penalties associated with carbon capture and storage thanks to solid materials known as oxygen carriers (OCs). This review aims to provide an introductory tool about CLC and CLG and their possible role as NET if fed with biomasses to obtain BECCS. A critical overlook is proposed concerning chemical looping reactions, fuels, types of OCs, and reactor systems developed at different scales, focusing on recent and current European research projects and remarks on the subsequent developments.</w:t>
      </w:r>
    </w:p>
    <w:p>
      <w:pPr>
        <w:pStyle w:val="Heading2"/>
      </w:pPr>
      <w:r>
        <w:t>965.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2026:</w:t>
      </w:r>
      <w:r>
        <w:t xml:space="preserve"> Attainment of Steady State Algebraically: How Constant Coefficients in First and Second Order Differential Equations Reveal the Time Constant — https://doi.org/10.18260/1-2-510-57870</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Textbooks for differential equations often address transient and steady state solutions, but less frequently link the two or connect them to real world situations or laboratory results.In this paper, both types of solutions are considered, as well as the impact of the transient solution upon the full solution.This approach, as delineated, removes all of the complicated mathematics (which can now be accomplished using a calculator or computational software) in order to understand the general results, only requiring that the coefficients in the general equation be constant.The time constant, τ, is regularly taught in first order differential equations, and its relationship to the equation coefficients is widely known.However, for second order differential equations, the concept of the time constant appears to be rarely, if ever, discussed in many textbooks.Toward that end, in this work, second order differential equations with constant coefficients are examined.In addition, a typical equation for many real-world electrical and mechanical problems will be addressed by algebraically solving for τ.The steady state solution will be described in terms of the system's behavior after the transient no longer exists, i.e., after t = 5τ.This method avoids much mathematical manipulation, and has the added benefit of providing the solution for the steady state behavior of the system (t &gt; 5τ)</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r>
        <w:rPr>
          <w:b/>
        </w:rPr>
        <w:t>POSSIBLE 2024:</w:t>
      </w:r>
      <w:r>
        <w:t xml:space="preserve"> Studies of Colletotrichum species causing cowpea anthracnose in Nigeria reveal two first-time reports globally — https://doi.org/10.1007/s42161-024-01804-y</w:t>
      </w:r>
    </w:p>
    <w:p>
      <w:pPr/>
      <w:r>
        <w:rPr>
          <w:b/>
        </w:rPr>
        <w:t>Shared claim-specific concepts:</w:t>
      </w:r>
      <w:r>
        <w:t xml:space="preserve"> reveal, first, time, species, across; EU scope not established. This is a provisional connection, not an outcome finding.</w:t>
      </w:r>
    </w:p>
    <w:p>
      <w:pPr>
        <w:pStyle w:val="SourceNote"/>
      </w:pPr>
      <w:r>
        <w:rPr>
          <w:b/>
        </w:rPr>
        <w:t>Available abstract (not full text):</w:t>
      </w:r>
      <w:r>
        <w:t xml:space="preserve"> Abstract Cowpea (Vigna unguiculata (L.) Walp.) is an important multipurpose crop in various countries in sub-Saharan Africa. However, cowpea production is affected by cowpea anthracnose disease (CAD). In Nigeria, Colletotrichum lindemuthianum and C. destructivum have been described as causal agents of CAD based on morphological features. Such characterization is unreliable because many similarities among and within Colletotrichum spp. exist. In the current study, Colletotrichum spp. were isolated from leaves showing CAD symptoms collected in farmers’ fields across four states in Nigeria. Isolates were characterized using morphological keys, severity scores in detached leaf assays, and sequencing of the ITS, ACT, GADPH, TUB, ApMat, and CAL genes. Two species, C. chrysophilum and C. siamense, were identified after comparing multigene sequences. Morphological characteristics and disease symptoms were very similar for both species. However, severity scores varied among and within species. Both C. chrysophilum and C. siamense are reported for the first time as causal agents of CAD across the globe. The accurate diagnosis of organisms causing CAD in the studied region will allow developing effective management strategies.</w:t>
      </w:r>
    </w:p>
    <w:p>
      <w:pPr/>
      <w:r>
        <w:rPr>
          <w:b/>
        </w:rPr>
        <w:t>POSSIBLE 2023:</w:t>
      </w:r>
      <w:r>
        <w:t xml:space="preserve"> The Impacts of a Weakened Atlantic Meridional Overturning Circulation on ENSO in a Warmer Climate — https://doi.org/10.1029/2023gl103025</w:t>
      </w:r>
    </w:p>
    <w:p>
      <w:pPr/>
      <w:r>
        <w:rPr>
          <w:b/>
        </w:rPr>
        <w:t>Shared claim-specific concepts:</w:t>
      </w:r>
      <w:r>
        <w:t xml:space="preserve"> first, impacts, warming, atmospheric, induce; EU scope not established. This is a provisional connection, not an outcome finding.</w:t>
      </w:r>
    </w:p>
    <w:p>
      <w:pPr>
        <w:pStyle w:val="SourceNote"/>
      </w:pPr>
      <w:r>
        <w:rPr>
          <w:b/>
        </w:rPr>
        <w:t>Available abstract (not full text):</w:t>
      </w:r>
      <w:r>
        <w:t xml:space="preserve">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pPr/>
      <w:r>
        <w:rPr>
          <w:b/>
        </w:rPr>
        <w:t>POSSIBLE 2023:</w:t>
      </w:r>
      <w:r>
        <w:t xml:space="preserve"> First passage time analysis of spatial mutation patterns reveals sub-clonal evolutionary dynamics in colorectal cancer — https://doi.org/10.1371/journal.pcbi.1010952</w:t>
      </w:r>
    </w:p>
    <w:p>
      <w:pPr/>
      <w:r>
        <w:rPr>
          <w:b/>
        </w:rPr>
        <w:t>Shared claim-specific concepts:</w:t>
      </w:r>
      <w:r>
        <w:t xml:space="preserve"> first, time, consistent, across; EU scope not established. This is a provisional connection, not an outcome finding.</w:t>
      </w:r>
    </w:p>
    <w:p>
      <w:pPr>
        <w:pStyle w:val="SourceNote"/>
      </w:pPr>
      <w:r>
        <w:rPr>
          <w:b/>
        </w:rPr>
        <w:t>Available abstract (not full text):</w:t>
      </w:r>
      <w:r>
        <w:t xml:space="preserve"> The signature of early cancer dynamics on the spatial arrangement of tumour cells is poorly understood, and yet could encode information about how sub-clones grew within the expanding tumour. Novel methods of quantifying spatial tumour data at the cellular scale are required to link evolutionary dynamics to the resulting spatial architecture of the tumour. Here, we propose a framework using first passage times of random walks to quantify the complex spatial patterns of tumour cell population mixing. First, using a simple model of cell mixing we demonstrate how first passage time statistics can distinguish between different pattern structures. We then apply our method to simulated patterns of mutated and non-mutated tumour cell population mixing, generated using an agent-based model of expanding tumours, to explore how first passage times reflect mutant cell replicative advantage, time of emergence and strength of cell pushing. Finally, we explore applications to experimentally measured human colorectal cancer, and estimate parameters of early sub-clonal dynamics using our spatial computational model. We infer a wide range of sub-clonal dynamics, with mutant cell division rates varying between 1 and 4 times the rate of non-mutated cells across our sample set. Some mutated sub-clones emerged after as few as 100 non-mutant cell divisions, and others only after 50,000 divisions. Th</w:t>
      </w:r>
    </w:p>
    <w:p>
      <w:pPr/>
      <w:r>
        <w:rPr>
          <w:b/>
        </w:rPr>
        <w:t>POSSIBLE 2022:</w:t>
      </w:r>
      <w:r>
        <w:t xml:space="preserve"> The Details of Limb Brightening Reveal the Structure of the Base of the Jet in M87 for the First Time — https://doi.org/10.3847/1538-4357/ac82f1</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Abstract It has become commonplace in astronomy to describe the transverse coarse structure of jets in loosely defined terms such as “sheath” and “spine” based on discussions of parsec scale properties. But, the applicability, dimension, and prominence of these features on sub-light-year scales has previously been unconstrained by observation. The first direct evidence of jet structure near the source in M87 is extreme limb brightening (a double-rail morphology), 0.3–0.6 mas from the source, which is prominent in observations with high resolution and sensitivity. Intensity crosscuts of these images provide three strong, interdependent constraints on the geometry responsible for the double-rail morphology: the rail to rail separation, the peak to trough intensity ratio, and the rail widths. Analyzing these constraints indicates that half or more of the jet volume resides in a thick-walled, tubular, mildly relativistic, protonic jet only ∼0.25 lt-yr (or ∼300 M, where M is the central black hole mass in geometrized units) from the source. By contrast, the Event Horizon Telescope Collaboration interprets their observations with the aid of general relativistic magnetohydrodynamic simulations that produce an invisible (by construction) jet with a surrounding luminous, thin sheath. Yet, it is shown that synthetic images of simulated jets are center brightened 0.3–0.6 mas from the sour</w:t>
      </w:r>
    </w:p>
    <w:p>
      <w:pPr/>
      <w:r>
        <w:rPr>
          <w:b/>
        </w:rPr>
        <w:t>POSSIBLE 2022:</w:t>
      </w:r>
      <w:r>
        <w:t xml:space="preserve"> Reflections from graduate student instructors on their first time teaching reveal structural and individual challenges — https://doi.org/10.56230/osotl.44</w:t>
      </w:r>
    </w:p>
    <w:p>
      <w:pPr/>
      <w:r>
        <w:rPr>
          <w:b/>
        </w:rPr>
        <w:t>Shared claim-specific concepts:</w:t>
      </w:r>
      <w:r>
        <w:t xml:space="preserve"> reveal, first, time, consistent; EU scope not established. This is a provisional connection, not an outcome finding.</w:t>
      </w:r>
    </w:p>
    <w:p>
      <w:pPr>
        <w:pStyle w:val="SourceNote"/>
      </w:pPr>
      <w:r>
        <w:rPr>
          <w:b/>
        </w:rPr>
        <w:t>Available abstract (not full text):</w:t>
      </w:r>
      <w:r>
        <w:t xml:space="preserve"> Graduate student instructors occupy a unique ‘liminal space’ as trainees in and instructors of their discipline. While research has explored challenges graduate students face while teaching, there is limited exploration of the challenges graduate students face that transcend disciplinary boundaries while preparing for and teaching their first undergraduate class. This qualitative study asked graduate students to reflect on the challenges and surprises they encountered while preparing for and teaching their first undergraduate class. Our findings indicate that consistent with previous literature, most graduate student pedagogical training is not sufficient for preparing graduate student instructors and many of the challenges they encounter are the result of a lack of support and prioritization of pedagogy in graduate training. We anchor these findings in a discussion of structural barriers to effective pedagogical training in graduate school and a brief review of model graduate pedagogical training programs.</w:t>
      </w:r>
    </w:p>
    <w:p>
      <w:pPr/>
      <w:r>
        <w:rPr>
          <w:b/>
        </w:rPr>
        <w:t>POSSIBLE 2022:</w:t>
      </w:r>
      <w:r>
        <w:t xml:space="preserve"> Impacts of Global Climate Warming on Meteorological and Hydrological Droughts and Their Propagations — https://doi.org/10.1029/2021ef002542</w:t>
      </w:r>
    </w:p>
    <w:p>
      <w:pPr/>
      <w:r>
        <w:rPr>
          <w:b/>
        </w:rPr>
        <w:t>Shared claim-specific concepts:</w:t>
      </w:r>
      <w:r>
        <w:t xml:space="preserve"> first, impacts, warming; EU scope not established. This is a provisional connection, not an outcome finding.</w:t>
      </w:r>
    </w:p>
    <w:p>
      <w:pPr>
        <w:pStyle w:val="SourceNote"/>
      </w:pPr>
      <w:r>
        <w:rPr>
          <w:b/>
        </w:rPr>
        <w:t>Available abstract (not full text):</w:t>
      </w:r>
      <w:r>
        <w:t xml:space="preserve"> Abstract Meteorological to hydrological drought propagation has been widely studied to reflect the relationship between these drought categories and better understand drought mechanisms. However, global warming may alter the drought propagation features, which are not fully understood. This study aims to investigate changes in meteorological and hydrological drought conditions, especially their propagation features in 1.5–3.0°C warmer climates for 8,655 watersheds globally. First, the three‐month scale standardized precipitation index and the standardized runoff index are calculated based on the precipitation simulated by the 15 global climate models and the runoff simulated by the four hydrological models, respectively. Drought events are then identified using the run theory, followed by the calculation of drought propagation features (i.e., pooling, lag, and lengthening) for matched meteorological and hydrological droughts. As a result, both meteorological and hydrological drought conditions (i.e., duration and severity) would relieve in warmer climates due to increased precipitation for regions excluding Western North America, South America, the Mediterranean, Southern Africa, East Asia, and Australia. However, the drought conditions would be more severe during drought propagation from meteorological to hydrological droughts over most regions. During drought propagation, the</w:t>
      </w:r>
    </w:p>
    <w:p>
      <w:pPr/>
      <w:r>
        <w:rPr>
          <w:b/>
        </w:rPr>
        <w:t>POSSIBLE 2022:</w:t>
      </w:r>
      <w:r>
        <w:t xml:space="preserve"> Target‐enrichment sequencing reveals for the first time a well‐resolved phylogeny of the core Bromelioideae (family Bromeliaceae) — https://doi.org/10.1002/tax.12831</w:t>
      </w:r>
    </w:p>
    <w:p>
      <w:pPr/>
      <w:r>
        <w:rPr>
          <w:b/>
        </w:rPr>
        <w:t>Shared claim-specific concepts:</w:t>
      </w:r>
      <w:r>
        <w:t xml:space="preserve"> first, time, species; EU scope not established. This is a provisional connection, not an outcome finding.</w:t>
      </w:r>
    </w:p>
    <w:p>
      <w:pPr>
        <w:pStyle w:val="SourceNote"/>
      </w:pPr>
      <w:r>
        <w:rPr>
          <w:b/>
        </w:rPr>
        <w:t>Available abstract (not full text):</w:t>
      </w:r>
      <w:r>
        <w:t xml:space="preserve"> Abstract A phylogenomic analysis of the so far phylogenetically unresolved subfamily Bromelioideae (Bromeliaceae) was performed to infer species relationships as the basis for future taxonomic treatment, stabilization of generic concept, and further analyses of evolution and biogeography of the subfamily. A target‐enrichment approach was chosen, using the Angiosperms353 v.4 kit RNA‐baits and including 86 Bromelioideae species representing previously identified major evolutionary lineages. Phylogenetic analyses were based on 125 target nuclear loci, assembled off‐target plastome as well as mitogenome reads. A Bromelioideae phylogeny with a mostly well‐resolved backbone is provided based on nuclear (194 kbp), plastome (109 kbp), and mitogenome data (34 kbp). For the nuclear markers, a coalescent‐based analysis of single‐locus gene trees was performed as well as a supermatrix analysis of concatenated gene alignments. Nuclear and plastome datasets provide well‐resolved trees, which showed only minor topological incongruences. The mitogenome tree is not sufficiently resolved. A total of 26 well‐supported clades were identified. The genera Aechmea, Canistrum, Hohenbergia, Neoregelia, and Quesnelia were revealed polyphyletic. In core Bromelioideae, Acanthostachys is sister to the remainder. Among the 26 recognized clades, 12 correspond with currently employed taxonomic concepts. Hence</w:t>
      </w:r>
    </w:p>
    <w:p>
      <w:pPr/>
      <w:r>
        <w:rPr>
          <w:b/>
        </w:rPr>
        <w:t>POSSIBLE 2021:</w:t>
      </w:r>
      <w:r>
        <w:t xml:space="preserve"> Thermal flight performance reveals impact of warming on bumblebee foraging potential — https://doi.org/10.1111/1365-2435.13887</w:t>
      </w:r>
    </w:p>
    <w:p>
      <w:pPr/>
      <w:r>
        <w:rPr>
          <w:b/>
        </w:rPr>
        <w:t>Shared claim-specific concepts:</w:t>
      </w:r>
      <w:r>
        <w:t xml:space="preserve"> warming, species, across; EU scope not established. This is a provisional connection, not an outcome finding.</w:t>
      </w:r>
    </w:p>
    <w:p>
      <w:pPr>
        <w:pStyle w:val="SourceNote"/>
      </w:pPr>
      <w:r>
        <w:rPr>
          <w:b/>
        </w:rPr>
        <w:t>Available abstract (not full text):</w:t>
      </w:r>
      <w:r>
        <w:t xml:space="preserve"> Abstract The effects of environmental temperature on components of insect flight determine life‐history traits, fitness, adaptability and, ultimately, organism ecosystem functional roles. Despite the crucial role of flying insects across landscapes, our understanding of how temperature affects insect flight performance remains limited. Many insect pollinators are considered under threat from climatic warming. Quantifying the relationship between temperature and behavioural performance traits allows us to understand where species are operating in respect to their thermal limits, helping predict responses to projected temperature increases and/or erratic weather events. Using a tethered flight mill, we quantify how flight performance of a widespread bumblebee, Bombus terrestris, varies over a temperature range (12–30℃). Given that body mass constrains insect mobility and behaviour, bumblebees represent a useful system to study temperature‐mediated size dependence of flight performance owing to the large intra‐colony variation in worker body size they exhibit. Workers struggled to fly over a few hundred metres at the lowest tested temperature of 12℃; however, flight endurance increased as temperatures rose, peaking around 25℃ after which it declined. Our findings further revealed variation in flight capacity across the workforce, with larger workers flying further, longer, and fas</w:t>
      </w:r>
    </w:p>
    <w:p>
      <w:pPr>
        <w:pStyle w:val="Heading2"/>
      </w:pPr>
      <w:r>
        <w:t>966.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2025:</w:t>
      </w:r>
      <w:r>
        <w:t xml:space="preserve"> Lyme Borreliosis Incidence Across Europe, 2015–2023: A Surveillance-Based Review and Analysis — https://doi.org/10.1177/15303667251363125</w:t>
      </w:r>
    </w:p>
    <w:p>
      <w:pPr/>
      <w:r>
        <w:rPr>
          <w:b/>
        </w:rPr>
        <w:t>Shared claim-specific concepts:</w:t>
      </w:r>
      <w:r>
        <w:t xml:space="preserve"> based, two, criteria, increased, but; EU scope visible. This is a provisional connection, not an outcome finding.</w:t>
      </w:r>
    </w:p>
    <w:p>
      <w:pPr>
        <w:pStyle w:val="SourceNote"/>
      </w:pPr>
      <w:r>
        <w:rPr>
          <w:b/>
        </w:rPr>
        <w:t>Available abstract (not full text):</w:t>
      </w:r>
      <w:r>
        <w:t xml:space="preserve"> Background: Lyme borreliosis (LB) is the most common tick-borne disease in Europe. Incidence is increasing partly due to climate change and changing human behaviors. This review compiled updated national European LB surveillance data to assess recent incidence trends from 2015 to 2023. Methods: Publicly available LB surveillance data sources were identified for 29 European countries. Cases were collected from reports and dashboards. Estimates of population-based incidence were calculated. Countries were categorized based on their case classification criteria and geographic region. Subnational regions were classified as high-incidence areas if they reported ≥10 cases per 100,000 population per year (PPY) over a three-year period. The percentage of people residing in these high-incidence regions was calculated. Results: An average of 132,000 LB cases were reported to surveillance systems annually. Countries that included both erythema migrans and laboratory-confirmed LB cases in their reporting had the highest incidence rates—particularly Estonia, Finland, and Slovenia, exceeding 100 cases per 100,000 PPY. Overall, variation of incidence at the subnational level was observed, showing incidence at the national level can mask subnational differences in rates. Temporary decreases in incidence were observed during 2019–2021, but incidence increased from 2021 to 2023. A minimum of 223</w:t>
      </w:r>
    </w:p>
    <w:p>
      <w:pPr/>
      <w:r>
        <w:rPr>
          <w:b/>
        </w:rPr>
        <w:t>POSSIBLE 2025:</w:t>
      </w:r>
      <w:r>
        <w:t xml:space="preserve"> Proposal for revised criteria for daylight provision in the European daylight standard based on calculations for Swedish multifamily residential buildings — https://doi.org/10.1177/14771535241306970</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European Standard EN 17037 was first introduced in 2018 with the aim of encouraging building designers to ensure adequate daylight in buildings. Experience has shown that the standard’s criteria for daylight provision are generally perceived to be too challenging, and this in turn has hindered its implementation in national legislations. This paper proposes a revised illuminance-based criteria for daylight provision using the specific case of regularly occupied rooms in multifamily Swedish residential buildings as an example. In total, 3562 rooms representing typical Swedish residential design are assessed. Two sets of criteria for dwellings are proposed; one based on a fixed illuminance, another based on a fixed area fraction. Both have three levels of ambition, in which the lowest would result in approximately two-thirds of the investigated Swedish dwellings reaching compliance. This is the same compliance rate as for the current national legislation. The implications of three proposed criteria on residential design are also discussed. While results are given for the Swedish context, the proposed criteria could be generalized for use in other European countries. The intention of this proposal is to allow for a wider application of the daylight standard within residential construction across Europe.</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based, two, criteria, method;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ShapleyFL: Robust Federated Learning Based on Shapley Value — https://doi.org/10.1145/3580305.3599500</w:t>
      </w:r>
    </w:p>
    <w:p>
      <w:pPr/>
      <w:r>
        <w:rPr>
          <w:b/>
        </w:rPr>
        <w:t>Shared claim-specific concepts:</w:t>
      </w:r>
      <w:r>
        <w:t xml:space="preserve"> based, robustness, learning, robust, method; EU scope not established. This is a provisional connection, not an outcome finding.</w:t>
      </w:r>
    </w:p>
    <w:p>
      <w:pPr>
        <w:pStyle w:val="SourceNote"/>
      </w:pPr>
      <w:r>
        <w:rPr>
          <w:b/>
        </w:rPr>
        <w:t>Available abstract (not full text):</w:t>
      </w:r>
      <w:r>
        <w:t xml:space="preserve"> Federated Learning (FL) allows clients to form a consortium to train a global model under the orchestration of a central server while keeping data on the local client without sharing it, thus mitigating data privacy issues. However, training a robust global model is challenging since the local data is invisible to the server. The local data of clients are naturally heterogeneous, while some clients can use corrupted data or send malicious updates to interfere with the training process artificially. Meanwhile, communication and computation costs are inevitable challenges in designing a practical FL algorithm. In this paper, to improve the robustness of FL, we propose a Shapley value-inspired adaptive weighting mechanism, which regards the FL training as sequential cooperative games and adjusts clients' weights according to their contributions. We also develop a client sampling strategy based on importance sampling, which can reduce the communication cost by optimizing the variance of the global updates according to the weights of clients. Furthermore, to diminish the computation cost of the server, we propose a weight calculation method by estimating differences between the Shapley value of clients. Our experimental results on several real data sets demonstrate the effectiveness of our approaches.</w:t>
      </w:r>
    </w:p>
    <w:p>
      <w:pPr/>
      <w:r>
        <w:rPr>
          <w:b/>
        </w:rPr>
        <w:t>POSSIBLE 2023:</w:t>
      </w:r>
      <w:r>
        <w:t xml:space="preserve"> Robustness challenges in Reinforcement Learning based time-critical cloud resource scheduling: A Meta-Learning based solution — https://doi.org/10.1016/j.future.2023.03.029</w:t>
      </w:r>
    </w:p>
    <w:p>
      <w:pPr/>
      <w:r>
        <w:rPr>
          <w:b/>
        </w:rPr>
        <w:t>Shared claim-specific concepts:</w:t>
      </w:r>
      <w:r>
        <w:t xml:space="preserve"> based, robustness, learning, robust; EU scope not established. This is a provisional connection, not an outcome finding.</w:t>
      </w:r>
    </w:p>
    <w:p>
      <w:pPr>
        <w:pStyle w:val="SourceNote"/>
      </w:pPr>
      <w:r>
        <w:rPr>
          <w:b/>
        </w:rPr>
        <w:t>Available abstract (not full text):</w:t>
      </w:r>
      <w:r>
        <w:t xml:space="preserve"> Cloud computing attracts increasing attention in processing dynamic computing tasks and automating the software development and operation pipeline. In many cases, the computing tasks have strict deadlines. The cloud resource manager (e.g., orchestrator) effectively manages the resources and provides tasks Quality of Service (QoS). Cloud task scheduling is tricky due to the dynamic nature of task workload and resource availability. Reinforcement Learning (RL) has attracted lots of research attention in scheduling. However, those RL-based approaches suffer from low scheduling performance robustness when the task workload and resource availability change, particularly when handling time-critical tasks. This paper focuses on both challenges of robustness and deadline guarantee among such RL, specifically Deep RL (DRL)-based scheduling approaches. We quantify the robustness measurements as the retraining time and investigate how to improve both robustness and deadline guarantee of DRL-based scheduling. We propose MLR-TC-DRLS, a practical, robust Meta Deep Reinforcement Learning-based scheduling solution to provide time-critical tasks deadline guarantee and fast adaptation under highly dynamic situations. We comprehensively evaluate MLR-TC-DRLS performance against RL-based and RL advanced variants-based scheduling approaches using real-world and synthetic data. The evaluations valida</w:t>
      </w:r>
    </w:p>
    <w:p>
      <w:pPr/>
      <w:r>
        <w:rPr>
          <w:b/>
        </w:rPr>
        <w:t>POSSIBLE 2023:</w:t>
      </w:r>
      <w:r>
        <w:t xml:space="preserve"> Beyond generalization: a theory of robustness in machine learning — https://doi.org/10.1007/s11229-023-04334-9</w:t>
      </w:r>
    </w:p>
    <w:p>
      <w:pPr/>
      <w:r>
        <w:rPr>
          <w:b/>
        </w:rPr>
        <w:t>Shared claim-specific concepts:</w:t>
      </w:r>
      <w:r>
        <w:t xml:space="preserve"> robustness, learning, uncertainty; EU scope not established. This is a provisional connection, not an outcome finding.</w:t>
      </w:r>
    </w:p>
    <w:p>
      <w:pPr>
        <w:pStyle w:val="SourceNote"/>
      </w:pPr>
      <w:r>
        <w:rPr>
          <w:b/>
        </w:rPr>
        <w:t>Available abstract (not full text):</w:t>
      </w:r>
      <w:r>
        <w:t xml:space="preserve"> Abstract The termrobustnessis ubiquitous in modern Machine Learning (ML). However, its meaning varies depending on context and community. Researchers either focus on narrow technical definitions, such as adversarial robustness, natural distribution shifts, and performativity, or they simply leave open what exactly they mean by robustness. In this paper, we provide a conceptual analysis of the termrobustness, with the aim to develop a common language, that allows us to weave together different strands of robustness research. We define robustness as the relative stability of a robustness target with respect to specific interventions on a modifier. Our account captures the various sub-types of robustness that are discussed in the research literature, including robustness to distribution shifts, prediction robustness, or the robustness of algorithmic explanations. Finally, we delineate robustness from adjacent key concepts in ML, such as extrapolation, generalization, and uncertainty, and establish it as an independent epistemic concept.</w:t>
      </w:r>
    </w:p>
    <w:p>
      <w:pPr/>
      <w:r>
        <w:rPr>
          <w:b/>
        </w:rPr>
        <w:t>POSSIBLE 2023:</w:t>
      </w:r>
      <w:r>
        <w:t xml:space="preserve"> Accounting for forest condition in Europe based on an international statistical standard — https://doi.org/10.1038/s41467-023-39434-0</w:t>
      </w:r>
    </w:p>
    <w:p>
      <w:pPr/>
      <w:r>
        <w:rPr>
          <w:b/>
        </w:rPr>
        <w:t>Shared claim-specific concepts:</w:t>
      </w:r>
      <w:r>
        <w:t xml:space="preserve"> based, increased, yet; EU scope visible. This is a provisional connection, not an outcome finding.</w:t>
      </w:r>
    </w:p>
    <w:p>
      <w:pPr>
        <w:pStyle w:val="SourceNote"/>
      </w:pPr>
      <w:r>
        <w:rPr>
          <w:b/>
        </w:rPr>
        <w:t>Available abstract (not full text):</w:t>
      </w:r>
      <w:r>
        <w:t xml:space="preserve"> Covering 35% of Europe's land area, forest ecosystems play a crucial role in safeguarding biodiversity and mitigating climate change. Yet, forest degradation continues to undermine key ecosystem services that forests deliver to society. Here we provide a spatially explicit assessment of the condition of forest ecosystems in Europe following a United Nations global statistical standard on ecosystem accounting, adopted in March 2021. We measure forest condition on a scale from 0 to 1, where 0 represents a degraded ecosystem and 1 represents a reference condition based on primary or protected forests. We show that the condition across 44 forest types averaged 0.566 in 2000 and increased to 0.585 in 2018. Forest productivity and connectivity are comparable to levels observed in undisturbed or least disturbed forests. One third of the forest area was subject to declining condition, signalled by a reduction in soil organic carbon, tree cover density and species richness of threatened birds. Our findings suggest that forest ecosystems will need further restoration, improvements in management and an extended period of recovery to approach natural conditions.</w:t>
      </w:r>
    </w:p>
    <w:p>
      <w:pPr/>
      <w:r>
        <w:rPr>
          <w:b/>
        </w:rPr>
        <w:t>POSSIBLE 2022:</w:t>
      </w:r>
      <w:r>
        <w:t xml:space="preserve"> Privacy and Robustness in Federated Learning: Attacks and Defenses — https://doi.org/10.1109/tnnls.2022.3216981</w:t>
      </w:r>
    </w:p>
    <w:p>
      <w:pPr/>
      <w:r>
        <w:rPr>
          <w:b/>
        </w:rPr>
        <w:t>Shared claim-specific concepts:</w:t>
      </w:r>
      <w:r>
        <w:t xml:space="preserve"> robustness, learning, robust; EU scope not established. This is a provisional connection, not an outcome finding.</w:t>
      </w:r>
    </w:p>
    <w:p>
      <w:pPr>
        <w:pStyle w:val="SourceNote"/>
      </w:pPr>
      <w:r>
        <w:rPr>
          <w:b/>
        </w:rPr>
        <w:t>Available abstract (not full text):</w:t>
      </w:r>
      <w:r>
        <w:t xml:space="preserve"> As data are increasingly being stored in different silos and societies becoming more aware of data privacy issues, the traditional centralized training of artificial intelligence (AI) models is facing efficiency and privacy challenges. Recently, federated learning (FL) has emerged as an alternative solution and continues to thrive in this new reality. Existing FL protocol designs have been shown to be vulnerable to adversaries within or outside of the system, compromising data privacy and system robustness. Besides training powerful global models, it is of paramount importance to design FL systems that have privacy guarantees and are resistant to different types of adversaries. In this article, we conduct a comprehensive survey on privacy and robustness in FL over the past five years. Through a concise introduction to the concept of FL and a unique taxonomy covering: 1) threat models; 2) privacy attacks and defenses; and 3) poisoning attacks and defenses, we provide an accessible review of this important topic. We highlight the intuitions, key techniques, and fundamental assumptions adopted by various attacks and defenses. Finally, we discuss promising future research directions toward robust and privacy-preserving FL, and their interplays with the multidisciplinary goals of FL.</w:t>
      </w:r>
    </w:p>
    <w:p>
      <w:pPr/>
      <w:r>
        <w:rPr>
          <w:b/>
        </w:rPr>
        <w:t>POSSIBLE 2022:</w:t>
      </w:r>
      <w:r>
        <w:t xml:space="preserve"> Safe Learning in Robotics: From Learning-Based Control to Safe Reinforcement Learning — https://doi.org/10.1146/annurev-control-042920-020211</w:t>
      </w:r>
    </w:p>
    <w:p>
      <w:pPr/>
      <w:r>
        <w:rPr>
          <w:b/>
        </w:rPr>
        <w:t>Shared claim-specific concepts:</w:t>
      </w:r>
      <w:r>
        <w:t xml:space="preserve"> robustness, learning, but; EU scope not established. This is a provisional connection, not an outcome finding.</w:t>
      </w:r>
    </w:p>
    <w:p>
      <w:pPr>
        <w:pStyle w:val="SourceNote"/>
      </w:pPr>
      <w:r>
        <w:rPr>
          <w:b/>
        </w:rPr>
        <w:t>Available abstract (not full text):</w:t>
      </w:r>
      <w:r>
        <w:t xml:space="preserve"> The last half decade has seen a steep rise in the number of contributions on safe learning methods for real-world robotic deployments from both the control and reinforcement learning communities. This article provides a concise but holistic review of the recent advances made in using machine learning to achieve safe decision-making under uncertainties, with a focus on unifying the language and frameworks used in control theory and reinforcement learning research. It includes learning-based control approaches that safely improve performance by learning the uncertain dynamics, reinforcement learning approaches that encourage safety or robustness, and methods that can formally certify the safety of a learned control policy. As data- and learning-based robot control methods continue to gain traction, researchers must understand when and how to best leverage them in real-world scenarios where safety is imperative, such as when operating in close proximityto humans. We highlight some of the open challenges that will drive the field of robot learning in the coming years, and emphasize the need for realistic physics-based benchmarks to facilitate fair comparisons between control and reinforcement learning approaches.</w:t>
      </w:r>
    </w:p>
    <w:p>
      <w:pPr>
        <w:pStyle w:val="Heading2"/>
      </w:pPr>
      <w:r>
        <w:t>967.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2026:</w:t>
      </w:r>
      <w:r>
        <w:t xml:space="preserve"> Alcide De Gasperi and the European Defence Community: Lessons for Today’s Europe — https://doi.org/10.1177/10692509261477264</w:t>
      </w:r>
    </w:p>
    <w:p>
      <w:pPr/>
      <w:r>
        <w:rPr>
          <w:b/>
        </w:rPr>
        <w:t>Shared claim-specific concepts:</w:t>
      </w:r>
      <w:r>
        <w:t xml:space="preserve"> reference, built, but, not; EU scope visible. This is a provisional connection, not an outcome finding.</w:t>
      </w:r>
    </w:p>
    <w:p>
      <w:pPr>
        <w:pStyle w:val="SourceNote"/>
      </w:pPr>
      <w:r>
        <w:rPr>
          <w:b/>
        </w:rPr>
        <w:t>Available abstract (not full text):</w:t>
      </w:r>
      <w:r>
        <w:t xml:space="preserve"> In March 2025, opening a European Parliament debate on defence, Commission President Ursula von der Leyen cited Alcide De Gasperi, recalling that 70 years earlier he had urged Europeans not merely to keep the peace but to build a common defence. The reference was not simply a rhetorical flourish: the collapse of the European Defence Community in 1954 still shapes Europe’s unfinished security architecture. This article traces the European Defence Community from the Pleven Plan (1950) to the rejection of this proposed treaty by the French National Assembly (1954), and reconstructs De Gasperi’s federalist reading of it, embodied in Article 38, which tied military integration to a democratic political community. The article then weighs that vision against what the EU has since built and what is still missing, concluding with three lessons learned from the analysis: this is Europe’s last call for a common defence, unpopular decisions demand courage, and the future lies not in ceding sovereignty but in maintaining it within an association of sovereign states.</w:t>
      </w:r>
    </w:p>
    <w:p>
      <w:pPr/>
      <w:r>
        <w:rPr>
          <w:b/>
        </w:rPr>
        <w:t>POSSIBLE 2026:</w:t>
      </w:r>
      <w:r>
        <w:t xml:space="preserve"> Built environment and childhood obesity: A systematic review of the European literature — https://doi.org/10.29333/jconseph/17944</w:t>
      </w:r>
    </w:p>
    <w:p>
      <w:pPr/>
      <w:r>
        <w:rPr>
          <w:b/>
        </w:rPr>
        <w:t>Shared claim-specific concepts:</w:t>
      </w:r>
      <w:r>
        <w:t xml:space="preserve"> built, all, but, second; EU scope visible. This is a provisional connection, not an outcome finding.</w:t>
      </w:r>
    </w:p>
    <w:p>
      <w:pPr>
        <w:pStyle w:val="SourceNote"/>
      </w:pPr>
      <w:r>
        <w:rPr>
          <w:b/>
        </w:rPr>
        <w:t>Available abstract (not full text):</w:t>
      </w:r>
      <w:r>
        <w:t xml:space="preserve"> Background: Childhood obesity is a major public health issue, identifying pathways to it is crucial. The term “obesogenic environment” describes neighborhood traits linked to higher obesity risk, but it’s unclear which environmental factors increase this risk and which neighborhood changes can improve outcomes. Methods: Articles published between 2000 and June 2024 from PubMed, Cochrane Library, and Web of Science databases conducted in EuropeanUnion countries were included, focusing on children aged 0-18. Results: We found 2,531 articles initially and 1,278 in a second search, with 43 meeting all the criteria. Studies examined green space, air and noise pollution, facility richness, sports facilities, food environment, land-use mix, housing, walkability, street connectivity, and traffic. Only food environment and green space showed associations with childhood obesity, which mostly disappeared after adjusting for individual socioeconomic factors. Other environment variables showed no consistent associations. Further research is needed to understand how neighborhood properties influence childhood obesity.</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2022:</w:t>
      </w:r>
      <w:r>
        <w:t xml:space="preserve"> The 2018–2020 Multi‐Year Drought Sets a New Benchmark in Europe — https://doi.org/10.1029/2021ef002394</w:t>
      </w:r>
    </w:p>
    <w:p>
      <w:pPr/>
      <w:r>
        <w:rPr>
          <w:b/>
        </w:rPr>
        <w:t>Shared claim-specific concepts:</w:t>
      </w:r>
      <w:r>
        <w:t xml:space="preserve"> past, but, not, compared;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Shepherd on Meaning, Reference, and Perception — https://doi.org/10.32881/jomp.234</w:t>
      </w:r>
    </w:p>
    <w:p>
      <w:pPr/>
      <w:r>
        <w:rPr>
          <w:b/>
        </w:rPr>
        <w:t>Shared claim-specific concepts:</w:t>
      </w:r>
      <w:r>
        <w:t xml:space="preserve"> reference, perception, meaning; EU scope not established. This is a provisional connection, not an outcome finding.</w:t>
      </w:r>
    </w:p>
    <w:p>
      <w:pPr>
        <w:pStyle w:val="SourceNote"/>
      </w:pPr>
      <w:r>
        <w:rPr>
          <w:b/>
        </w:rPr>
        <w:t>Available abstract (not full text):</w:t>
      </w:r>
      <w:r>
        <w:t xml:space="preserve">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pPr/>
      <w:r>
        <w:rPr>
          <w:b/>
        </w:rPr>
        <w:t>POSSIBLE 2021:</w:t>
      </w:r>
      <w:r>
        <w:t xml:space="preserve"> Towards peace in Europe: on legal linguistics, prosperity and European identity – the European Reference Language System for the European Union — https://doi.org/10.1515/ijld-2021-2044</w:t>
      </w:r>
    </w:p>
    <w:p>
      <w:pPr/>
      <w:r>
        <w:rPr>
          <w:b/>
        </w:rPr>
        <w:t>Shared claim-specific concepts:</w:t>
      </w:r>
      <w:r>
        <w:t xml:space="preserve"> reference, all, not, way; EU scope visible. This is a provisional connection, not an outcome finding.</w:t>
      </w:r>
    </w:p>
    <w:p>
      <w:pPr>
        <w:pStyle w:val="SourceNote"/>
      </w:pPr>
      <w:r>
        <w:rPr>
          <w:b/>
        </w:rPr>
        <w:t>Available abstract (not full text):</w:t>
      </w:r>
      <w:r>
        <w:t xml:space="preserve"> Abstract The European Union is a legal community of hundreds of millions of people, established in a single market through European law. This is tied to language and translation into 24 official languages, each with equally authentic status. However, this leads to considerable legal differences between Member States and underscores the dominance of English, at the Court of Justice that of French (monolingualism), both of which have no legal foundation. Rule-of-law order (Rechtsstaatlichkeit) is created by the European Reference Language System (Europäisches Referenzsprachensystem), which is presented here as a tool for the urgently required reform of the language laws in the European Union: Not having a hegemonial focus on a single language (and thus on a single legal world) or on the exclusivity of some few languages, it offers a legal-linguistic basis of communication with all treaty languages of the European Union for a clear European law and prosperity. The official languages of the Member States thus preserve the mother tongue reality of the citizens in the sense of the subsidiarity principle (multilingualism). In this way, the citizens and their Union acquire a legally valid voice and identity. This seems necessary in the face of the present restructuring of the world, in order to maintain peace for the people in Europe and to continue promoting their well-being. The basi</w:t>
      </w:r>
    </w:p>
    <w:p>
      <w:pPr/>
      <w:r>
        <w:rPr>
          <w:b/>
        </w:rPr>
        <w:t>POSSIBLE 2021:</w:t>
      </w:r>
      <w:r>
        <w:t xml:space="preserve"> Common European Framework of Reference (CEFR): A Review on Teachers’ Perception &amp; Plurilingualism — https://doi.org/10.4236/ce.2021.124051</w:t>
      </w:r>
    </w:p>
    <w:p>
      <w:pPr/>
      <w:r>
        <w:rPr>
          <w:b/>
        </w:rPr>
        <w:t>Shared claim-specific concepts:</w:t>
      </w:r>
      <w:r>
        <w:t xml:space="preserve"> reference, there, perception, second; EU scope visible. This is a provisional connection, not an outcome finding.</w:t>
      </w:r>
    </w:p>
    <w:p>
      <w:pPr>
        <w:pStyle w:val="SourceNote"/>
      </w:pPr>
      <w:r>
        <w:rPr>
          <w:b/>
        </w:rPr>
        <w:t>Available abstract (not full text):</w:t>
      </w:r>
      <w:r>
        <w:t xml:space="preserve"> Common Framework of Reference (CEFR) is a document produced by the council of Europe (CoE) to set a standard for teaching and learning English as the Second Language (ESL). Propelled by the need to situate Malaysia English language parallel to the standard of the European countries, the Ministry of Education Malaysia rushed the adaptation of CEFR framework into Malaysia education system. Teachers’ lack of training and understanding onCEFR as well as unsuitable content used in the textbook are among the main challenges faced by teachers to name a few. Nonetheless, the key concept of Plurilingualism which served as the principle in CEFR has been given very minimal focus in the syllabus. Considering Malaysia as a multilingual and multicultural country, there is a potential of English Second Language learners to benefit from the concept of plurilingualism given appropriate training and exposure given to the teachers as the gatekeeper of knowledge and information. In fact, plurilingualism could also be the missing piece that could help aid teachers’ understanding of the framework better.</w:t>
      </w:r>
    </w:p>
    <w:p>
      <w:pPr/>
      <w:r>
        <w:rPr>
          <w:b/>
        </w:rPr>
        <w:t>POSSIBLE 2020:</w:t>
      </w:r>
      <w:r>
        <w:t xml:space="preserve"> Public perception of air pollution sources across Europe — https://doi.org/10.1007/s13280-020-01450-5</w:t>
      </w:r>
    </w:p>
    <w:p>
      <w:pPr/>
      <w:r>
        <w:rPr>
          <w:b/>
        </w:rPr>
        <w:t>Shared claim-specific concepts:</w:t>
      </w:r>
      <w:r>
        <w:t xml:space="preserve"> perception, all, one; EU scope visible. This is a provisional connection, not an outcome finding.</w:t>
      </w:r>
    </w:p>
    <w:p>
      <w:pPr>
        <w:pStyle w:val="SourceNote"/>
      </w:pPr>
      <w:r>
        <w:rPr>
          <w:b/>
        </w:rPr>
        <w:t>Available abstract (not full text):</w:t>
      </w:r>
      <w:r>
        <w:t xml:space="preserve"> Air pollution is one of the primary concerns of our society for its effect on human health and the environment. Among the policy measures that can be put in place to limit air pollutant emissions, end-of-pipe technologies and/or regulatory instruments may be implemented through legislative acts. Also, equally important are behavioural measures, requiring citizens' active involvement. The success of any measure to limit pollutant emissions requires the acceptance by the citizens that, in turn, implies a correct perception of the main pollutant emission drivers. We present here the comparison between the public perception of air pollution sources and the real-world situation through a survey carried out in seven European countries and involving 16 101 respondents. Our study shows a dramatic underestimation of the contribution of the agri-food sector to air pollution. This result is common to all respondents in the seven countries examined and only to a small extent depends on gender, age and socio-economic status of the respondents.</w:t>
      </w:r>
    </w:p>
    <w:p>
      <w:pPr/>
      <w:r>
        <w:rPr>
          <w:b/>
        </w:rPr>
        <w:t>POSSIBLE 2019:</w:t>
      </w:r>
      <w:r>
        <w:t xml:space="preserve"> Household carbon footprint patterns by the degree of urbanisation in Europe — https://doi.org/10.1088/1748-9326/ab443d</w:t>
      </w:r>
    </w:p>
    <w:p>
      <w:pPr/>
      <w:r>
        <w:rPr>
          <w:b/>
        </w:rPr>
        <w:t>Shared claim-specific concepts:</w:t>
      </w:r>
      <w:r>
        <w:t xml:space="preserve"> all, but, not; EU scope visible. This is a provisional connection, not an outcome finding.</w:t>
      </w:r>
    </w:p>
    <w:p>
      <w:pPr>
        <w:pStyle w:val="SourceNote"/>
      </w:pPr>
      <w:r>
        <w:rPr>
          <w:b/>
        </w:rPr>
        <w:t>Available abstract (not full text):</w:t>
      </w:r>
      <w:r>
        <w:t xml:space="preserve"> Abstract Urbanisation increases household carbon footprints in developing economies. However, the results from developed countries have varied, particularly in Europe. This study provides a coherent comparison of the impact of the degree of urbanisation on income, expenditure and carbon footprints in Europe. On average, carbon footprints are 7% lower in cities than in rural areas when income and household characteristics are controlled. However, this is compensated by the 6% higher average income in cities. The patterns are not uniform in all countries. In Eastern Europe, the pattern is similar to other developing regions. In some Western European countries, both the income level and the carbon footprints are lower in urban areas than in rural areas. In the rest of Europe, the differences in income level between rural and urban areas are small, but they still largely compensate for the efficiency benefits of urban areas. We call for more systemic emissions accounting and climate strategies.</w:t>
      </w:r>
    </w:p>
    <w:p>
      <w:pPr/>
      <w:r>
        <w:rPr>
          <w:b/>
        </w:rPr>
        <w:t>POSSIBLE 2019:</w:t>
      </w:r>
      <w:r>
        <w:t xml:space="preserve"> Plantation forests in Europe: challenges and opportunities — https://doi.org/10.36333/fs09</w:t>
      </w:r>
    </w:p>
    <w:p>
      <w:pPr/>
      <w:r>
        <w:rPr>
          <w:b/>
        </w:rPr>
        <w:t>Shared claim-specific concepts:</w:t>
      </w:r>
      <w:r>
        <w:t xml:space="preserve"> there, past, but, policies, not, effective;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pStyle w:val="Heading2"/>
      </w:pPr>
      <w:r>
        <w:t>968.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2021:</w:t>
      </w:r>
      <w:r>
        <w:t xml:space="preserve"> A global assessment of policy tools to support climate adaptation — https://doi.org/10.1080/14693062.2021.2002251</w:t>
      </w:r>
    </w:p>
    <w:p>
      <w:pPr/>
      <w:r>
        <w:rPr>
          <w:b/>
        </w:rPr>
        <w:t>Shared claim-specific concepts:</w:t>
      </w:r>
      <w:r>
        <w:t xml:space="preserve"> therefore, likely, adaptation, result, between, climate; EU scope not established. This is a provisional connection, not an outcome finding.</w:t>
      </w:r>
    </w:p>
    <w:p>
      <w:pPr>
        <w:pStyle w:val="SourceNote"/>
      </w:pPr>
      <w:r>
        <w:rPr>
          <w:b/>
        </w:rPr>
        <w:t>Available abstract (not full text):</w:t>
      </w:r>
      <w:r>
        <w:t xml:space="preserve"> Governments, businesses, and civil society organizations have diverse policy tools to incentivize adaptation. Policy tools can shape the type and extent of adaptation, and therefore, function either as barriers or enablers for reducing risk and vulnerability. Using data from a systematic review of academic literature on global adaptation responses to climate change (n = 1549 peer-reviewed articles), we categorize the types of policy tools used to shape climate adaptation. We apply qualitative and quantitative analyses to assess the contexts where particular tools are used, along with equity implications for groups targeted by the tools, and the tools’ relationships with transformational adaptation indicators such as the depth, scope, and speed of adaptation. We find diverse types of tools documented across sectors and geographic regions. We also identify a mismatch between the tools that consider equity and those that yield more transformational adaptations. Direct regulations, plans, and capacity building are associated with higher depth and scope of adaptation (thus transformational adaptation), while economic instruments, information provisioning, and networks are not; the latter tools, however, are more likely to target marginalized groups in their design and implementation. We identify multiple research gaps, including a need to assess instrument mixes rather than single t</w:t>
      </w:r>
    </w:p>
    <w:p>
      <w:pPr/>
      <w:r>
        <w:rPr>
          <w:b/>
        </w:rPr>
        <w:t>POSSIBLE 2021:</w:t>
      </w:r>
      <w:r>
        <w:t xml:space="preserve"> Greening is a promising but likely insufficient adaptation strategy to limit the health impacts of extreme heat — https://doi.org/10.1016/j.envint.2021.106441</w:t>
      </w:r>
    </w:p>
    <w:p>
      <w:pPr/>
      <w:r>
        <w:rPr>
          <w:b/>
        </w:rPr>
        <w:t>Shared claim-specific concepts:</w:t>
      </w:r>
      <w:r>
        <w:t xml:space="preserve"> therefore, likely, adaptation, compared, climate; EU scope not established. This is a provisional connection, not an outcome finding.</w:t>
      </w:r>
    </w:p>
    <w:p>
      <w:pPr>
        <w:pStyle w:val="SourceNote"/>
      </w:pPr>
      <w:r>
        <w:rPr>
          <w:b/>
        </w:rPr>
        <w:t>Available abstract (not full text):</w:t>
      </w:r>
      <w:r>
        <w:t xml:space="preserve"> BACKGROUND: Adapting the urban environment to heat is a public health priority in the context of climate change. Cities are now considering interventions on specific urban characteristics known to contribute to the urban heat island (UHI) such as vegetation and imperviousness. OBJECTIVES: To explore how these urban characteristics influence the temperature-mortality relationship in the Paris region. METHODS: We modeled the temperature-mortality relationship for the 1300 municipalities of the region from 1990 to 2015, while including an interaction with indicators that summarize the municipalities' main urban characteristics. Four indicators were tested: lack of green spaces, lack of trees, proportion of impervious surface, and overexposed population to a potential night UHI. RESULTS: The shape of the temperature-mortality relationship was similar across all municipalities, but with a higher slope at the highest temperatures in municipalities with less green spaces, less trees, and more impervious soil. For instance, in Paris and its close suburbs, the relative risk associated with a temperature in the 99th percentile of the temperature distribution (compared to the 50th percentile) was 2.17 [IC95% 1.98:2.38] in municipalities with 40% of their surface covered by trees compared to 2.57 [IC 95% 2.47:2.68] in municipalities with only 3% of their surface covered by trees. DISCUSSIO</w:t>
      </w:r>
    </w:p>
    <w:p>
      <w:pPr/>
      <w:r>
        <w:rPr>
          <w:b/>
        </w:rPr>
        <w:t>POSSIBLE 2020:</w:t>
      </w:r>
      <w:r>
        <w:t xml:space="preserve"> Parallel flowering time clines in native and introduced ragweed populations are likely due to adaptation — https://doi.org/10.1002/ece3.6163</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pPr/>
      <w:r>
        <w:rPr>
          <w:b/>
        </w:rPr>
        <w:t>POSSIBLE 2020:</w:t>
      </w:r>
      <w:r>
        <w:t xml:space="preserve"> Synergies and Trade-Offs in Reaching the Sustainable Development Goals — https://doi.org/10.3390/su12208729</w:t>
      </w:r>
    </w:p>
    <w:p>
      <w:pPr/>
      <w:r>
        <w:rPr>
          <w:b/>
        </w:rPr>
        <w:t>Shared claim-specific concepts:</w:t>
      </w:r>
      <w:r>
        <w:t xml:space="preserve"> synergies, trade-offs, between; EU scope not established. This is a provisional connection, not an outcome finding.</w:t>
      </w:r>
    </w:p>
    <w:p>
      <w:pPr>
        <w:pStyle w:val="SourceNote"/>
      </w:pPr>
      <w:r>
        <w:rPr>
          <w:b/>
        </w:rPr>
        <w:t>Available abstract (not full text):</w:t>
      </w:r>
      <w:r>
        <w:t xml:space="preserve">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pPr/>
      <w:r>
        <w:rPr>
          <w:b/>
        </w:rPr>
        <w:t>POSSIBLE 2020:</w:t>
      </w:r>
      <w:r>
        <w:t xml:space="preserve"> Trade-offs and synergies in the ecosystem service demand of urban brownfield stakeholders — https://doi.org/10.1016/j.ecoser.2020.101074</w:t>
      </w:r>
    </w:p>
    <w:p>
      <w:pPr/>
      <w:r>
        <w:rPr>
          <w:b/>
        </w:rPr>
        <w:t>Shared claim-specific concepts:</w:t>
      </w:r>
      <w:r>
        <w:t xml:space="preserve"> therefore, synergies, trade-offs, between, range, services; EU scope not established. This is a provisional connection, not an outcome finding.</w:t>
      </w:r>
    </w:p>
    <w:p>
      <w:pPr>
        <w:pStyle w:val="SourceNote"/>
      </w:pPr>
      <w:r>
        <w:rPr>
          <w:b/>
        </w:rPr>
        <w:t>Available abstract (not full text):</w:t>
      </w:r>
      <w:r>
        <w:t xml:space="preserve"> Brownfield site redevelopment presents an opportunity to create urban green spaces that provide a wide range of ecosystem services. It is important, therefore, to understand which ecosystem services are demanded by stakeholders and whether there are trade-offs or synergies in this demand. We performed a quantitative survey of ecosystem service demand from brownfield sites that included all major stakeholder groups. Results showed that there was a strong trade-off between demand for services related to property development (e.g. ground strength and low flood risk) and all other services, which were linked to vegetated sites. There was a secondary, but weak, trade-off between demand for services of more ‘natural’ vegetated sites (e.g. with a biodiversity protection role) and those linked to aesthetics and recreation. Stakeholders with a strong preference for biodiversity protection formed a distinct group in their ecosystem service demands. While a ‘development’ vs ‘green space’ trade-off may be unavoidable, the general lack of strong trade-offs in demand for other services indicated that the creation of multifunctional greenspaces from former brownfield sites would be desirable to most stakeholders, as long as these are biophysically possible.</w:t>
      </w:r>
    </w:p>
    <w:p>
      <w:pPr/>
      <w:r>
        <w:rPr>
          <w:b/>
        </w:rPr>
        <w:t>POSSIBLE 2020:</w:t>
      </w:r>
      <w:r>
        <w:t xml:space="preserve"> Climate Change Adaptation Options for Coastal Communities and Local Governments — https://doi.org/10.3390/cli8010007</w:t>
      </w:r>
    </w:p>
    <w:p>
      <w:pPr/>
      <w:r>
        <w:rPr>
          <w:b/>
        </w:rPr>
        <w:t>Shared claim-specific concepts:</w:t>
      </w:r>
      <w:r>
        <w:t xml:space="preserve"> therefore, likely, adaptation, measures, protect, climate; EU scope not established. This is a provisional connection, not an outcome finding.</w:t>
      </w:r>
    </w:p>
    <w:p>
      <w:pPr>
        <w:pStyle w:val="SourceNote"/>
      </w:pPr>
      <w:r>
        <w:rPr>
          <w:b/>
        </w:rPr>
        <w:t>Available abstract (not full text):</w:t>
      </w:r>
      <w:r>
        <w:t xml:space="preserve"> Extreme weather events and failure to adapt to the likely impacts of climate change are two of the most significant threats to humanity. Therefore, many local communities are preparing adaptation plans. Even so, much of what was done has not been published in the peer-reviewed literature. This means that consideration of adaptation options for local communities is limited. With the objective of assisting in the development of adaptation plans, we present 80 adaptation options suitable for coastal communities that can be applied by local governments. They are a catena of options from defend to co-exist and finally, retreat that progresses as impacts become less manageable. Options are organized according to their capacity to protect local properties and infrastructure, natural systems, food production, availability of fresh and drinking water and well-being of the local population, as these are likely to be affected by climate change. To respond to multiple threats, ‘soft’ options, such as awareness raising, planning, political articulation and financial incentives, insurance and professional skills enhancement, can be encouraged immediately at relatively low cost and are reversible. For specific threats, options emphasize change in management practices as pre-emptive measures. Key audiences for this work are communities and local governments starting to consider priority action</w:t>
      </w:r>
    </w:p>
    <w:p>
      <w:pPr/>
      <w:r>
        <w:rPr>
          <w:b/>
        </w:rPr>
        <w:t>POSSIBLE 2020:</w:t>
      </w:r>
      <w:r>
        <w:t xml:space="preserve"> Adoption by adaptation: moving from Conservation Agriculture to conservation practices — https://doi.org/10.1080/14735903.2020.1785734</w:t>
      </w:r>
    </w:p>
    <w:p>
      <w:pPr/>
      <w:r>
        <w:rPr>
          <w:b/>
        </w:rPr>
        <w:t>Shared claim-specific concepts:</w:t>
      </w:r>
      <w:r>
        <w:t xml:space="preserve"> therefore, adaptation, trade-offs, soils, conditions; EU scope not established. This is a provisional connection, not an outcome finding.</w:t>
      </w:r>
    </w:p>
    <w:p>
      <w:pPr>
        <w:pStyle w:val="SourceNote"/>
      </w:pPr>
      <w:r>
        <w:rPr>
          <w:b/>
        </w:rPr>
        <w:t>Available abstract (not full text):</w:t>
      </w:r>
      <w:r>
        <w:t xml:space="preserve"> Conservation Agriculture (CA) is a Sustainable Agricultural Intensification strategy based on minimum soil disturbance, permanent soil coverage by living or dead biomass, and diversification of crop rotations. We reviewed the literature on benefits, trade-offs, adoption and adaptation of CA in sub-Saharan Africa (SSA). While CA can improve soils and sustain crop yields, benefits are inconsistent and there are trade-offs with crop residue use, weeds and insect pests, labour demands and short-term yield penalties. Adoption rates by smallholders in sub-Saharan Africa are generally low. We hypothesize that underlying adoption constraints are 1) the magnitude of transformation of management practices required from farmers moving to CA, 2) the multiple inherent trade-offs associated with CA practices and 3) the incompatibility of CA practices to local conditions. We suggest CA adoption in SSA could be improved by focusing the promotion of CA to environments where it best fits, or by facilitating smallholders’ adaptation of the practices of CA to respond to their conditions and constraints. We, therefore, propose to move from Conservation Agriculture to Conservation Practices by: (A) identifying and overcoming locally important CA trade-offs through adaptations and complementary practices, and (B) finding farm-specific optimal combinations of practices in terms of feasibility and bene</w:t>
      </w:r>
    </w:p>
    <w:p>
      <w:pPr/>
      <w:r>
        <w:rPr>
          <w:b/>
        </w:rPr>
        <w:t>POSSIBLE 2020:</w:t>
      </w:r>
      <w:r>
        <w:t xml:space="preserve"> Major Climate risks and Adaptation Strategies of Smallholder Farmers in Coastal Bangladesh — https://doi.org/10.1007/s00267-020-01291-8</w:t>
      </w:r>
    </w:p>
    <w:p>
      <w:pPr/>
      <w:r>
        <w:rPr>
          <w:b/>
        </w:rPr>
        <w:t>Shared claim-specific concepts:</w:t>
      </w:r>
      <w:r>
        <w:t xml:space="preserve"> therefore, likely, adaptation, compared, climate; EU scope not established. This is a provisional connection, not an outcome finding.</w:t>
      </w:r>
    </w:p>
    <w:p>
      <w:pPr>
        <w:pStyle w:val="SourceNote"/>
      </w:pPr>
      <w:r>
        <w:rPr>
          <w:b/>
        </w:rPr>
        <w:t>Available abstract (not full text):</w:t>
      </w:r>
      <w:r>
        <w:t xml:space="preserve"> Rural households in South Asia's coastal deltas face numerous livelihood challenges, including risks posed by climatic variability and extreme weather events. This study examines major climate risks, farmers' adaptation strategies, and the factors affecting the choice of those strategies using data collected from 630 households in southwestern coastal Bangladesh. Farmers identified cyclones, excessive rain and flooding, and salinity as direct climate risks. Increased crop diseases/pests and livestock diseases were perceived as indirect risks resulting from climatic variability. Farmers used multiple adaptation strategies against those risks such as modifications in farm management, use of savings and borrowing funds from family and neighbors, and periodically reducing household food consumption. Off-farm employment and seeking assistance from governmental as well as non-governmental organizations (NGOs) were also common adaptation strategies. The results show that male-headed households are more likely to change farming practices and reduce consumption compared with female-headed households that conversely tended to take assistance from NGOs as an adaptation strategy. Ownership of land and livestock, as well as farmers' prior exposure to climate change and educational training, also had a significant effect on the choice of adaptation strategy. Therefore, development interventi</w:t>
      </w:r>
    </w:p>
    <w:p>
      <w:pPr/>
      <w:r>
        <w:rPr>
          <w:b/>
        </w:rPr>
        <w:t>POSSIBLE 2020:</w:t>
      </w:r>
      <w:r>
        <w:t xml:space="preserve"> Warming-level dependent adaptation requirements and consequent limits to adaptation — https://doi.org/10.5194/egusphere-egu2020-10527</w:t>
      </w:r>
    </w:p>
    <w:p>
      <w:pPr/>
      <w:r>
        <w:rPr>
          <w:b/>
        </w:rPr>
        <w:t>Shared claim-specific concepts:</w:t>
      </w:r>
      <w:r>
        <w:t xml:space="preserve"> therefore, likely, adaptation, measures, implemented, conditions; EU scope not established. This is a provisional connection, not an outcome finding.</w:t>
      </w:r>
    </w:p>
    <w:p>
      <w:pPr>
        <w:pStyle w:val="SourceNote"/>
      </w:pPr>
      <w:r>
        <w:rPr>
          <w:b/>
        </w:rPr>
        <w:t>Available abstract (not full text):</w:t>
      </w:r>
      <w:r>
        <w:t xml:space="preserve"> The level of detail to understand the impacts associated with different levels of global temperature increase across space and time is increasing with and since the publication of the IPCC Special Report on Global Warming of 1.5°C (SR1.5). However, current adaptation assessments are limited in picking up this information to understand what the implications of different impact pathways are for adaptation. Yet, the intensity, frequency and timing of impacts are critical determinants of the feasibility of different adaptation options and their associated costs. There is increasing awareness that limits to adaptation are likely to be approached or crossed with higher levels of warming, however differential analyses of adaptation needs as a consequence of different warming pathways are so far limited. While case study based assessment of warming- and scenario-depend adaptation responses are emerging, so far an aggregated regional to global assessment is lacking. Adaptation is often seen as a process that can draw on existing approaches that have been successfully implemented elsewhere, assuming that a linear increase of impacts would allow impacted regions to scale existing approaches to deal with hazards. However, climate impacts are unlikely to increase in a linear fashion across space and time and we are likely to enter new regimes of impacts in terms of intensity and frequency, </w:t>
      </w:r>
    </w:p>
    <w:p>
      <w:pPr>
        <w:pStyle w:val="Heading2"/>
      </w:pPr>
      <w:r>
        <w:t>969.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Overview of the European species of the genus Clitocella (Entolomataceae, Agaricales) with notes on extralimital taxa — https://doi.org/10.3767/persoonia.2023.50.04</w:t>
      </w:r>
    </w:p>
    <w:p>
      <w:pPr/>
      <w:r>
        <w:rPr>
          <w:b/>
        </w:rPr>
        <w:t>Shared claim-specific concepts:</w:t>
      </w:r>
      <w:r>
        <w:t xml:space="preserve"> out, present, used; EU scope visible. This is a provisional connection, not an outcome finding.</w:t>
      </w:r>
    </w:p>
    <w:p>
      <w:pPr>
        <w:pStyle w:val="SourceNote"/>
      </w:pPr>
      <w:r>
        <w:rPr>
          <w:b/>
        </w:rPr>
        <w:t>Available abstract (not full text):</w:t>
      </w:r>
      <w:r>
        <w:t xml:space="preserve"> A revision, based on morphological and multigene analysis, of the Clitocella species currently present in Europe is provided. Portions of nrITS rDNA, nr28S rDNA (LSU), RNA polymerase II second largest subunit (RPB2), translation elongation factor 1-alpha (EF-1α), and ATPase subunit 6 (ATP6), were used to sort out the relationships of the species within the genus. Three subgenera were recognized: Clitocella subg. Clitocella encompassing C.popinalis, C.colorata, C.mundula, C.nigrescens, C.obscura and the new species C.solaris from Switzerland; the new Clitocella subg. Paraclitopilus including C.fallax and C.blancii; and the new Clitocella subg. Rhodopleurella for accommodating C. termitophila, a peculiar entity characterized by a pleurotoid habit and growing on decaying, abandoned termite nests in the Dominican Republic. Clitocella colorata originally described from China is here reported and described for the first time in Europe (Italy and Estonia). Rhodocybe cupressicola and Clitopilus ammophilus are reduced to later synonyms of Rhodopaxillus nigrescens; similarly, Clitopilus amarus is treated as a later synonym of Omphalia fallax while Rhodocybe amarella and R. ochraceopallida of Rhodopaxillus blancii. Finally, Austrian and Swedish herbarium collections identified as Rhodocybe, a doubtful taxon considered by several modern authors occasionally as either a similar but distinct</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2021:</w:t>
      </w:r>
      <w:r>
        <w:t xml:space="preserve"> Human Babesiosis in Europe — https://doi.org/10.3390/pathogens10091165</w:t>
      </w:r>
    </w:p>
    <w:p>
      <w:pPr/>
      <w:r>
        <w:rPr>
          <w:b/>
        </w:rPr>
        <w:t>Shared claim-specific concepts:</w:t>
      </w:r>
      <w:r>
        <w:t xml:space="preserve"> case, present, especially;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2020:</w:t>
      </w:r>
      <w:r>
        <w:t xml:space="preserve"> Is There a Crisis of Democracy in Europe? — https://doi.org/10.1007/s11615-020-00231-9</w:t>
      </w:r>
    </w:p>
    <w:p>
      <w:pPr/>
      <w:r>
        <w:rPr>
          <w:b/>
        </w:rPr>
        <w:t>Shared claim-specific concepts:</w:t>
      </w:r>
      <w:r>
        <w:t xml:space="preserve"> however, way, view;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important, present, especially, used;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2019:</w:t>
      </w:r>
      <w:r>
        <w:t xml:space="preserve"> Social enterprises and their ecosystems in Europe — https://doi.org/10.2767/330252</w:t>
      </w:r>
    </w:p>
    <w:p>
      <w:pPr/>
      <w:r>
        <w:rPr>
          <w:b/>
        </w:rPr>
        <w:t>Shared claim-specific concepts:</w:t>
      </w:r>
      <w:r>
        <w:t xml:space="preserve"> however, way, present;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Social Innovation in Community Energy in Europe: A Review of the Evidence — https://doi.org/10.3389/fenrg.2019.00031</w:t>
      </w:r>
    </w:p>
    <w:p>
      <w:pPr/>
      <w:r>
        <w:rPr>
          <w:b/>
        </w:rPr>
        <w:t>Shared claim-specific concepts:</w:t>
      </w:r>
      <w:r>
        <w:t xml:space="preserve"> important, however, out;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2018:</w:t>
      </w:r>
      <w:r>
        <w:t xml:space="preserve"> Drought tolerance during reproductive development is important for increasing wheat yield potential under climate change in Europe — https://doi.org/10.1093/jxb/ery226</w:t>
      </w:r>
    </w:p>
    <w:p>
      <w:pPr/>
      <w:r>
        <w:rPr>
          <w:b/>
        </w:rPr>
        <w:t>Shared claim-specific concepts:</w:t>
      </w:r>
      <w:r>
        <w:t xml:space="preserve"> important, however, used; EU scope visible. This is a provisional connection, not an outcome finding.</w:t>
      </w:r>
    </w:p>
    <w:p>
      <w:pPr>
        <w:pStyle w:val="SourceNote"/>
      </w:pPr>
      <w:r>
        <w:rPr>
          <w:b/>
        </w:rPr>
        <w:t>Available abstract (not full text):</w:t>
      </w:r>
      <w:r>
        <w:t xml:space="preserve"> Drought stress during reproductive development could drastically reduce wheat grain number and yield, but quantitative evaluation of such an effect is unknown under climate change. The objectives of this study were to evaluate potential yield benefits of drought tolerance during reproductive development for wheat ideotypes under climate change in Europe, and to identify potential cultivar parameters for improvement. We used the Sirius wheat model to optimize drought-tolerant (DT) and drought-sensitive (DS) wheat ideotypes under a future 2050 climate scenario at 13 contrasting sites, representing major wheat growing regions in Europe. Averaged over the sites, DT ideotypes achieved 13.4% greater yield compared with DS, with higher yield stability. However, the performances of the ideotypes were site dependent. Mean yield of DT was 28-37% greater compared with DS in southern Europe. In contrast, no yield difference (≤1%) between ideotypes was found in north-western Europe. An intermediate yield benefit of 10-23% was found due to drought tolerance in central and eastern Europe. We conclude that tolerance to drought stress during reproductive development is important for high yield potentials and greater yield stability of wheat under climate change in Europe.</w:t>
      </w:r>
    </w:p>
    <w:p>
      <w:pPr/>
      <w:r>
        <w:rPr>
          <w:b/>
        </w:rPr>
        <w:t>POSSIBLE 2018:</w:t>
      </w:r>
      <w:r>
        <w:t xml:space="preserve"> Home Exercise Training Improves Exercise Capacity in Cirrhosis Patients: Role of Exercise Adherence — https://doi.org/10.1038/s41598-017-18320-y</w:t>
      </w:r>
    </w:p>
    <w:p>
      <w:pPr/>
      <w:r>
        <w:rPr>
          <w:b/>
        </w:rPr>
        <w:t>Shared claim-specific concepts:</w:t>
      </w:r>
      <w:r>
        <w:t xml:space="preserve"> exercise, objective, used; EU scope not established. This is a provisional connection, not an outcome finding.</w:t>
      </w:r>
    </w:p>
    <w:p>
      <w:pPr>
        <w:pStyle w:val="SourceNote"/>
      </w:pPr>
      <w:r>
        <w:rPr>
          <w:b/>
        </w:rPr>
        <w:t>Available abstract (not full text):</w:t>
      </w:r>
      <w:r>
        <w:t xml:space="preserve"> Abstract Cirrhosis patients have reduced peak aerobic power (peak VO2) that is associated with reduced survival. Supervised exercise training increases exercise tolerance. The effect of home-based exercise training (HET) in cirrhosis is unknown. The objective was to evaluate the safety and efficacy of 8 weeks of HET on peak VO2, 6-minute walk distance (6MWD), muscle mass, and quality of life in cirrhosis. Random assignment to 8 weeks of HET (moderate to high intensity cycling exercise, 3 days/week) or usual care. Exercise adherence defined as completing ≥80% training sessions. Paired t-tests and analysis of covariance used for comparisons. Forty patients enrolled: 58% male, mean age 57 y, 70% Child Pugh-A. Between group increases in peak VO2 (1.7, 95% CI: −0.33 to 3.7 ml/kg/min, p = 0.09) and 6MWD (33.7, 95% CI: 5.1 to 62.4 m, p = 0.02) were greater after HET versus usual care. Improvements even more marked in adherent subjects for peak VO2 (2.8, 95% CI: 0.5–5.2 mL/kg/min, p = 0.02) and 6MWD (46.4, 95% CI: 12.4–80.5 m, p = 0.009). No adverse events occurred during testing or HET. Eight weeks of HET is a safe and effective intervention to improve exercise capacity in cirrhosis, with maximal benefits occurring in those who complete ≥80% of the program.</w:t>
      </w:r>
    </w:p>
    <w:p>
      <w:pPr/>
      <w:r>
        <w:rPr>
          <w:b/>
        </w:rPr>
        <w:t>POSSIBLE 2018:</w:t>
      </w:r>
      <w:r>
        <w:t xml:space="preserve"> Challenges and Action Points to Amplify Agroecology in Europe — https://doi.org/10.3390/su10051598</w:t>
      </w:r>
    </w:p>
    <w:p>
      <w:pPr/>
      <w:r>
        <w:rPr>
          <w:b/>
        </w:rPr>
        <w:t>Shared claim-specific concepts:</w:t>
      </w:r>
      <w:r>
        <w:t xml:space="preserve"> important, exercise, carried, out, present; EU scope visible. This is a provisional connection, not an outcome finding.</w:t>
      </w:r>
    </w:p>
    <w:p>
      <w:pPr>
        <w:pStyle w:val="SourceNote"/>
      </w:pPr>
      <w:r>
        <w:rPr>
          <w:b/>
        </w:rPr>
        <w:t>Available abstract (not full text):</w:t>
      </w:r>
      <w:r>
        <w:t xml:space="preserve"> Agriculture in Europe results in the production of food for both the European population and for the export sector. Significant environmental and social problems have emerged with the intensification of European agriculture. These include the loss of biodiversity, the contamination of soils, water, and food with pesticides, and the eutrophication of water bodies. Industrialized agricultural and food systems are also a major contributing factor in the decline of farm numbers, and the high use of antibiotics has led to serious human health problems. In this respect, agroecology can provide insights into important pathways and guide the design, development, and promotion of the transition towards sustainable farming and food systems. An analysis of the major challenges for the amplification of agroecology in Europe was carried out by 310 stakeholders in a World Café exercise and 23 sessions and workshops during the Agroecology Europe Forum 2017. The different challenges that were identified can be grouped into seven categories: (1) definition and concepts; (2) education, training, and knowledge sharing; (3) research approach and funding; (4) policies; (5) productivity and practices; (5) food systems and consumer awareness; and (6) co-optation. To address these challenges, the following key actions are recommended: (1) to develop a common understanding of agroecology; (2) to enhanc</w:t>
      </w:r>
    </w:p>
    <w:p>
      <w:pPr>
        <w:pStyle w:val="Heading2"/>
      </w:pPr>
      <w:r>
        <w:t>970.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2026:</w:t>
      </w:r>
      <w:r>
        <w:t xml:space="preserve"> Projecting Current and Future Habitat for the European Ground Squirrel Using MaxEnt Modeling under Climate Change — https://doi.org/10.54254/2753-8818/2026.au32281</w:t>
      </w:r>
    </w:p>
    <w:p>
      <w:pPr/>
      <w:r>
        <w:rPr>
          <w:b/>
        </w:rPr>
        <w:t>Shared claim-specific concepts:</w:t>
      </w:r>
      <w:r>
        <w:t xml:space="preserve"> used, areas; EU scope visible. This is a provisional connection, not an outcome finding.</w:t>
      </w:r>
    </w:p>
    <w:p>
      <w:pPr>
        <w:pStyle w:val="SourceNote"/>
      </w:pPr>
      <w:r>
        <w:rPr>
          <w:b/>
        </w:rPr>
        <w:t>Available abstract (not full text):</w:t>
      </w:r>
      <w:r>
        <w:t xml:space="preserve"> Climate change and human activities are changing the places where different species live more and more quickly. The European ground squirrel (Spermophilus citellus) is a species at risk, and it plays a very important role in keeping grassland environments healthy. But right now, we still do not know clearly where this threatened species lives now and where it will live in the future as the climate changes. This study combined data from many different sources and used an improved Maximum Entropy (MaxEnt) model (the test AUC value is more than 0.87) to carefully study the current situation and future changes of the good living areas for this species. The results found that the number of people living in an area and isothermality are the main environmental factors that affect where this species lives. Future guesses show that the good living areas for it will keep getting smaller. This is especially true under the high-pollution SSP5-8.5 scenario. By the end of the century, this might lead to a total loss of more than 20% of its suitable living areas. At the same time, there will be a big drop in the number of high-quality living areas for the species. It is projected that the area where this species lives will have a big move to the north. This study points out that we badly need active and flexible management methods to protect this species. The species can survive only if the w</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Simulating Ecological Functions of Vegetation Using a Dynamic Vegetation Model — https://doi.org/10.3390/f13091464</w:t>
      </w:r>
    </w:p>
    <w:p>
      <w:pPr/>
      <w:r>
        <w:rPr>
          <w:b/>
        </w:rPr>
        <w:t>Shared claim-specific concepts:</w:t>
      </w:r>
      <w:r>
        <w:t xml:space="preserve"> used, vegetation, forest; EU scope not established. This is a provisional connection, not an outcome finding.</w:t>
      </w:r>
    </w:p>
    <w:p>
      <w:pPr>
        <w:pStyle w:val="SourceNote"/>
      </w:pPr>
      <w:r>
        <w:rPr>
          <w:b/>
        </w:rPr>
        <w:t>Available abstract (not full text):</w:t>
      </w:r>
      <w:r>
        <w:t xml:space="preserve"> The ecological functions of vegetation play a significant role in improving human well-being. However, previous studies on ecological functions have only used semi-empirical models, which do not include physiological mechanisms and therefore do not accurately estimate the ecological functions of vegetation under scenarios of future climate change. To address this problem, a process-based dynamic vegetation model (LPJ-GUESS) was used to simulate the ecological functions of vegetation under different climate change scenarios in the Loess Plateau (LP), a typical ecologically fragile area in China. The simulated ecological functions were the carbon stock function (CS), soil conservation function (SC), and the water conservation function (WC). The results showed that: (1) Compared with 2001–2020, the proportion of area by shrub and grass vegetation that was predicted to transform into forest accounted for more than 1% of the area in the LP under the SSP119 scenario and 3% of the area in the LP under the SSP585 scenario during 2081–2100, respectively. (2) Compared with 2001–2020, the CS would decrease in the central and south-eastern regions, the SC would decrease in the western regions, and the WC would decrease in the Qilian, Wushaoling, Xinglong and Liupan Mountains during 2081–2100. (3) The relationships and the corresponding regions between the ecological functions of the vegeta</w:t>
      </w:r>
    </w:p>
    <w:p>
      <w:pPr/>
      <w:r>
        <w:rPr>
          <w:b/>
        </w:rPr>
        <w:t>POSSIBLE 2021:</w:t>
      </w:r>
      <w:r>
        <w:t xml:space="preserve"> High-resolution land-use land-cover change data for regional climate modelling applications over Europe – Part 2: Historical and future changes — https://doi.org/10.5194/essd-2021-252</w:t>
      </w:r>
    </w:p>
    <w:p>
      <w:pPr/>
      <w:r>
        <w:rPr>
          <w:b/>
        </w:rPr>
        <w:t>Shared claim-specific concepts:</w:t>
      </w:r>
      <w:r>
        <w:t xml:space="preserve"> used, forest, part;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pPr/>
      <w:r>
        <w:rPr>
          <w:b/>
        </w:rPr>
        <w:t>POSSIBLE 2021:</w:t>
      </w:r>
      <w:r>
        <w:t xml:space="preserve"> Analysing the relationship between drought and soil erosion using vegetation health index and RUSLE models in Godavari middle sub-basin, India — https://doi.org/10.1016/j.gsf.2021.101312</w:t>
      </w:r>
    </w:p>
    <w:p>
      <w:pPr/>
      <w:r>
        <w:rPr>
          <w:b/>
        </w:rPr>
        <w:t>Shared claim-specific concepts:</w:t>
      </w:r>
      <w:r>
        <w:t xml:space="preserve"> vegetation, one; EU scope not established. This is a provisional connection, not an outcome finding.</w:t>
      </w:r>
    </w:p>
    <w:p>
      <w:pPr>
        <w:pStyle w:val="SourceNote"/>
      </w:pPr>
      <w:r>
        <w:rPr>
          <w:b/>
        </w:rPr>
        <w:t>Available abstract (not full text):</w:t>
      </w:r>
      <w:r>
        <w:t xml:space="preserve"> Drought is a natural phenomenon posing severe implications for soil, groundwater and agricultural yield. It has been recognized as one of the most pervasive global change drivers to affect the soil. Soil being a weakly renewable resource takes a long time to form, but it takes no time to degrade. However, the response of soil to drought conditions as soil loss is not manifested in the existing literature. Thus, this study makes a concerted effort to analyze the relationship between drought conditions and soil erosion in the middle sub-basin of the Godavari River in India. MODIS remote sensing data was utilized for driving drought indices during 2000–2019. Firstly, we constricted Temperature condition index (TCI) and Vegetation Condition Index (VCI) from Land Surface Temperature (LST) and Enhanced Vegetation Index (EVI) derived from MODIS data. TCI and VCI were then integrated to determine the Vegetation Health Index (VHI). Revised Universal Soil Loss Equation (RUSLE) was utilized for estimating soil loss. The relationship between drought condition and vegetation was ascertained using the Pearson correlation. Most of the northern and southern watersheds experienced severe drought condition in the sub-basin during 2000–2019. The mean frequency of the drought occurrence was 7.95 months. The average soil erosion in the sub-basin was estimated to be 9.88 t ha−1 year−1. A positive re</w:t>
      </w:r>
    </w:p>
    <w:p>
      <w:pPr/>
      <w:r>
        <w:rPr>
          <w:b/>
        </w:rPr>
        <w:t>POSSIBLE 2020:</w:t>
      </w:r>
      <w:r>
        <w:t xml:space="preserve"> Sentinel-1 Cross Ratio and Vegetation Optical Depth: A Comparison over Europe — https://doi.org/10.3390/rs12203404</w:t>
      </w:r>
    </w:p>
    <w:p>
      <w:pPr/>
      <w:r>
        <w:rPr>
          <w:b/>
        </w:rPr>
        <w:t>Shared claim-specific concepts:</w:t>
      </w:r>
      <w:r>
        <w:t xml:space="preserve"> used, vegetation, one; EU scope visible. This is a provisional connection, not an outcome finding.</w:t>
      </w:r>
    </w:p>
    <w:p>
      <w:pPr>
        <w:pStyle w:val="SourceNote"/>
      </w:pPr>
      <w:r>
        <w:rPr>
          <w:b/>
        </w:rPr>
        <w:t>Available abstract (not full text):</w:t>
      </w:r>
      <w:r>
        <w:t xml:space="preserve"> Vegetation products based on microwave remote sensing observations, such as Vegetation Optical Depth (VOD), are increasingly used in a variety of applications. One disadvantage is the often coarse spatial resolution of tens of kilometers of products retrieved from microwave observations from spaceborne radiometers and scatterometers. This can potentially be overcome by using new high-resolution Synthetic Aperture Radar (SAR) observations from Sentinel-1. However, the sensitivity of Sentinel-1 backscatter to vegetation dynamics, or its use in radiative transfer models, such as the water cloud model, has only been tested at field to regional scale. In this study, we compared the cross-polarization ratio (CR) to vegetation dynamics as observed in microwave-based Vegetation Optical Depth from coarse-scale satellites over Europe. CR was obtained from Sentinel-1 VH and VV backscatter observations at 500 m sampling and resampled to the spatial resolution of VOD from the Advanced SCATterometer (ASCAT) on-board the Metop satellite series. Spatial patterns between median CR and ASCAT VOD correspond to each other and to vegetation patterns over Europe. Analysis of temporal correlation between CR and ASCAT VOD shows that high Pearson correlation coefficients (Rp) are found over croplands and grasslands (median Rp &gt; 0.75). Over deciduous broadleaf forests, negative correlations are found. T</w:t>
      </w:r>
    </w:p>
    <w:p>
      <w:pPr/>
      <w:r>
        <w:rPr>
          <w:b/>
        </w:rPr>
        <w:t>POSSIBLE 2018:</w:t>
      </w:r>
      <w:r>
        <w:t xml:space="preserve"> Deriving spatially explicit water uses from land use change modelling results in four river basins across Europe — https://doi.org/10.1016/j.scitotenv.2018.02.051</w:t>
      </w:r>
    </w:p>
    <w:p>
      <w:pPr/>
      <w:r>
        <w:rPr>
          <w:b/>
        </w:rPr>
        <w:t>Shared claim-specific concepts:</w:t>
      </w:r>
      <w:r>
        <w:t xml:space="preserve"> areas, one; EU scope visible. This is a provisional connection, not an outcome finding.</w:t>
      </w:r>
    </w:p>
    <w:p>
      <w:pPr>
        <w:pStyle w:val="SourceNote"/>
      </w:pPr>
      <w:r>
        <w:rPr>
          <w:b/>
        </w:rPr>
        <w:t>Available abstract (not full text):</w:t>
      </w:r>
      <w:r>
        <w:t xml:space="preserve"> The objective of this study is to provide spatially distributed water use maps at a high spatial and thematic resolution as detailed input data for further modelling purposes. The maps were derived on the basis of official water statistics and land use maps to represent the current conditions in four European river basins affected by water scarcity (Adige, Ebro, Evrotas and Sava) and allow setting up reference scenarios. The present land use distribution was modelled based on CORINE data with the land use change model iCLUE. Modelling the land use allows to create dynamic land and water use maps adapted to the needs of eventual scenario analyses compared to using only observed land use maps. The availability of several CORINE datasets allowed calibrating and validating the results of the iCLUE model carrying out a three map comparison. Sectoral water uses were attributed to different land use classes and by this means located in space. Both the location and the magnitude of urban and agricultural water uses can be derived from the final maps. The created maps together with the corresponding land use data provide a coherent set of information crucial to most environmental modelling activities and often missing at this spatial and thematic resolution. This work also aims at visualizing and validating the water use statistics provided by official institutions such as the River Bas</w:t>
      </w:r>
    </w:p>
    <w:p>
      <w:pPr>
        <w:pStyle w:val="Heading2"/>
      </w:pPr>
      <w:r>
        <w:t>971.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Key issues for European ecosystem based fisheries management — https://doi.org/10.1093/icesjms/fsag167</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Abstract Ecosystem based fisheries management (EBFM) aims to maintain healthy ecological systems as well as sustainable exploitation and benefits to social systems. However, the operationalization of EBFM may be hampered by a variety of factors, including lack of clarity about key priorities, lack of adequate knowledge and lack of management responses. We derived key concern topics in European-wide consultations of scientists and stakeholders, investigated the knowledge available for each of these topics and compared both to existing European management indicators to determine the degree to which key topics, knowledge, and management indicators align. The identified issues of relevance to EBFM advice included almost as many topics related to human wellbeing as to ecological wellbeing for all stakeholder groups. The frequency of topics varied among regions but did not differ between non-scientist stakeholder groups. Comparison of the balance between topics revealed large differences between regions in the available knowledge in spite of extensive consistency among key topics. This leaves local and Europe-wide “blind spots” for managers when trying to make informed decisions. Knowledge is particularly limited on the links between fisheries and human well-being, endangered, threatened and protected species and other human drivers such as pollution. Further, management indicators o</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r>
        <w:rPr>
          <w:b/>
        </w:rPr>
        <w:t>POSSIBLE 2025:</w:t>
      </w:r>
      <w:r>
        <w:t xml:space="preserve"> Religion and the economy in Europe — https://doi.org/10.4324/9781003152675-18</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Despite having initially constituted one of the key issues for the founding fathers of sociology, the relations between religion and the economy have been evacuated by the most restrictive approaches to secularization and modernization in Europe. In contrast, this chapter argues that religion keeps on playing a relevant role within economic behavior in the European context. The interactions between religion and the economy have taken on different forms and can be observed at various scales: micro, meso, and macro. The chapter discusses the merits and limits of these approaches in three steps. It first proposes a critical reading of the approaches to the impact of macroeconomics on religion and vice-versa, particularly when they are applied to the European context. The chapter then turns to meso approaches of religion and the economy by focusing on the role played by religious institutions in economic life: religion and entrepreneurship, religion and the social economy, religious institutions and local welfare, and religion and the economics of immigration. The concluding section endeavors to frame a research agenda on religion and economy in contemporary Europe, by focusing on the interactions between individuals, religious institutions, economic (for- and not-for-profit) actors, and the state.</w:t>
      </w:r>
    </w:p>
    <w:p>
      <w:pPr/>
      <w:r>
        <w:rPr>
          <w:b/>
        </w:rPr>
        <w:t>POSSIBLE 2023:</w:t>
      </w:r>
      <w:r>
        <w:t xml:space="preserve"> Emerging threats and opportunities to managed bee species in European agricultural systems: a horizon scan — https://doi.org/10.1038/s41598-023-45279-w</w:t>
      </w:r>
    </w:p>
    <w:p>
      <w:pPr/>
      <w:r>
        <w:rPr>
          <w:b/>
        </w:rPr>
        <w:t>Shared claim-specific concepts:</w:t>
      </w:r>
      <w:r>
        <w:t xml:space="preserve"> issues, horizon, scanning, exercise; EU scope visible. This is a provisional connection, not an outcome finding.</w:t>
      </w:r>
    </w:p>
    <w:p>
      <w:pPr>
        <w:pStyle w:val="SourceNote"/>
      </w:pPr>
      <w:r>
        <w:rPr>
          <w:b/>
        </w:rPr>
        <w:t>Available abstract (not full text):</w:t>
      </w:r>
      <w:r>
        <w:t xml:space="preserve"> Managed bee species provide essential pollination services that contribute to food security worldwide. However, managed bees face a diverse array of threats and anticipating these, and potential opportunities to reduce risks, is essential for the sustainable management of pollination services. We conducted a horizon scanning exercise with 20 experts from across Europe to identify emerging threats and opportunities for managed bees in European agricultural systems. An initial 63 issues were identified, and this was shortlisted to 21 issues through the horizon scanning process. These ranged from local landscape-level management to geopolitical issues on a continental and global scale across seven broad themes-Pesticides &amp; pollutants, Technology, Management practices, Predators &amp; parasites, Environmental stressors, Crop modification, and Political &amp; trade influences. While we conducted this horizon scan within a European context, the opportunities and threats identified will likely be relevant to other regions. A renewed research and policy focus, especially on the highest-ranking issues, is required to maximise the value of these opportunities and mitigate threats to maintain sustainable and healthy managed bee pollinators within agricultural systems.</w:t>
      </w:r>
    </w:p>
    <w:p>
      <w:pPr/>
      <w:r>
        <w:rPr>
          <w:b/>
        </w:rPr>
        <w:t>POSSIBLE 2022:</w:t>
      </w:r>
      <w:r>
        <w:t xml:space="preserve"> Health horizons: Future trends and technologies from the European Medicines Agency’s horizon scanning collaborations — https://doi.org/10.3389/fmed.2022.1064003</w:t>
      </w:r>
    </w:p>
    <w:p>
      <w:pPr/>
      <w:r>
        <w:rPr>
          <w:b/>
        </w:rPr>
        <w:t>Shared claim-specific concepts:</w:t>
      </w:r>
      <w:r>
        <w:t xml:space="preserve"> horizon, scanning, light, challenges; EU scope visible. This is a provisional connection, not an outcome finding.</w:t>
      </w:r>
    </w:p>
    <w:p>
      <w:pPr>
        <w:pStyle w:val="SourceNote"/>
      </w:pPr>
      <w:r>
        <w:rPr>
          <w:b/>
        </w:rPr>
        <w:t>Available abstract (not full text):</w:t>
      </w:r>
      <w:r>
        <w:t xml:space="preserve">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pPr/>
      <w:r>
        <w:rPr>
          <w:b/>
        </w:rPr>
        <w:t>POSSIBLE 2022:</w:t>
      </w:r>
      <w:r>
        <w:t xml:space="preserve"> AI hyped? A horizon scan of discourse on artificial intelligence in education (AIED) and development — https://doi.org/10.1080/17439884.2022.2095568</w:t>
      </w:r>
    </w:p>
    <w:p>
      <w:pPr/>
      <w:r>
        <w:rPr>
          <w:b/>
        </w:rPr>
        <w:t>Shared claim-specific concepts:</w:t>
      </w:r>
      <w:r>
        <w:t xml:space="preserve"> key, horizon; EU scope not established. This is a provisional connection, not an outcome finding.</w:t>
      </w:r>
    </w:p>
    <w:p>
      <w:pPr>
        <w:pStyle w:val="SourceNote"/>
      </w:pPr>
      <w:r>
        <w:rPr>
          <w:b/>
        </w:rPr>
        <w:t>Available abstract (not full text):</w:t>
      </w:r>
      <w:r>
        <w:t xml:space="preserve"> The study seeks to understand how the AI ecosystem might be implicated in a form of knowledge production which reifies particular kinds of epistemologies over others. Using text mining and thematic analysis, this paper offers a horizon scan of the key themes that have emerged over the past few years during the AIEd debate. We begin with a discussion of the tools we used to experiment with digital methods for data collection and analysis. This paper then examines how AI in education systems are being conceived, hyped, and potentially deployed into global education contexts. Findings are categorised into three themes in the discourse: (1) geopolitical dominance through education and technological innovation; (2) creation and expansion of market niches, and (3) managing narratives, perceptions, and norms.</w:t>
      </w:r>
    </w:p>
    <w:p>
      <w:pPr>
        <w:pStyle w:val="Heading2"/>
      </w:pPr>
      <w:r>
        <w:t>972.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air, pollution, mitigation, main, but, depending;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Spatial heterogeneity of air pollution statistics in Europe — https://doi.org/10.1038/s41598-022-16109-2</w:t>
      </w:r>
    </w:p>
    <w:p>
      <w:pPr/>
      <w:r>
        <w:rPr>
          <w:b/>
        </w:rPr>
        <w:t>Shared claim-specific concepts:</w:t>
      </w:r>
      <w:r>
        <w:t xml:space="preserve"> air, pollution, leading, order; EU scope visible. This is a provisional connection, not an outcome finding.</w:t>
      </w:r>
    </w:p>
    <w:p>
      <w:pPr>
        <w:pStyle w:val="SourceNote"/>
      </w:pPr>
      <w:r>
        <w:rPr>
          <w:b/>
        </w:rPr>
        <w:t>Available abstract (not full text):</w:t>
      </w:r>
      <w:r>
        <w:t xml:space="preserve">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air, indicator;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2021:</w:t>
      </w:r>
      <w:r>
        <w:t xml:space="preserve"> COVID-19 and Air Pollution: Measuring Pandemic Impact to Air Quality in Five European Countries — https://doi.org/10.3390/atmos12030290</w:t>
      </w:r>
    </w:p>
    <w:p>
      <w:pPr/>
      <w:r>
        <w:rPr>
          <w:b/>
        </w:rPr>
        <w:t>Shared claim-specific concepts:</w:t>
      </w:r>
      <w:r>
        <w:t xml:space="preserve"> air, pollution, improvement, quality; EU scope visible. This is a provisional connection, not an outcome finding.</w:t>
      </w:r>
    </w:p>
    <w:p>
      <w:pPr>
        <w:pStyle w:val="SourceNote"/>
      </w:pPr>
      <w:r>
        <w:rPr>
          <w:b/>
        </w:rPr>
        <w:t>Available abstract (not full text):</w:t>
      </w:r>
      <w:r>
        <w:t xml:space="preserve">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r>
        <w:rPr>
          <w:b/>
        </w:rPr>
        <w:t>POSSIBLE 2021:</w:t>
      </w:r>
      <w:r>
        <w:t xml:space="preserve"> Premature mortality due to air pollution in European cities: a health impact assessment — https://doi.org/10.1016/s2542-5196(20)30272-2</w:t>
      </w:r>
    </w:p>
    <w:p>
      <w:pPr/>
      <w:r>
        <w:rPr>
          <w:b/>
        </w:rPr>
        <w:t>Shared claim-specific concepts:</w:t>
      </w:r>
      <w:r>
        <w:t xml:space="preserve"> air, pollution, but; EU scope visible. This is a provisional connection, not an outcome finding.</w:t>
      </w:r>
    </w:p>
    <w:p>
      <w:pPr>
        <w:pStyle w:val="SourceNote"/>
      </w:pPr>
      <w:r>
        <w:rPr>
          <w:b/>
        </w:rPr>
        <w:t>Available abstract (not full text):</w:t>
      </w:r>
      <w:r>
        <w:t xml:space="preserve"> Background Ambient air pollution is a major environmental cause of morbidity and mortality worldwide. Cities are generally hotspots for air pollution and disease. However, the exact extent of the health effects of air pollution at the city level is still largely unknown. We aimed to estimate the proportion of annual preventable deaths due to air pollution in almost 1000 cities in Europe. Methods We did a quantitative health impact assessment for the year 2015 to estimate the effect of air pollution exposure (PM 2·5 and NO 2 ) on natural-cause mortality for adult residents (aged ≥20 years) in 969 cities and 47 greater cities in Europe. We retrieved the cities and greater cities from the Urban Audit 2018 dataset and did the analysis at a 250 m grid cell level for 2015 data based on the global human settlement layer residential population. We estimated the annual premature mortality burden preventable if the WHO recommended values (ie, 10 μg/m 3 for PM 2·5 and 40 μg/m 3 for NO 2 ) were achieved and if air pollution concentrations were reduced to the lowest values measured in 2015 in European cities (ie, 3·7 μg/m 3 for PM 2·5 and 3·5 μg/m 3 for NO 2 ). We clustered and ranked the cities on the basis of population and age-standardised mortality burden associated with air pollution exposure. In addition, we did several uncertainty and sensitivity analyses to test the robustness of ou</w:t>
      </w:r>
    </w:p>
    <w:p>
      <w:pPr/>
      <w:r>
        <w:rPr>
          <w:b/>
        </w:rPr>
        <w:t>POSSIBLE 2021:</w:t>
      </w:r>
      <w:r>
        <w:t xml:space="preserve"> Running in polluted air is a two-edged sword — physical exercise in low air pollution areas is cardioprotective but detrimental for the heart in high air pollution areas — https://doi.org/10.1093/eurheartj/ehab227</w:t>
      </w:r>
    </w:p>
    <w:p>
      <w:pPr/>
      <w:r>
        <w:rPr>
          <w:b/>
        </w:rPr>
        <w:t>Shared claim-specific concepts:</w:t>
      </w:r>
      <w:r>
        <w:t xml:space="preserve"> air, pollution, mitigation, present, both, factors; EU scope visible. This is a provisional connection, not an outcome finding.</w:t>
      </w:r>
    </w:p>
    <w:p>
      <w:pPr>
        <w:pStyle w:val="SourceNote"/>
      </w:pPr>
      <w:r>
        <w:rPr>
          <w:b/>
        </w:rPr>
        <w:t>Available abstract (not full text):</w:t>
      </w:r>
      <w:r>
        <w:t xml:space="preserve"> This editorial refers to ‘Association of the combined effects of air pollution and changes in physical activity with cardiovascular disease in young adults’, by S.R. Kim et al., doi: 10.1093/eurheartj/ehab139. Hypothetical framework of investigations that combine technological innovation in biometric data with personalized exposure information in real-time to study interactive effects of environmental risk factors on cardiovascular endpoints. ABP, ambulant blood pressure monitoring; BC, black carbon; PM, particulate matter. With permission from Münzel et al.18 Hypothetical framework of investigations that combine technological innovation in biometric data with personalized exposure information in real-time to study interactive effects of environmental risk factors on cardiovascular endpoints. ABP, ambulant blood pressure monitoring; BC, black carbon; PM, particulate matter. With permission from Münzel et al.18 In 2015, the Lancet Commission on Pollution and Health concluded that ‘Pollution is the largest environmental cause of disease and premature death in the world today. Diseases caused by pollution were responsible for an estimated 9 million premature deaths in 2015—16% of all deaths worldwide’.1 Also the World Health Organization (WHO) calculates that 12.6 million premature deaths per year are attributable to an unhealthy environment, 8.2 million of which are due to non-co</w:t>
      </w:r>
    </w:p>
    <w:p>
      <w:pPr/>
      <w:r>
        <w:rPr>
          <w:b/>
        </w:rPr>
        <w:t>POSSIBLE 2020:</w:t>
      </w:r>
      <w:r>
        <w:t xml:space="preserve"> Alkaline air: changing perspectives on nitrogen and air pollution in an ammonia-rich world — https://doi.org/10.1098/rsta.2019.0315</w:t>
      </w:r>
    </w:p>
    <w:p>
      <w:pPr/>
      <w:r>
        <w:rPr>
          <w:b/>
        </w:rPr>
        <w:t>Shared claim-specific concepts:</w:t>
      </w:r>
      <w:r>
        <w:t xml:space="preserve"> air, pollution, present, leading, quality; EU scope visible. This is a provisional connection, not an outcome finding.</w:t>
      </w:r>
    </w:p>
    <w:p>
      <w:pPr>
        <w:pStyle w:val="SourceNote"/>
      </w:pPr>
      <w:r>
        <w:rPr>
          <w:b/>
        </w:rPr>
        <w:t>Available abstract (not full text):</w:t>
      </w:r>
      <w:r>
        <w:t xml:space="preserve"> Ammonia and ammonium have received less attention than other forms of air pollution, with limited progress in controlling emissions at UK, European and global scales. By contrast, these compounds have been of significant past interest to science and society, the recollection of which can inform future strategies. Sal ammoniac ( nūshādir , nao sha ) is found to have been extremely valuable in long-distance trade ( ca AD 600–1150) from Egypt and China, where 6–8 kg N could purchase a human life, while air pollution associated with nūshādir collection was attributed to this nitrogen form. Ammonia was one of the keys to alchemy—seen as an early experimental mesocosm to understand the world—and later became of interest as ‘alkaline air’ within the eighteenth century development of pneumatic chemistry. The same economic, chemical and environmental properties are found to make ammonia and ammonium of huge relevance today. Successful control of acidifying SO 2 and NO x emissions leaves atmospheric NH 3 in excess in many areas, contributing to particulate matter (PM 2.5 ) formation, while leading to a new significance of alkaline air, with adverse impacts on natural ecosystems. Investigations of epiphytic lichens and bog ecosystems show how the alkalinity effect of NH 3 may explain its having three to five times the adverse effect of ammonium and nitrate, respectively. It is concluded t</w:t>
      </w:r>
    </w:p>
    <w:p>
      <w:pPr/>
      <w:r>
        <w:rPr>
          <w:b/>
        </w:rPr>
        <w:t>POSSIBLE 2020:</w:t>
      </w:r>
      <w:r>
        <w:t xml:space="preserve"> Effects of global ship emissions on European air pollution levels — https://doi.org/10.5194/acp-20-11399-2020</w:t>
      </w:r>
    </w:p>
    <w:p>
      <w:pPr/>
      <w:r>
        <w:rPr>
          <w:b/>
        </w:rPr>
        <w:t>Shared claim-specific concepts:</w:t>
      </w:r>
      <w:r>
        <w:t xml:space="preserve"> air, pollution, both, but; EU scope visible. This is a provisional connection, not an outcome finding.</w:t>
      </w:r>
    </w:p>
    <w:p>
      <w:pPr>
        <w:pStyle w:val="SourceNote"/>
      </w:pPr>
      <w:r>
        <w:rPr>
          <w:b/>
        </w:rPr>
        <w:t>Available abstract (not full text):</w:t>
      </w:r>
      <w:r>
        <w:t xml:space="preserve"> Abstract. Ship emissions constitute a large, and so far poorly regulated, source of air pollution. Emissions are mainly clustered along major ship routes, both in open seas and close to densely populated shorelines. Major air pollutants emitted include sulfur dioxide, NOx and particles. Sulfur dioxide and NOx are both major contributors to the formation of secondary fine particles (PM2.5) and to acidification and eutrophication. In addition, NOx is a major precursor for ground-level ozone. This study is based on global and regional model calculations. The model runs are made with meteorology and emission data representative for year 2017, after the tightening of the SECA (Sulphur Emission Control Area) regulations in 2015, but before the global sulfur cap entering into force in 2020. We have also made model runs reducing sulfur emissions by 80 % corresponding to the 2020 requirements. This study is based on model sensitivity studies perturbing emissions from different sea areas: the Northern European SECA in the North Sea and the Baltic Sea, the Mediterranean Sea and the Black Sea, the Atlantic Ocean close to Europe, shipping in the rest of the world and finally all global ship emissions together. Sensitivity studies have also been made setting lower bounds on the effects of ship plumes on ozone formation. The results from the global and regional calculations are similar. Both </w:t>
      </w:r>
    </w:p>
    <w:p>
      <w:pPr/>
      <w:r>
        <w:rPr>
          <w:b/>
        </w:rPr>
        <w:t>POSSIBLE 2020:</w:t>
      </w:r>
      <w:r>
        <w:t xml:space="preserve"> The Development of Air Pollution in Mexico City — https://doi.org/10.1177/2158244020931072</w:t>
      </w:r>
    </w:p>
    <w:p>
      <w:pPr/>
      <w:r>
        <w:rPr>
          <w:b/>
        </w:rPr>
        <w:t>Shared claim-specific concepts:</w:t>
      </w:r>
      <w:r>
        <w:t xml:space="preserve"> air, pollution, present, both, but, about; EU scope visible. This is a provisional connection, not an outcome finding.</w:t>
      </w:r>
    </w:p>
    <w:p>
      <w:pPr>
        <w:pStyle w:val="SourceNote"/>
      </w:pPr>
      <w:r>
        <w:rPr>
          <w:b/>
        </w:rPr>
        <w:t>Available abstract (not full text):</w:t>
      </w:r>
      <w:r>
        <w:t xml:space="preserve"> The present essay documents changes to both objects of inquiry and the meaning of the epistemological concept of air pollution and it explains the processes that produced them. Smog as a result of production processes and the use of the automobile was not a concern for researchers and government managers in Mexico City, who were used to the dust storms resulting from the desiccation of the great Texcoco Lake during much of the 20th century, until the most industrialized nations of the West and the World Health Organization (WHO), alongside other international bodies such as the Organization for European Economic Cooperation (OEEC), reframed what was understood as air pollution, between the end of the 1960s and the beginning of the 1970s. Concerns about dust storms were displaced by concerns about factory and automotive emissions that contained new dangers—invisible hazards, just then being estimated, which altered what was understood or considered air pollution and gave rise to the quantification of particulate matter (which was then known as suspended dust particles) and new practices such as atmospheric monitoring. This essay concludes that what is understood as air pollution is situated; its meaning is not finite but simply evolves with time and with the rise of new global risks and concerns.</w:t>
      </w:r>
    </w:p>
    <w:p>
      <w:pPr>
        <w:pStyle w:val="Heading2"/>
      </w:pPr>
      <w:r>
        <w:t>973.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2023:</w:t>
      </w:r>
      <w:r>
        <w:t xml:space="preserve"> Effect of Baseline Period on Quantification of Climate Extremes Over the United States — https://doi.org/10.1029/2023gl105204</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Abstract Extreme climate events are societally harmful and have increased in frequency and intensity in recent decades. Indices based on temperature and precipitation are a valuable way to quantify climate extremes. Certain indices are defined relative to percentiles, which are dependent on a climatological baseline period. In this study, indices computed using temperature and precipitation from the Modern Era Retrospective Analysis for Research and Applications, Version 2 are calculated using percentiles from three baseline periods: 1981–2010, 1991–2020 and 1981–2020. Updating the baseline period from 1981 to 2010 to 1991–2020 leads to significant changes in the quantification of temperature and precipitation extremes over the United States over 1980–2021. Using the later baseline period indicates more cold extremes, fewer warm extremes, and fewer but more intense precipitation extremes throughout the US, with regional variation. Changing the baseline period can mislead the public and decision makers, potentially undermining the appropriate response to climate‐related health risks.</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2021:</w:t>
      </w:r>
      <w:r>
        <w:t xml:space="preserve"> Achieving sustainable development: A baseline analysis of Western and Eastern European countries — https://doi.org/10.15826/recon.2021.7.1.002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Relevance. Sustainable development is now an increasingly important topic on the global agenda, which received much attention in connection with the adoption of the 2030 Agenda for Sustainable Development and the Sustainable Development Goals (SDGs).Research objectives. The article aims to contribute to the understanding of sustainability expansion and SDGs achievement in Europe by comparing the differences between Western and Eastern European countries. Data and methods. The study relies on descriptive statistics and comparative analysis of sustainable development results in Western (18) and Eastern European (21) countries. The parametric Student's t-distribution test and non-parametric U Mann-Whitney test were used to examine the significance of the differences between Western and Eastern European countries.Results. Sustainable development in Eastern and Western European countries is affected by various economic, social and environmental processes. The SDGs in Western European countries is achieved mostly in the social and economic spheres while in the Eastern European countries, in social and environmental spheres. Although Europe leads globally on sustainability, it still faces significant challenges in reaching the SDGs.Conclusions. European countries are compared in order to identify the main SDGs directions and constraints in the current state of sustainability achieveme</w:t>
      </w:r>
    </w:p>
    <w:p>
      <w:pPr/>
      <w:r>
        <w:rPr>
          <w:b/>
        </w:rPr>
        <w:t>POSSIBLE 2020:</w:t>
      </w:r>
      <w:r>
        <w:t xml:space="preserve"> Patch test results of the European baseline series among 1309 patients in Turkey between 2013 and 2019 — https://doi.org/10.1111/cod.13653</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Prevalences of sensitivity to contact allergens change over time as a result of variations in allergen exposure. OBJECTIVES: The aim of the study was to describe trends in sensitisation to allergens of the European baseline series in Turkey between 2013 and 2019. METHODS: The patch test results of 1309 patients with suspected allergic contact dermatitis (ACD) were analysed retrospectively, and the prevalence of contact allergies to European baseline series allergens was compared with previous data (for 1998-2005). RESULTS: A total of 534 (40.8%) patients exhibited one or more positive patch test reaction. The five most frequent allergens were nickel sulfate (19.6%), potassium dichromate (6.5%), cobalt chloride (6%), Myroxylon pereirae resin (5%), and p-phenylenediamine (PPD; 3.7%). Statistically significant increases in the prevalence of sensitisation to methylchloroisothiazolinone/methylisothiazolinone (MCI/MI; P &lt; .001), Myroxylon pereirae resin (P &lt; .001), PPD (P = .008), and fragrance mix I (P = .036) were observed in the 2013 to 2019 period compared with the 1998 to 2005 period. Conversely, positive reactions to neomycin sulfate (P = .029), clioquinol (P = .031), and primin (P = .001) decreased significantly. CONCLUSION: This study provides a comprehensive profile of ACD in Turkey. The remarkable increase in the MI and MCI/MI contact allergy observed underlines</w:t>
      </w:r>
    </w:p>
    <w:p>
      <w:pPr/>
      <w:r>
        <w:rPr>
          <w:b/>
        </w:rPr>
        <w:t>POSSIBLE 2020:</w:t>
      </w:r>
      <w:r>
        <w:t xml:space="preserve"> The Role of Social Support in Machismo and Acceptance of Violence Among Adolescents in Europe: Lights4Violence Baseline Results — https://doi.org/10.1016/j.jadohealth.2020.09.007</w:t>
      </w:r>
    </w:p>
    <w:p>
      <w:pPr/>
      <w:r>
        <w:rPr>
          <w:b/>
        </w:rPr>
        <w:t>Shared claim-specific concepts:</w:t>
      </w:r>
      <w:r>
        <w:t xml:space="preserve"> baseline, spain, portugal; EU scope visible. This is a provisional connection, not an outcome finding.</w:t>
      </w:r>
    </w:p>
    <w:p>
      <w:pPr>
        <w:pStyle w:val="SourceNote"/>
      </w:pPr>
      <w:r>
        <w:rPr>
          <w:b/>
        </w:rPr>
        <w:t>Available abstract (not full text):</w:t>
      </w:r>
      <w:r>
        <w:t xml:space="preserve"> Purpose To analyze the potential association between social support, experiences of violence, and sociodemographic characteristics of adolescents and the likelihood of acceptance of violence and machismo in different European countries. Methods Cross-sectional design. We recruited 1,555 participants ages 13–16 from secondary schools in Alicante (Spain), Rome (Italy), Iasi (Romania), Matosinhos (Portugal), Poznan (Poland), and Cardiff (UK). We used linear regression models to identify how social support from teachers and parents, experiences of violence—dating violence, bullying, cyberbullying, abuse in childhood—and sociodemographic characteristics were associated with violent thinking, specifically: machismo and acceptance of violence. The analysis was stratified by sex. Results Acceptance of violence was higher for those who had lower perceived social support from parents (β girls = −154, p &lt; .001; β boys = −.114, p = .019) for both sexes. Perpetration of bullying and/or cyberbullying was associated with higher scores for machismo and acceptance of violence for both sexes (β girls = .067, p = .035; β boys = .225, p &lt; .001; (β girls = .118, p &lt; .001; β boys = .210, p &lt; .001). Being the victim of dating violence, having suffered physical and/or sexual abuse in childhood, and lower perceived social support from teachers were associated with higher scores for both machismo and ac</w:t>
      </w:r>
    </w:p>
    <w:p>
      <w:pPr/>
      <w:r>
        <w:rPr>
          <w:b/>
        </w:rPr>
        <w:t>POSSIBLE 2020:</w:t>
      </w:r>
      <w:r>
        <w:t xml:space="preserve"> Comparing interannual variability in three regional single-model initial-condition large ensembles (SMILEs) over Europe — https://doi.org/10.5194/esd-11-1013-2020</w:t>
      </w:r>
    </w:p>
    <w:p>
      <w:pPr/>
      <w:r>
        <w:rPr>
          <w:b/>
        </w:rPr>
        <w:t>Shared claim-specific concepts:</w:t>
      </w:r>
      <w:r>
        <w:t xml:space="preserve"> comparing, periods, increases, france, climate; EU scope visible. This is a provisional connection, not an outcome finding.</w:t>
      </w:r>
    </w:p>
    <w:p>
      <w:pPr>
        <w:pStyle w:val="SourceNote"/>
      </w:pPr>
      <w:r>
        <w:rPr>
          <w:b/>
        </w:rPr>
        <w:t>Available abstract (not full text):</w:t>
      </w:r>
      <w:r>
        <w:t xml:space="preserve"> Abstract. Single model large ensembles are widely used model experiments to estimate internal climate variability. The underlying assumption is that the internal variability (here: inter-annual variability) of the chosen model is a good approximation of the observed natural (inter-annual) variability. In this study, we test this assumption based on three regional climate model large ensembles (16 members of an EC-EARTH-RACMO ensemble, 21 members of a CESM-CCLM ensemble, 50 members of a CanESM-CRCM ensemble) for four European domains (British Isles, France, Mid-Europe, Alps). Simulated inter-annual variability is evaluated against E-OBS and the inter-annunal variability and its future change are compared across the ensembles. To the knowledge of the authors, this is the first comparison of regional large ensembles over Europe. Analysis comprises seasonal temperature and precipitation, as well as indicators for dry periods and heat waves. Results show a large consistency of all three ensembles with E-OBS data for most indicators and regions, validating the abilities of these ensembles to represent natural variability on the annual scale. EC-EARTH-RACMO shows the highest inter-annual variability for winter temperature and precipitation, whereas CESM-CCLM shows the highest variability for summer temperature and precipitation, as well as for heatwaves and dry periods. Despite these </w:t>
      </w:r>
    </w:p>
    <w:p>
      <w:pPr/>
      <w:r>
        <w:rPr>
          <w:b/>
        </w:rPr>
        <w:t>POSSIBLE 2020:</w:t>
      </w:r>
      <w:r>
        <w:t xml:space="preserve"> Machine learning for large-scale crop yield forecasting — https://doi.org/10.1016/j.agsy.2020.103016</w:t>
      </w:r>
    </w:p>
    <w:p>
      <w:pPr/>
      <w:r>
        <w:rPr>
          <w:b/>
        </w:rPr>
        <w:t>Shared claim-specific concepts:</w:t>
      </w:r>
      <w:r>
        <w:t xml:space="preserve"> baseline, much, france; EU scope visible. This is a provisional connection, not an outcome finding.</w:t>
      </w:r>
    </w:p>
    <w:p>
      <w:pPr>
        <w:pStyle w:val="SourceNote"/>
      </w:pPr>
      <w:r>
        <w:rPr>
          <w:b/>
        </w:rPr>
        <w:t>Available abstract (not full text):</w:t>
      </w:r>
      <w:r>
        <w:t xml:space="preserve"> Many studies have applied machine learning to crop yield prediction with a focus on specific case studies. The data and methods they used may not be transferable to other crops and locations. On the other hand, operational large-scale systems, such as the European Commission's MARS Crop Yield Forecasting System (MCYFS), do not use machine learning. Machine learning is a promising method especially when large amounts of data are being collected and published. We combined agronomic principles of crop modeling with machine learning to build a machine learning baseline for large-scale crop yield forecasting. The baseline is a workflow emphasizing correctness, modularity and reusability. For correctness, we focused on designing explainable predictors or features (in relation to crop growth and development) and applying machine learning without information leakage. We created features using crop simulation outputs and weather, remote sensing and soil data from the MCYFS database. We emphasized a modular and reusable workflow to support different crops and countries with small configuration changes. The workflow can be used to run repeatable experiments (e.g. early season or end of season predictions) using standard input data to obtain reproducible results. The results serve as a starting point for further optimizations. In our case studies, we predicted yield at regional level for f</w:t>
      </w:r>
    </w:p>
    <w:p>
      <w:pPr/>
      <w:r>
        <w:rPr>
          <w:b/>
        </w:rPr>
        <w:t>POSSIBLE 2020:</w:t>
      </w:r>
      <w:r>
        <w:t xml:space="preserve"> One simulation, different conclusions—the baseline period makes the difference! — https://doi.org/10.1088/1748-9326/aba3d7</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The choice of the baseline period, intentionally chosen or not, as a reference for assessing future changes of any projected variable can play an important role for the resulting statement. In regional climate impact studies, well-established or arbitrarily chosen baselines are often used without being questioned. Here we investigated the effects of different baseline periods on the interpretation of discharge simulations from eight river basins in the period 1960–2099. The simulations were forced by four bias-adjusted and downscaled Global Climate Modelsunder two radiative forcing scenarios (RCP 2.6 and RCP 8.5). To systematically evaluate how far the choice of different baselines impacts the simulation results, we developed a similarity index that compares two time series of projected changes. The results show that 25% of the analyzed simulations are sensitive to the choice of the baseline period under RCP 2.6 and 32% under RCP 8.5. In extreme cases, change signals of two time series show opposite trends. This has serious consequences for key messages drawn from a basin-scale climate impact study. To address this problem, an algorithm was developed to identify flexible baseline periods for each simulation individually, which better represent the statistical properties of a given historical period.</w:t>
      </w:r>
    </w:p>
    <w:p>
      <w:pPr/>
      <w:r>
        <w:rPr>
          <w:b/>
        </w:rPr>
        <w:t>POSSIBLE 2019:</w:t>
      </w:r>
      <w:r>
        <w:t xml:space="preserve"> Baseline and power analyses for the assessment of beach litter reductions in the European OSPAR region — https://doi.org/10.1016/j.envpol.2019.02.030</w:t>
      </w:r>
    </w:p>
    <w:p>
      <w:pPr/>
      <w:r>
        <w:rPr>
          <w:b/>
        </w:rPr>
        <w:t>Shared claim-specific concepts:</w:t>
      </w:r>
      <w:r>
        <w:t xml:space="preserve"> baseline, period, periods; EU scope visible. This is a provisional connection, not an outcome finding.</w:t>
      </w:r>
    </w:p>
    <w:p>
      <w:pPr>
        <w:pStyle w:val="SourceNote"/>
      </w:pPr>
      <w:r>
        <w:rPr>
          <w:b/>
        </w:rPr>
        <w:t>Available abstract (not full text):</w:t>
      </w:r>
      <w:r>
        <w:t xml:space="preserve"> Marine litter pollution is a global environmental problem. Beach litter is a part of this problem, and is widely monitored in Europe. The European Marine Strategy Framework Directive (MSFD) requires a reduction of beach litter. A reduction of 30% has been proposed in the European Plastics Strategy. The aims of this study are to develop (a) a method to calculate sufficiently stable and precise baseline values for beach litter, and (b) to derive a method of power analysis to estimate the number of beach litter surveys, necessary to detect a given reduction, using these baseline values. Beach litter data from the OSPAR (Oslo Paris Convention) region were used, and tailor-made statistical methods were implemented in open source software, litteR. Descriptive statistics and Theil-Sen and Mann-Kendall trend analyses were calculated for the most abundant beach litter types, for 14 survey sites. The length of a baseline period necessary to obtain a specified precision of the mean baseline value, expressed as Coefficient of Variation (CV), was calculated. Power analyses were performed using Monte Carlo simulations combined with Wilcoxon tests to determine significant deviations of the simulated datasets from the baseline mean values. For most survey sites, the mean length of monitoring periods necessary to achieve a CV &lt; 10% amounts to four to five years with four surveys a year. The mea</w:t>
      </w:r>
    </w:p>
    <w:p>
      <w:pPr>
        <w:pStyle w:val="Heading2"/>
      </w:pPr>
      <w:r>
        <w:t>974.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2026:</w:t>
      </w:r>
      <w:r>
        <w:t xml:space="preserve"> Tourism Dynamics at Meenakshi Amman Temple: Examining Implications for Micro-Enterprise Economic Performance — https://doi.org/10.34293/management.v13is1-i2-feb.10387</w:t>
      </w:r>
    </w:p>
    <w:p>
      <w:pPr/>
      <w:r>
        <w:rPr>
          <w:b/>
        </w:rPr>
        <w:t>Shared claim-specific concepts:</w:t>
      </w:r>
      <w:r>
        <w:t xml:space="preserve"> implications, but, significantly; EU scope not established. This is a provisional connection, not an outcome finding.</w:t>
      </w:r>
    </w:p>
    <w:p>
      <w:pPr>
        <w:pStyle w:val="SourceNote"/>
      </w:pPr>
      <w:r>
        <w:rPr>
          <w:b/>
        </w:rPr>
        <w:t>Available abstract (not full text):</w:t>
      </w:r>
      <w:r>
        <w:t xml:space="preserve"> Now a days Local economies are significantly boosted by religious tourism destination, especially for small business that depend significantly on visitor traffic. The constant stream of pilgrims in holy cities like Madurai has a direct impact on the prosperity of Local business and service providers. The study looks at how local microbusiness’ performance is affected by tourism near the meenakshi Amman Temple.we concentrated on business operating close to the temple that were MSME –registered such as retail stores,food vendors, lodging facilities,and tour companies.we collected data from 120 business owners using structured questionnaires. Our analysis employed simple statistical methods percentages,Descriptive analysis and simple t-test,correlation. Findings indicates that there are definite advantages to tourism including higher sales, more clients and study revenue during busy time. However, these advantages change throughout the year. Businesses suffer major difficulties during low visitor seasons, particularly when infrastructure is poor or crowd control is ineffective. Temple tourism has a lot of room to grow, but doing so would require better infrastructure and encouraging laws.</w:t>
      </w:r>
    </w:p>
    <w:p>
      <w:pPr/>
      <w:r>
        <w:rPr>
          <w:b/>
        </w:rPr>
        <w:t>POSSIBLE 2026:</w:t>
      </w:r>
      <w:r>
        <w:t xml:space="preserve"> CRANIAL STRUCTURE OF †CHONDROSTEUS ACIPENSEROIDES RE-EXAMINED: IMPLICATIONS FOR UPPER JAW HOMOLOGIES IN ACIPENSERIFORM FISHES — https://doi.org/10.7302/28802</w:t>
      </w:r>
    </w:p>
    <w:p>
      <w:pPr/>
      <w:r>
        <w:rPr>
          <w:b/>
        </w:rPr>
        <w:t>Shared claim-specific concepts:</w:t>
      </w:r>
      <w:r>
        <w:t xml:space="preserve"> implications, but, not; EU scope not established. This is a provisional connection, not an outcome finding.</w:t>
      </w:r>
    </w:p>
    <w:p>
      <w:pPr>
        <w:pStyle w:val="SourceNote"/>
      </w:pPr>
      <w:r>
        <w:rPr>
          <w:b/>
        </w:rPr>
        <w:t>Available abstract (not full text):</w:t>
      </w:r>
      <w:r>
        <w:t xml:space="preserve"> The Early Jurassic family †Chondrosteidae is considered the sister lineage to all remaining acipenseriforms, the actinopterygian group that includes sturgeons, paddlefishes, and their immediate extinct relatives. As the best-known and oldest †chondrosteid, the Hettangian– Sinemurian †Chondrosteus acipenseroides plays a central role in understanding plesiomorphic acipenseriform conditions. Here we present a micro-computed tomographic examination of the cranial anatomy of †Chondrosteus based on a laterally compressed skull. We corroborate many aspects of the most recent account of this genus but find additional upper jaw bones not previously reported. These newly recognized ossifications, some dermal and some endoskeletal in origin, bear on hypothesized homologies of upper jaw components in acipenseriforms. First, †Chondrosteus possesses a series of up to three toothed dermal bones associated with the ventral margin of the palate. These bones correspond to the dermopalatines of other actinopterygians. We therefore reject identification of the marginal, strap-like bone of the acipenseriform upper jaw as a dermopalatine and accept the historical interpretation of that ossification as a maxilla. Second, two endoskeletal bones are associated with the aboral surface of the palate. The largest of these is a thin sheet matching the bone conventionally interpreted as an autopalatine in o</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2025:</w:t>
      </w:r>
      <w:r>
        <w:t xml:space="preserve"> Sociocultural constructs and sensorimotor control: a scoping review examining implications for anterior cruciate injury — https://doi.org/10.1136/bjsports-2024-108617</w:t>
      </w:r>
    </w:p>
    <w:p>
      <w:pPr/>
      <w:r>
        <w:rPr>
          <w:b/>
        </w:rPr>
        <w:t>Shared claim-specific concepts:</w:t>
      </w:r>
      <w:r>
        <w:t xml:space="preserve"> implications, approach, but; EU scope not established. This is a provisional connection, not an outcome finding.</w:t>
      </w:r>
    </w:p>
    <w:p>
      <w:pPr>
        <w:pStyle w:val="SourceNote"/>
      </w:pPr>
      <w:r>
        <w:rPr>
          <w:b/>
        </w:rPr>
        <w:t>Available abstract (not full text):</w:t>
      </w:r>
      <w:r>
        <w:t xml:space="preserve"> OBJECTIVE: There is a need to explore the many factors that may have a more subtle influence on, or relationship with, sensorimotor control as it pertains to anterior cruciate ligament injury risk. Due to well-established sex/gender-related differences in sensorimotor control, a close examination of key sociocultural constructs is warranted. This scoping review examined the connection between sociocultural constructs and sensorimotor control. DESIGN: Scoping review. DATA SOURCES: The following databases were searched: PubMed, Embase, Scopus, CINAHL Complete, Academic Search Complete, Pre-Prints Database and Rehabilitation Reference Center from inception to September 2023. Additionally, relevant grey literature was identified. ELIGIBILITY CRITERIA FOR SELECTING STUDIES: Two blinded reviewers independently performed screening, study selection and data extraction. Original references in English, Spanish and German reporting on sociocultural constructs and motor task performance were included. RESULTS: Data were extracted from 68 included articles. Stereotype threat, gender and race have been examined more than other sociocultural constructs. Sensorimotor control was assessed in upper and lower quarter tasks and physical activity (PA). Task assessment methods varied, often focusing on task completion or completion speed. It is evident that sociocultural constructs influence sensori</w:t>
      </w:r>
    </w:p>
    <w:p>
      <w:pPr/>
      <w:r>
        <w:rPr>
          <w:b/>
        </w:rPr>
        <w:t>POSSIBLE 2023:</w:t>
      </w:r>
      <w:r>
        <w:t xml:space="preserve"> Examining research systems and models for local government: a systematic review — https://doi.org/10.1332/17442648y2023d000000002</w:t>
      </w:r>
    </w:p>
    <w:p>
      <w:pPr/>
      <w:r>
        <w:rPr>
          <w:b/>
        </w:rPr>
        <w:t>Shared claim-specific concepts:</w:t>
      </w:r>
      <w:r>
        <w:t xml:space="preserve"> systems, approach, but, optimal; EU scope visible. This is a provisional connection, not an outcome finding.</w:t>
      </w:r>
    </w:p>
    <w:p>
      <w:pPr>
        <w:pStyle w:val="SourceNote"/>
      </w:pPr>
      <w:r>
        <w:rPr>
          <w:b/>
        </w:rPr>
        <w:t>Available abstract (not full text):</w:t>
      </w:r>
      <w:r>
        <w:t xml:space="preserve">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pPr/>
      <w:r>
        <w:rPr>
          <w:b/>
        </w:rPr>
        <w:t>POSSIBLE 2022:</w:t>
      </w:r>
      <w:r>
        <w:t xml:space="preserve"> Are Black Girls Exhibiting Puberty Earlier? Examining Implications of Race-Based Guidelines — https://doi.org/10.1542/peds.2021-055595</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From 1977 to 2013, the average age of thelarche, the first sign of puberty in girls, decreased by nearly 3 months per decade.1 This trend, along with rising rates of precocious puberty in girls, has significant implications for girls’ physical and psychosocial development, especially because early puberty has been linked to future health risks.2,3In 1997, the Pediatric Research in Office Setting study introduced race into the discourse surrounding pubertal timing trends.4 In a study of approximately 17 000 girls, Black girls at every age had more advanced breast development compared with White girls. Breast development had begun at age 6 years for 6.4% of Black and 2.8% of White girls and, by 8 years, 37.8% of Black and 10.5% of White girls.4 Because of these findings, the Pediatric Endocrine Society Drugs and Therapeutic Committee recommended new race-based criteria for defining precocious puberty.5 Proposed recommendations stated that breast development should be considered precocious in Black girls younger than 6 years and White girls younger than 7 years.5 Although these guidelines were never formally recognized, race has become widely accepted as a factor in the pubertal timing of girls and has been included in recent American Academy of Pediatrics (AAP) clinical reports6 and Pediatric Endocrine Society guidelines.7 As a result, many patients, caregivers, medical students,</w:t>
      </w:r>
    </w:p>
    <w:p>
      <w:pPr/>
      <w:r>
        <w:rPr>
          <w:b/>
        </w:rPr>
        <w:t>POSSIBLE 2022:</w:t>
      </w:r>
      <w:r>
        <w:t xml:space="preserve"> Re-examining post-acceptance model of information systems continuance: A revised theoretical model using MASEM approach — https://doi.org/10.1016/j.ijinfomgt.2022.102571</w:t>
      </w:r>
    </w:p>
    <w:p>
      <w:pPr/>
      <w:r>
        <w:rPr>
          <w:b/>
        </w:rPr>
        <w:t>Shared claim-specific concepts:</w:t>
      </w:r>
      <w:r>
        <w:t xml:space="preserve"> systems, approach, technology; EU scope not established. This is a provisional connection, not an outcome finding.</w:t>
      </w:r>
    </w:p>
    <w:p>
      <w:pPr>
        <w:pStyle w:val="SourceNote"/>
      </w:pPr>
      <w:r>
        <w:rPr>
          <w:b/>
        </w:rPr>
        <w:t>Available abstract (not full text):</w:t>
      </w:r>
      <w:r>
        <w:t xml:space="preserve"> This study extends the post-acceptance model of information systems (IS) continuance, which is widely used to explain users’ satisfaction and IS continuance intentions. The extended model includes additional variables such as perceived ease of use (PEOU), attitude, trust, and enjoyment. The proposed model was tested using meta-analytic structural equation modeling (MASEM). The analysis included 1,056 observations on fifteen relationships from 214 independent studies with a combined sample of 84,343. The results confirm the significance of all the relationships proposed in the original model. Furthermore, the findings indicate that PEOU directly influences perceived usefulness, satisfaction, and attitude. Trust and enjoyment both have a positive impact on users’ satisfaction and IS continuance, wherein the effect of enjoyment was higher than trust. post-consumption satisfaction resulted in a favorable attitude toward technology, which further affected IS continuance. From a theoretical perspective, the current study acknowledges the shift in users’ attitude toward technology and emphasizes the hedonic value of IS usage as users report a higher degree of satisfaction toward responsive, easy to use, and enjoyable technologies. Marketers should focus on the enjoyment and gratifications derived from technology to increase potential IS usage.</w:t>
      </w:r>
    </w:p>
    <w:p>
      <w:pPr/>
      <w:r>
        <w:rPr>
          <w:b/>
        </w:rPr>
        <w:t>POSSIBLE 2022:</w:t>
      </w:r>
      <w:r>
        <w:t xml:space="preserve"> #foodporn: examining Instagram food influencers through the systems model of creativity — https://doi.org/10.1080/22041451.2022.2137248</w:t>
      </w:r>
    </w:p>
    <w:p>
      <w:pPr/>
      <w:r>
        <w:rPr>
          <w:b/>
        </w:rPr>
        <w:t>Shared claim-specific concepts:</w:t>
      </w:r>
      <w:r>
        <w:t xml:space="preserve"> examines, systems; EU scope not established. This is a provisional connection, not an outcome finding.</w:t>
      </w:r>
    </w:p>
    <w:p>
      <w:pPr>
        <w:pStyle w:val="SourceNote"/>
      </w:pPr>
      <w:r>
        <w:rPr>
          <w:b/>
        </w:rPr>
        <w:t>Available abstract (not full text):</w:t>
      </w:r>
      <w:r>
        <w:t xml:space="preserve"> Social media influencers (SMIs) are having a profound impact on how diners seek information about culinary establishments and are redefining how the marketing industry promotes restaurants and brands. Although research has confirmed the value of an SMI’s electronic word of mouth (eWOM) endorsement on brand recognition and purchase intention, there is limited understanding of the creative practice of these individuals. To address this gap, this research examines Instagram food influencers in Australia, using the systems model of creativity to frame the research. This research found that as an individual agent in a system, Instagram food influencers are impacted by their personal experiences, their immersion in cultural domains, their understanding of the field’s preferences and engagement with its social system when creating content. These findings indicate that the systems model of creativity is a sound framework to understand the creative practice of SMIs.</w:t>
      </w:r>
    </w:p>
    <w:p>
      <w:pPr/>
      <w:r>
        <w:rPr>
          <w:b/>
        </w:rPr>
        <w:t>POSSIBLE 2022:</w:t>
      </w:r>
      <w:r>
        <w:t xml:space="preserve"> Examining virtual reality as a platform for developing mental models of industrial systems — https://doi.org/10.1111/jcal.12731</w:t>
      </w:r>
    </w:p>
    <w:p>
      <w:pPr/>
      <w:r>
        <w:rPr>
          <w:b/>
        </w:rPr>
        <w:t>Shared claim-specific concepts:</w:t>
      </w:r>
      <w:r>
        <w:t xml:space="preserve"> examines, systems, not, significantly, technology; EU scope not established. This is a provisional connection, not an outcome finding.</w:t>
      </w:r>
    </w:p>
    <w:p>
      <w:pPr>
        <w:pStyle w:val="SourceNote"/>
      </w:pPr>
      <w:r>
        <w:rPr>
          <w:b/>
        </w:rPr>
        <w:t>Available abstract (not full text):</w:t>
      </w:r>
      <w:r>
        <w:t xml:space="preserve"> Abstract Industrial systems can be complex and not intuitive to perceive. Therefore, students in technology and engineering programs can benefit from developing mental models of industrial systems during their journey in college. However, more often than not, these students do not have access to industrial facilities; thus, developing mental models for systems is a challenge. This paper examines the merit of an Immersive Virtual Reality (IVR) framework application in creating proper mental models for industrial systems in technology and engineering students. Two IVR applications were developed. One IVR application afforded interaction with components of a prefabricated industrial cooling water system (CWVR). In the other application, students designed and built industrial systems with IVR (system designer VR [SDVR]). SDVR facilitated constructive‐generative engagement. A group of 33 students was divided into two; one group (the Design, experimental group) was tasked with building a system with SDVR and interacting with the cooling water system in CWVR. The other group was tasked with directly interacting with the CWVR without building a system with SDVR (the Interaction, comparison group). Students' mental models of the cooling water system in CWVR were evaluated following completing the interaction experience with CWVR. The results demonstrate that the causal model notion of t</w:t>
      </w:r>
    </w:p>
    <w:p>
      <w:pPr/>
      <w:r>
        <w:rPr>
          <w:b/>
        </w:rPr>
        <w:t>POSSIBLE 2021:</w:t>
      </w:r>
      <w:r>
        <w:t xml:space="preserve"> A Model for Examining Challenges and Opportunities in Use of Cloud Computing for Health Information Systems — https://doi.org/10.3390/asi4010015</w:t>
      </w:r>
    </w:p>
    <w:p>
      <w:pPr/>
      <w:r>
        <w:rPr>
          <w:b/>
        </w:rPr>
        <w:t>Shared claim-specific concepts:</w:t>
      </w:r>
      <w:r>
        <w:t xml:space="preserve"> systems, but, not, technology; EU scope not established. This is a provisional connection, not an outcome finding.</w:t>
      </w:r>
    </w:p>
    <w:p>
      <w:pPr>
        <w:pStyle w:val="SourceNote"/>
      </w:pPr>
      <w:r>
        <w:rPr>
          <w:b/>
        </w:rPr>
        <w:t>Available abstract (not full text):</w:t>
      </w:r>
      <w:r>
        <w:t xml:space="preserve"> Health Information Systems (HIS) are becoming crucial for health providers, not only for keeping Electronic Health Records (EHR) but also because of the features they provide that can be lifesaving, thanks to the advances in Information Technology (IT). These advancements have led to increasing demands for additional features to these systems to improve their intelligence, reliability, and availability. All these features may be provisioned through the use of cloud computing in HIS. This study arrives at three dimensions pertinent to adoption of cloud computing in HIS through extensive interviews with experts, professional expertise and knowledge of one of the authors working in this area, and review of academic and practitioner literature. These dimensions are financial performance and cost; IT operational excellence and DevOps; and security, governance, and compliance. Challenges and drivers in each of these dimensions are detailed and operationalized to arrive at a model for HIS adoption. This proposed model detailed in this study can be employed by executive management of health organizations, especially senior clinical management positions like Chief Technology Officers (CTOs), Chief Information Officers (CIOs), and IT managers to make an informed decision on adoption of cloud computing for HIS. Use of cloud computing to support operational and financial excellence of heal</w:t>
      </w:r>
    </w:p>
    <w:p>
      <w:pPr/>
      <w:r>
        <w:rPr>
          <w:b/>
        </w:rPr>
        <w:t>POSSIBLE 2021:</w:t>
      </w:r>
      <w:r>
        <w:t xml:space="preserve"> Examining the Implications of Smart Homes for Work — https://doi.org/10.25405/ncl.34511658</w:t>
      </w:r>
    </w:p>
    <w:p>
      <w:pPr/>
      <w:r>
        <w:rPr>
          <w:b/>
        </w:rPr>
        <w:t>Shared claim-specific concepts:</w:t>
      </w:r>
      <w:r>
        <w:t xml:space="preserve"> implications, approach, not, technology; EU scope not established. This is a provisional connection, not an outcome finding.</w:t>
      </w:r>
    </w:p>
    <w:p>
      <w:pPr>
        <w:pStyle w:val="SourceNote"/>
      </w:pPr>
      <w:r>
        <w:rPr>
          <w:b/>
        </w:rPr>
        <w:t>Available abstract (not full text):</w:t>
      </w:r>
      <w:r>
        <w:t xml:space="preserve"> In light of debates about the future of work after the pandemic (Venkatesh, 2020, Barnes, 2020), it is important to examine the effect of smart home utilisation in remote work practices and impacts on individuals’ productivity and wellbeing. However, the literature on smart homes and organisational behaviour provides limited insights. Specifically, given that researchers so far have only focused on the utilisation of smart home technologies for household tasks (Marikyan et al., 2020, Mulcahy et al., 2019, Shin et al., 2018, Balta-Ozkan et al., 2014a), the impact of smart homes on work productivity has not been explored. Secondly, although prior literature examined the impacts of remote work, the potential implications that emergency situations (e.g. pandemic) may have for individuals’ productivity have not been researched (Venkatesh, 2020, Chatterjee et al., 2021, Papagiannidis et al., 2020).The aim of this study is to fill the gaps in the existing literature and understand the implications of smart home technologies in the home-office environment while working remotely during the pandemic. Specifically, this study aims to examine the application of smart home technologies in remote work practices by exploring work and work environment characteristics, smart technology and individual factors in relation to organisational productivity and personal wellbeing. To address the objec</w:t>
      </w:r>
    </w:p>
    <w:p>
      <w:pPr/>
      <w:r>
        <w:rPr>
          <w:b/>
        </w:rPr>
        <w:t>POSSIBLE 2020:</w:t>
      </w:r>
      <w:r>
        <w:t xml:space="preserve"> Applying focused ethnographic methods: examining implications of intracultural diversity for nutrition interventions — https://doi.org/10.1093/nutrit/nuaa002</w:t>
      </w:r>
    </w:p>
    <w:p>
      <w:pPr/>
      <w:r>
        <w:rPr>
          <w:b/>
        </w:rPr>
        <w:t>Shared claim-specific concepts:</w:t>
      </w:r>
      <w:r>
        <w:t xml:space="preserve"> then, examines, implications, approach, but; EU scope not established. This is a provisional connection, not an outcome finding.</w:t>
      </w:r>
    </w:p>
    <w:p>
      <w:pPr>
        <w:pStyle w:val="SourceNote"/>
      </w:pPr>
      <w:r>
        <w:rPr>
          <w:b/>
        </w:rPr>
        <w:t>Available abstract (not full text):</w:t>
      </w:r>
      <w:r>
        <w:t xml:space="preserve"> This paper examines the implications of intracultural difference for the design and implementation of nutrition interventions. It raises the question of whether small-sample, mixed-method implementation research, using a focused ethnographic approach, has sufficient power to detect meaningful differences in cultural beliefs, values, perceptions, and attitudes that are important for the design and implementation of nutrition interventions. It first presents the theoretical framework that was used to guide the research, followed by a description of the methodology of the Focused Ethnographic Study for Infant and Young Child Feeding. It then uses the findings from recent research in Ghana to address the central question. The findings document strong elements of shared cultural consensus, but intracultural differences of importance, in relation to the planning and content of behavior change communication.</w:t>
      </w:r>
    </w:p>
    <w:p>
      <w:pPr>
        <w:pStyle w:val="Heading2"/>
      </w:pPr>
      <w:r>
        <w:t>975.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2024:</w:t>
      </w:r>
      <w:r>
        <w:t xml:space="preserve"> Exploring the factors of employee turnover intentions in private education institutions in China: a Delphi study — https://doi.org/10.1080/23311975.2024.2413915</w:t>
      </w:r>
    </w:p>
    <w:p>
      <w:pPr/>
      <w:r>
        <w:rPr>
          <w:b/>
        </w:rPr>
        <w:t>Shared claim-specific concepts:</w:t>
      </w:r>
      <w:r>
        <w:t xml:space="preserve"> delphi, method, solicit, synthesize, within; EU scope not established. This is a provisional connection, not an outcome finding.</w:t>
      </w:r>
    </w:p>
    <w:p>
      <w:pPr>
        <w:pStyle w:val="SourceNote"/>
      </w:pPr>
      <w:r>
        <w:rPr>
          <w:b/>
        </w:rPr>
        <w:t>Available abstract (not full text):</w:t>
      </w:r>
      <w:r>
        <w:t xml:space="preserve">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pPr/>
      <w:r>
        <w:rPr>
          <w:b/>
        </w:rPr>
        <w:t>POSSIBLE 2024:</w:t>
      </w:r>
      <w:r>
        <w:t xml:space="preserve"> Development of an evidence‐based nursing practice program for preventing unplanned endotracheal extubations in the intensive care unit: A Delphi method study — https://doi.org/10.1111/jocn.17340</w:t>
      </w:r>
    </w:p>
    <w:p>
      <w:pPr/>
      <w:r>
        <w:rPr>
          <w:b/>
        </w:rPr>
        <w:t>Shared claim-specific concepts:</w:t>
      </w:r>
      <w:r>
        <w:t xml:space="preserve"> delphi, method, inquiry, synthesize; EU scope not established. This is a provisional connection, not an outcome finding.</w:t>
      </w:r>
    </w:p>
    <w:p>
      <w:pPr>
        <w:pStyle w:val="SourceNote"/>
      </w:pPr>
      <w:r>
        <w:rPr>
          <w:b/>
        </w:rPr>
        <w:t>Available abstract (not full text):</w:t>
      </w:r>
      <w:r>
        <w:t xml:space="preserve"> AIMS: This study aims to develop an evidence-based nursing practice program to prevent unplanned endotracheal extubation (UEE) among adult patients in the intensive care unit (ICU). DESIGN: This study uses the Delphi method to develop an evidence-based nursing practice program. METHODS: A comprehensive review of 18 databases and evidence-based websites was conducted to gather, assess and synthesize evidence on preventing UEEs in adult patients. Using this synthesized evidence, a questionnaire was formulated for further investigation. Subsequently, input was solicited from experts through Delphi surveys to establish an evidence-based nursing practice protocol for preventing UEEs in adult ICU patients. Consistency in consultation results guided subsequent rounds of consultation. RESULTS: The developed program comprised 43 evidence items categorized into nine dimensions, including risk assessment for unplanned extubation, sedation, analgesia, delirium, balloon management, psychosocial care, early extubation, catheter immobilization and protective restraints. Two rounds of expert inquiry yielded recovery rates of 94.7% and 100% for the first and second questionnaires, respectively. Kendall W values ranged from .224 to .353 (p &lt; .001). CONCLUSION: This study developed an evidence-based nursing practice program to prevent UEE in adult ICU patients, employing evidence-based practices </w:t>
      </w:r>
    </w:p>
    <w:p>
      <w:pPr/>
      <w:r>
        <w:rPr>
          <w:b/>
        </w:rPr>
        <w:t>POSSIBLE 2024:</w:t>
      </w:r>
      <w:r>
        <w:t xml:space="preserve"> International consensus on research priorities in hypospadias using a Delphi study approach — https://doi.org/10.1016/j.jpurol.2024.12.005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INTRODUCTION: Hypospadias is a common congenital anomaly of the male genitalia that poses significant management and treatment challenges. Gaining a comprehensive understanding of priority research questions in hypospadiology will be essential to reach agreement on the optimal approach to assessment, treatment, and outcome prediction for affected patients. METHODS: We employed a consensus-building Delphi method to identify and prioritize research questions in the hypospadias field. Additionally, we integrated questions sourced from the artificial intelligence platform ChatGPT to capture multiple perspectives. Engaging a diverse panel of experts including clinicians, researchers, and patient advocates from across the globe, the Delphi process aimed to distill collective expertise and insights through iterative rounds of structured questionnaires and feedback. RESULTS: The analysis identified key themes in hypospadias research, covering etiology, tissue engineering, pre-clinical models, device/technology evaluation, phenotyping, surgical techniques, surgical training and postoperative outcomes. These themes highlight crucial areas for future investigation to improve understanding of hypospadias, treatment options, and patient outcomes, thereby guiding both research and clinical practice. DISCUSSION: By harnessing the collective wisdom and perspectives of multiple stakeholders, th</w:t>
      </w:r>
    </w:p>
    <w:p>
      <w:pPr/>
      <w:r>
        <w:rPr>
          <w:b/>
        </w:rPr>
        <w:t>POSSIBLE 2024:</w:t>
      </w:r>
      <w:r>
        <w:t xml:space="preserve"> Identifying Suitable Indicators to Assess Chiang Mai as a Sustainable City Using Delphi Method — https://openalex.org/W7217749191</w:t>
      </w:r>
    </w:p>
    <w:p>
      <w:pPr/>
      <w:r>
        <w:rPr>
          <w:b/>
        </w:rPr>
        <w:t>Shared claim-specific concepts:</w:t>
      </w:r>
      <w:r>
        <w:t xml:space="preserve"> used, delphi, method, government, confirm; EU scope not established. This is a provisional connection, not an outcome finding.</w:t>
      </w:r>
    </w:p>
    <w:p>
      <w:pPr>
        <w:pStyle w:val="SourceNote"/>
      </w:pPr>
      <w:r>
        <w:rPr>
          <w:b/>
        </w:rPr>
        <w:t>Available abstract (not full text):</w:t>
      </w:r>
      <w:r>
        <w:t xml:space="preserve"> Chiang Mai is facing enormous challenges, such as climate change, economic and social problems which make the government, the private, and public sectors to tackle the problems and develop the city towards sustainability. This research aims to identify suitable indicators to assess the potential of Chiang Mai as sustainable city. Chiang Mai City Development Plan, Chiang Mai Smart City Strategy Plan 2019, the Master Plan for Development of Chiang Mai Transportation System, Bio-Circular-Green Economic Model (BCG), Transit-oriented development (TOD) and Sustainable Development Goals (SDGs) are considered and used to formulate related indicators that will be assessed for suitability by at least 20 experts using Delphi method. The level of importance is assessed using a five-point Likert type scale. Average value and standard deviation calculations are conducted to confirm the significance of the indicators chosen. In this work, the focus is on the 1st round of Delphi method questionnaire to identify appropriate indicators to assess the sustainability of Chiang Mai city. From the first Delphi method, 29 out of initial 64 indicators were selected by the experts. 25 additional indicators were also proposed by the experts. A total of 54 indicators were to be used in subsequent 2nd and 3rd rounds of questionnaire by the Delphi method. The indicators obtained from this research may be us</w:t>
      </w:r>
    </w:p>
    <w:p>
      <w:pPr/>
      <w:r>
        <w:rPr>
          <w:b/>
        </w:rPr>
        <w:t>POSSIBLE 2023:</w:t>
      </w:r>
      <w:r>
        <w:t xml:space="preserve"> RAND Methodological Guidance for Conducting and Critically Appraising Delphi Panels — https://doi.org/10.7249/tla3082-1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Delphi method is an iterative, anonymous, structured, expert elicitation and stakeholder engagement technique often used to generate a group consensus. This manual provides methodological guidance and practical advice for what to consider when designing, implementing, and reporting Delphi panel results. It also includes the Delphi Critical Appraisal Tool, a checklist that researchers can use to assess a Delphi study's quality.</w:t>
      </w:r>
    </w:p>
    <w:p>
      <w:pPr/>
      <w:r>
        <w:rPr>
          <w:b/>
        </w:rPr>
        <w:t>POSSIBLE 2023:</w:t>
      </w:r>
      <w:r>
        <w:t xml:space="preserve"> Z-Delphi: A Z-Number-Based Delphi Technique for Technological Forecasting to Reduce Optimism/Pessimism Bias in Experts’ Convergent Opinions — https://doi.org/10.1007/s44196-023-00270-1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Abstract The Delphi technique is an indispensable instrument for technology forecasting. The method is, however, limited by ambiguity aversion, uncertainty, and statistical optimism/pessimism bias. To address the aforementioned limitations, we have proposed a fuzzy Delphi technique based on Z-numbers in this paper, as Z-numbers offer an effective framework to simulate human thinking. We generated basic probability assignments (BPAs) from the experts’ responses, considered statistical dispersion using Grey Clustering, and then developed Z-numbers. The proposed method is flexible and can be applied to forecast technological aspects based on subjective judgments. We consulted with 11 experts to forecast water-saving technology for dairy plants. Entropy was used to compare the proposed method to other fuzzy Delphi approaches. Compared to other fuzzy Delphi methods, we discovered that the proposed approach registers the lowest uncertainty. The proposed study suggests that fuzzy Delphi with reduced uncertainty can be highly impactful in critical fields like sustainable production. In the end, we have discussed the future research directions of the proposed study.</w:t>
      </w:r>
    </w:p>
    <w:p>
      <w:pPr/>
      <w:r>
        <w:rPr>
          <w:b/>
        </w:rPr>
        <w:t>POSSIBLE 2023:</w:t>
      </w:r>
      <w:r>
        <w:t xml:space="preserve"> Factors Affecting Employee Retention of Private Companies in Cambodia Using Delphi Method — https://doi.org/10.54536/ajet.v2i1.1246</w:t>
      </w:r>
    </w:p>
    <w:p>
      <w:pPr/>
      <w:r>
        <w:rPr>
          <w:b/>
        </w:rPr>
        <w:t>Shared claim-specific concepts:</w:t>
      </w:r>
      <w:r>
        <w:t xml:space="preserve"> used, delphi, method, role, managers; EU scope not established. This is a provisional connection, not an outcome finding.</w:t>
      </w:r>
    </w:p>
    <w:p>
      <w:pPr>
        <w:pStyle w:val="SourceNote"/>
      </w:pPr>
      <w:r>
        <w:rPr>
          <w:b/>
        </w:rPr>
        <w:t>Available abstract (not full text):</w:t>
      </w:r>
      <w:r>
        <w:t xml:space="preserve"> In slightly more than a decade (1988-2000), the eminent issue for companies was one of attracting and retaining people with the skills necessary to do the work. The situation became even more complex during 2001 – 2009 period as an economic meltdown forced thousands of companies to cut back or downsize their employee populations. Employee turn-over is often associated with “employee retention”. Employee retention plays an important role to keep up with other companies amidst the rapid evolvement of global economic environment. The objectives of the study are (1) To identify and assess the factors affecting employee retention of private employees in Cambodia from the experts point of view such as HR practitioners etc. and (2) To recommend ways on how to improve employee retention. The researcher employed Delphi Method Technique with 2 rounds. The Delphi methodology is used to determine, predict and explore group attitudes, needs and priorities. The researcher invited 34 panel of experts who are at least middle managers of private companies in Cambodia such as HR professionals and managers and with at least 5 years of experience in the field. After round 2, the experts agreed that there are 5 factors greatly affecting employee retention of private companies in Cambodia and they are: compensation; promotion, opportunity and growth; work environment; training and development; and w</w:t>
      </w:r>
    </w:p>
    <w:p>
      <w:pPr/>
      <w:r>
        <w:rPr>
          <w:b/>
        </w:rPr>
        <w:t>POSSIBLE 2022:</w:t>
      </w:r>
      <w:r>
        <w:t xml:space="preserve"> A Conceptual Framework for Determining Quality Requirements for Mobile Learning Applications Using Delphi Method — https://doi.org/10.3390/electronics11050788</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development of mobile learning apps might fail due to poor selection of the suitable technical requirements for mobile devices. This will affect the quality of mobile learning applications and, thus, will increase the development cost of mobile learning apps. Due to the above issues, we need to determine the most appropriate technical quality requirements for the development of mobile learning apps that meet user requirements. To achieve that, we propose a comprehensive framework to capture the most suitable technical quality requirements for mobile learning apps. A Delphi method was used to collect, evaluate, and analyze the data for this study. As a result of our Delphi study, we have identified nineteen technical quality requirements, divided into six quality dimensions, for the development of mobile learning applications. The proposed framework is expected to be a guideline for mobile apps designers and developers to successfully develop mobile learning apps.</w:t>
      </w:r>
    </w:p>
    <w:p>
      <w:pPr/>
      <w:r>
        <w:rPr>
          <w:b/>
        </w:rPr>
        <w:t>POSSIBLE 2022:</w:t>
      </w:r>
      <w:r>
        <w:t xml:space="preserve"> Grand Challenges in global eye health: a global prioritisation process using Delphi method — https://doi.org/10.1016/s2666-7568(21)00302-0</w:t>
      </w:r>
    </w:p>
    <w:p>
      <w:pPr/>
      <w:r>
        <w:rPr>
          <w:b/>
        </w:rPr>
        <w:t>Shared claim-specific concepts:</w:t>
      </w:r>
      <w:r>
        <w:t xml:space="preserve"> used, delphi, method, systems, each; EU scope visible. This is a provisional connection, not an outcome finding.</w:t>
      </w:r>
    </w:p>
    <w:p>
      <w:pPr>
        <w:pStyle w:val="SourceNote"/>
      </w:pPr>
      <w:r>
        <w:rPr>
          <w:b/>
        </w:rPr>
        <w:t>Available abstract (not full text):</w:t>
      </w:r>
      <w:r>
        <w:t xml:space="preserve"> BACKGROUND: We undertook a Grand Challenges in Global Eye Health prioritisation exercise to identify the key issues that must be addressed to improve eye health in the context of an ageing population, to eliminate persistent inequities in health-care access, and to mitigate widespread resource limitations. METHODS: Drawing on methods used in previous Grand Challenges studies, we used a multi-step recruitment strategy to assemble a diverse panel of individuals from a range of disciplines relevant to global eye health from all regions globally to participate in a three-round, online, Delphi-like, prioritisation process to nominate and rank challenges in global eye health. Through this process, we developed both global and regional priority lists. FINDINGS: Between Sept 1 and Dec 12, 2019, 470 individuals complete round 1 of the process, of whom 336 completed all three rounds (round 2 between Feb 26 and March 18, 2020, and round 3 between April 2 and April 25, 2020) 156 (46%) of 336 were women, 180 (54%) were men. The proportion of participants who worked in each region ranged from 104 (31%) in sub-Saharan Africa to 21 (6%) in central Europe, eastern Europe, and in central Asia. Of 85 unique challenges identified after round 1, 16 challenges were prioritised at the global level; six focused on detection and treatment of conditions (cataract, refractive error, glaucoma, diabetic re</w:t>
      </w:r>
    </w:p>
    <w:p>
      <w:pPr>
        <w:pStyle w:val="Heading2"/>
      </w:pPr>
      <w:r>
        <w:t>976.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2025:</w:t>
      </w:r>
      <w:r>
        <w:t xml:space="preserve"> Evaluation Results Dissemination Strategy and Performance of Highway Construction Projects in Kenya — https://doi.org/10.37391/ijbmr.130101</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The purpose of this study is to examine the influence of evaluation results dissemination strategy on performance of highway construction projects in Kenya. This study was anchored on Utilization-Focused Evaluation (UFE) theory. This research utilized pragmatism research philosophy and correlational design. The target population was 69 Category A road construction projects that have been completed by KeNHA for the period between 2018 and 2022. The respondents in these projects were the project managers in all the 69 highway construction projects in Kenya. The study used a census approach and hence all the projects were included in the study. The research adopted both secondary and primary data. The research involved data collection checklist for secondary data collection from the KeNHA. Secondary data was collected from KeNHA reports and primary data was collected by use of semi-structured questionnaires. While qualitative data was analyzed by of thematic analysis, quantitative data was analyzed using descriptive and inferential statistics. The study found that that evaluation results dissemination strategy has a positive and significant impact on performance of highway construction projects in Kenya. The study recommends that project managers should adopt effective dissemination strategies for evaluation findings to ensure timely and accessible communication with all stakehold</w:t>
      </w:r>
    </w:p>
    <w:p>
      <w:pPr/>
      <w:r>
        <w:rPr>
          <w:b/>
        </w:rPr>
        <w:t>POSSIBLE 2025:</w:t>
      </w:r>
      <w:r>
        <w:t xml:space="preserve"> Evaluation Results Dissemination Strategy and Performance of Highway Construction Projects in Kenya — https://doi.org/10.52283/nswrca.ajbmr.20251001a05</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Highway construction projects in Kenya consistently encounter challenges such as delays, cost overruns, and suboptimal quality (Muchiri &amp; Mose, 2022; Mugweru &amp; Muchelule, 2022). These recurring issues underscore the critical need for enhanced decision-making and more effective stakeholder engagement (Ndurya and Bii, 2019). A crucial yet underexplored factor contributing to these challenges is the efficacy of evaluation results dissemination (Mutekhele et al., 2018). While evaluations are designed to foster improved project outcomes, prior research presents varied findings regarding the actual impact of dissemination strategies on project performance (Mutekhele et al., 2018). This study's objective was to investigate the influence of evaluation results dissemination strategy on the performance of highway construction projects in Kenya. This research was grounded in the Utilization-Focused Evaluation (UFE) theory (Patton, 1978). Adopting a pragmatist research philosophy, the study employed a correlational design. The target population comprised 69 Category A road construction projects completed by the Kenya National Highways Authority (KeNHA) between 2018 and 2022. The respondents for these projects were the project managers across all 69 highway construction projects in Kenya. A census approach was utilized, ensuring the inclusion of all projects in the study. The research incor</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r>
        <w:rPr>
          <w:b/>
        </w:rPr>
        <w:t>POSSIBLE 2022:</w:t>
      </w:r>
      <w:r>
        <w:t xml:space="preserve"> EFFECTS OF UTILIZATION OF MONITORING AND EVALUATION RESULTS ON PROJECT PERFORMANCE — https://doi.org/10.46827/ejsss.v7i5.1294</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Globally, any organization's goal is to be effective, and efficient, attain its objectives and exceed in performance. The need to be successful and have a more remarkable performance has created the need for regular tracking of projects to ensure the project follows the right course for optimal performance. The role of NDMA in Kenya is very crucial in attaining the Kenya vision 2030, the big four agenda, and SDG 2 on ending hunger and achieving food security. Therefore, with this background, the research sought to substantiate the impact of utilization of monitoring, and evaluation results on the performance of drought resilience projects by the National Drought Management Authority (NDMA) in Mandera County. This study adopted systems theory and a descriptive research design. The study undertook a census survey where all the 60 members of the project under NDMA were studied. Data from primary and secondary sources were utilized and the researcher employed semi-structured questionnaires to collect data. Reliability and validity of research instruments and study results were attained by pilot testing the research instruments. SPSS statistical package using descriptive statistics was employed to analyze the collected data. Inferential statistics were applied to ascertain the relationship between independent and dependent variables. The findings show that utilization of monitoring </w:t>
      </w:r>
    </w:p>
    <w:p>
      <w:pPr/>
      <w:r>
        <w:rPr>
          <w:b/>
        </w:rPr>
        <w:t>POSSIBLE 2022:</w:t>
      </w:r>
      <w:r>
        <w:t xml:space="preserve"> System dynamics approach of knowledge transfer from projects to the project-based organization — https://doi.org/10.1108/ijmpb-06-2021-0142</w:t>
      </w:r>
    </w:p>
    <w:p>
      <w:pPr/>
      <w:r>
        <w:rPr>
          <w:b/>
        </w:rPr>
        <w:t>Shared claim-specific concepts:</w:t>
      </w:r>
      <w:r>
        <w:t xml:space="preserve"> projects, conceptual, gap, between; EU scope not established. This is a provisional connection, not an outcome finding.</w:t>
      </w:r>
    </w:p>
    <w:p>
      <w:pPr>
        <w:pStyle w:val="SourceNote"/>
      </w:pPr>
      <w:r>
        <w:rPr>
          <w:b/>
        </w:rPr>
        <w:t>Available abstract (not full text):</w:t>
      </w:r>
      <w:r>
        <w:t xml:space="preserve"> Purpose Although knowledge transfer in the context of projects and project-based organizations (PBOs) has gained increasing attention from academia and industry, it is not clear how knowledge transfers from projects to their parent PBOs. This research aims to explore the main factors influencing knowledge transfer from projects to their parent PBOs, and analyze how these factors integrate the transfer process as system components using the system dynamics (SD) method. Design/methodology/approach Based on the literature review, investigation and interview, this paper adopts the event analysis to obtain the influencing factors from historical cases and establishes a conceptual model of knowledge transfer from five dimensions, which simultaneously considers the knowledge sender, knowledge receiver and the relationship between the knowledge sender and receiver, knowledge features and transfer context. Then, the relationships between variables in the qualitative model were clarified, and a quantitative model including seven feedback loops was established using the SD model. Lastly, the system simulation and sensitivity analysis of the main parameters were realized in Vensim PLE software. Findings The simulation analysis results show that the model can simulate the knowledge transfer process from projects to the PBO to a certain extent. This research fully demonstrates the impact of </w:t>
      </w:r>
    </w:p>
    <w:p>
      <w:pPr/>
      <w:r>
        <w:rPr>
          <w:b/>
        </w:rPr>
        <w:t>POSSIBLE 2021:</w:t>
      </w:r>
      <w:r>
        <w:t xml:space="preserve"> PROJECT ACTIVITIES OF STUDENTS AND CRITERIA FOR EVALUATING RESULTS — https://doi.org/10.33989/2075-146x.2020.26.227655</w:t>
      </w:r>
    </w:p>
    <w:p>
      <w:pPr/>
      <w:r>
        <w:rPr>
          <w:b/>
        </w:rPr>
        <w:t>Shared claim-specific concepts:</w:t>
      </w:r>
      <w:r>
        <w:t xml:space="preserve"> projects, evaluation, thinking, between, activities; EU scope not established. This is a provisional connection, not an outcome finding.</w:t>
      </w:r>
    </w:p>
    <w:p>
      <w:pPr>
        <w:pStyle w:val="SourceNote"/>
      </w:pPr>
      <w:r>
        <w:rPr>
          <w:b/>
        </w:rPr>
        <w:t>Available abstract (not full text):</w:t>
      </w:r>
      <w:r>
        <w:t xml:space="preserve"> The article discusses the issues of organizing students' project work as some modern approach that allows integrating theoretical knowledge and practical skills required for working in modern conditions. Being one of the forms of organizing the educational process, the project activity contributes to improving the quality of education, democratization of the communication style between teachers and students. The purpose of the project activity is to create conditions for the formation of research skills of the students, the development of their creativity and logical thinking. In the presented work practical recommendations for the teachers who want to use projects in their courses are provided. A system of criteria according to which the student project will be evaluated has been developed. Criteria can be used as instructions that show what needs to be done to achieve the best results. The project evaluation is carried out not only at the stage of presentation and defense of the project, but also at the intermediate stages of its implementation.</w:t>
      </w:r>
    </w:p>
    <w:p>
      <w:pPr/>
      <w:r>
        <w:rPr>
          <w:b/>
        </w:rPr>
        <w:t>POSSIBLE 2021:</w:t>
      </w:r>
      <w:r>
        <w:t xml:space="preserve"> Urban-PLUMBER model evaluation project: initial results — https://doi.org/10.5194/egusphere-egu21-15230</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We present initial results of the Urban-PLUMBER international model evaluation project. This project assesses the performance of land surface models used in meteorological simulations of urban areas. Phase 1 included 24 models of varying complexity, from simple slab models through to multi-layer urban canopy models. 54 model output variables are requested, including primary surface energy fluxes, anthropogenic heat and moisture fluxes, soil variables, albedo, canopy and building air temperatures. This rich dataset is used to both compare model outputs with observations and to understand factors contributing to model performance. The project involved a number of other innovations including: An online portal (modelevaluation.org) is used to distribute site data and accept submissions. Upon submission to the portal participants are provided with variable near-instant compliance checks and analyses allowing participants to make corrections if required. A ten-year ERA5-derived spin up which overcomes the typically short period of urban flux tower observations and allows the entire observed period to be used in analyses. Testing models alongside simple empirical benchmarks (e.g. out-of-sample linear regression of turbulent fluxes on shortwave radiation) to assess if input information is used effectively. We also discuss the initial stages of Phase 2 which involves testing models at m</w:t>
      </w:r>
    </w:p>
    <w:p>
      <w:pPr>
        <w:pStyle w:val="Heading2"/>
      </w:pPr>
      <w:r>
        <w:t>977.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2025:</w:t>
      </w:r>
      <w:r>
        <w:t xml:space="preserve"> A Quantitative Analysis of the Legacy ATM Financial Model — https://doi.org/10.1109/ntad67887.2025.11302661</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This paper provides a quantitative analysis of the legacy financial model governing European Air Navigation Service Providers (ANSPs) to establish an empirical baseline for the transition towards a Service-Oriented Architecture (SOA). The research problem centers on the model’s inherent economic characteristics, particularly its cost inelasticity and risk allocation mechanisms, which are poorly understood in a quantitative sense. The methodology involves constructing a mathematical financial model based on the European performance and charging scheme. This model is calibrated and validated using six years (2018-2023) of detailed financial and operational data from a representative national provider, LPS SR of Slovakia. The results of a 7-year simulation (2018-2024) quantify the ANSP’s financial performance, revealing a massive loss in 2020 followed by a sharp, regulation-driven return to profitability in 2022. The discussion analyzes these findings, concluding that the legacy system is defined by regulatory resilience, where financial risk from demand shocks is transferred directly to airspace users, rather than being absorbed by the provider. This analysis demonstrates that a shift to an SOA is not merely a technical change but a fundamental economic transition from a regulated cost-recovery utility to a market-based system where service providers must assume full financial ri</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2022:</w:t>
      </w:r>
      <w:r>
        <w:t xml:space="preserve"> Implementing a probabilistic fire modeling system at the pan-European level — https://doi.org/10.14195/978-989-26-2298-9_174</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emission, reduction;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2020:</w:t>
      </w:r>
      <w:r>
        <w:t xml:space="preserve"> Coupling prediction model for long‐term displacements of arch dams based on long short‐term memory network — https://doi.org/10.1002/stc.2548</w:t>
      </w:r>
    </w:p>
    <w:p>
      <w:pPr/>
      <w:r>
        <w:rPr>
          <w:b/>
        </w:rPr>
        <w:t>Shared claim-specific concepts:</w:t>
      </w:r>
      <w:r>
        <w:t xml:space="preserve"> long-term, reduction; EU scope not established. This is a provisional connection, not an outcome finding.</w:t>
      </w:r>
    </w:p>
    <w:p>
      <w:pPr>
        <w:pStyle w:val="SourceNote"/>
      </w:pPr>
      <w:r>
        <w:rPr>
          <w:b/>
        </w:rPr>
        <w:t>Available abstract (not full text):</w:t>
      </w:r>
      <w:r>
        <w:t xml:space="preserve"> The long-term safety and health monitoring of large dams has attracted increasing attention. In this paper, coupling prediction models based on long short-term memory (LSTM) network are proposed for the long-term deformation of arch dams. Principal component analysis (PCA) and moving average (MA) method, adopted to make dimension reduction for the input variables, are respectively combined with the LSTM to achieve two coupling prediction models, that is, LSTM-PCA and LSTM-MA. Lijiaxia arch dam, which has been in operation over 20 years, is taken as an analysis example. Compared with the traditional hydrostatic-seasonal-time model, the hydrostatic-seasonal-time thermal model, and the multilayer perceptron model, the proposed models show more effectiveness concerning the predicted displacements of the arch dam. The accuracy of the predicted results from the coupling prediction models is better. Furthermore, the coupling prediction models could capture the long-term characteristics and provide better prediction with short monitoring data. Compared with the LSTM-PCA model, the LSTM-MA model is more suitable for engineering applications due to its convenience.</w:t>
      </w:r>
    </w:p>
    <w:p>
      <w:pPr/>
      <w:r>
        <w:rPr>
          <w:b/>
        </w:rPr>
        <w:t>POSSIBLE 2019:</w:t>
      </w:r>
      <w:r>
        <w:t xml:space="preserve"> Quantitative sovereign default models and the European debt crisis — https://doi.org/10.1016/j.jinteco.2019.01.011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 In this paper, we study whether the same framework can be applied to the analysis of debt crises in which domestic public debt plays a prominent role. We consider a model where a government can issue debt to both domestic and foreign investors, and we derive conditions under which their sum is the relevant state variable for default incentives. We then apply our framework to the European debt crisis. We show that matching the cyclicality of public debt—rather than that of external debt—allows the model to better capture the empirical distribution of interest rate spreads and gives rise to more realistic crises dynamics.</w:t>
      </w:r>
    </w:p>
    <w:p>
      <w:pPr/>
      <w:r>
        <w:rPr>
          <w:b/>
        </w:rPr>
        <w:t>POSSIBLE 2019:</w:t>
      </w:r>
      <w:r>
        <w:t xml:space="preserve"> Modeling the low-carbon transition of the European energy system - A quantitative assessment of the stranded assets problem — https://doi.org/10.1016/j.esr.2019.100422</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In this paper, multiple pathways for the European energy system until 2050 are computed, focusing on one of the major challenges of the low-carbon transition: the issue of unused capacities and stranded assets. Three different scenarios are analyzed, utilizing the Global Energy System Model (GENeSYS-MOD) for calculations. A major feature is the introduction of limited foresight and imperfect planning to the multi-sectoral approach of the model. A swift transition towards renewable energy sources is needed in order to ensure the goal of staying below 2 °C is maintained. This leads to the underutilization of current fossil-fueled plant capacities, an effect compounded by the prioritization of short-term goals over long-term targets. In the worst case, capacities with a combined value of up to 200 billion € corresponding to 260 GW total capacity may end up stranded by 2035, with significant shares in the coal and gas sectors. Contrary, in the baseline scenario featuring perfect foresight, this amount can by reduced by as much as 75%. Thus, the need for strong, clear signals from policy makers arises in order to combat the threat of short-sighted planning and investment losses.</w:t>
      </w:r>
    </w:p>
    <w:p>
      <w:pPr/>
      <w:r>
        <w:rPr>
          <w:b/>
        </w:rPr>
        <w:t>POSSIBLE 2019:</w:t>
      </w:r>
      <w:r>
        <w:t xml:space="preserve"> A Model of Secular Stagnation: Theory and Quantitative Evaluation — https://doi.org/10.1257/mac.20170367</w:t>
      </w:r>
    </w:p>
    <w:p>
      <w:pPr/>
      <w:r>
        <w:rPr>
          <w:b/>
        </w:rPr>
        <w:t>Shared claim-specific concepts:</w:t>
      </w:r>
      <w:r>
        <w:t xml:space="preserve"> quantitative, framework; EU scope not established. This is a provisional connection, not an outcome finding.</w:t>
      </w:r>
    </w:p>
    <w:p>
      <w:pPr>
        <w:pStyle w:val="SourceNote"/>
      </w:pPr>
      <w:r>
        <w:rPr>
          <w:b/>
        </w:rPr>
        <w:t>Available abstract (not full text):</w:t>
      </w:r>
      <w:r>
        <w:t xml:space="preserve"> This paper formalizes and quantifies the secular stagnation hypothesis, defined as a persistently low or negative natural rate of interest leading to a chronically binding zero lower bound (ZLB).Output-inflation dynamics and policy prescriptions are fundamentally different from those in the standard New Keynesian framework.Using a 56-period quantitative life cycle model, a standard calibration to US data delivers a natural rate ranging from -1.5% to -2%, implying an elevated risk of ZLB episodes for the foreseeable future.We decompose the contribution of demographic and technological factors to the decline in interest rates since 1970 and quantify changes required to restore higher rates.</w:t>
      </w:r>
    </w:p>
    <w:p>
      <w:pPr/>
      <w:r>
        <w:rPr>
          <w:b/>
        </w:rPr>
        <w:t>POSSIBLE 2018:</w:t>
      </w:r>
      <w:r>
        <w:t xml:space="preserve"> Compact or spread? A quantitative spatial model of urban areas in Europe since 1990 — https://doi.org/10.1371/journal.pone.0192326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Changes in urban residential density represent an important issue in terms of land consumption, the conservation of ecosystems, air quality and related human health problems, as well as the consequential challenges for urban and regional planning. It is the decline of residential densities, in particular, that has often been used as the very definition of sprawl, describing a phenomenon that has been extensively studied in the United States and in Western Europe. Whilst these studies provide valuable insights into urbanization processes, only a handful of them have reflected the uneven dynamics of simultaneous urban growth and shrinkage, using residential density changes as a key indicator to uncover the underlying dynamics. This paper introduces a contrasting analysis of recent developments in both de- and re-concentration, defined as decreasing or increasing residential densities, respectively. Using a large sample of European cities, it detects differences in density changes between successional population growth/decline. The paper shows that dedensification, found in some large cities globally, is not a universal phenomenon in growing urban areas; neither the increasing disproportion between a declining demand for and an increasing supply of residential areas nor actual concentration processes in cities were found. Thus, the paper provides a new, very detailed perspective o</w:t>
      </w:r>
    </w:p>
    <w:p>
      <w:pPr/>
      <w:r>
        <w:rPr>
          <w:b/>
        </w:rPr>
        <w:t>POSSIBLE 2018:</w:t>
      </w:r>
      <w:r>
        <w:t xml:space="preserve"> Quantitative Sovereign Default Models and the European Debt Crisis — https://doi.org/10.3386/w24981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debt.In this paper, we study whether the same framework can be applied to the analysis of debt crises in which domestic public debt plays a prominent role.We consider a model where a government can issue debt to both domestic and foreign investors, and we derive conditions under which their sum is the relevant state variable for default incentives.We then apply our framework to the European debt crisis.We show that matching the cyclicality of public debt ---rather than that of external debt---allows the model to better capture the empirical distribution of interest rate spreads and gives rise to more realistic crises dynamics.</w:t>
      </w:r>
    </w:p>
    <w:p>
      <w:pPr>
        <w:pStyle w:val="Heading2"/>
      </w:pPr>
      <w:r>
        <w:t>978.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2026:</w:t>
      </w:r>
      <w:r>
        <w:t xml:space="preserve"> Strategic International Investments and Economic Resilience: The Three Seas Initiative as a Regional Development Tool — https://doi.org/10.2478/picbe-2026-0108</w:t>
      </w:r>
    </w:p>
    <w:p>
      <w:pPr/>
      <w:r>
        <w:rPr>
          <w:b/>
        </w:rPr>
        <w:t>Shared claim-specific concepts:</w:t>
      </w:r>
      <w:r>
        <w:t xml:space="preserve"> qualitative, tool, strategic, support, main; EU scope visible. This is a provisional connection, not an outcome finding.</w:t>
      </w:r>
    </w:p>
    <w:p>
      <w:pPr>
        <w:pStyle w:val="SourceNote"/>
      </w:pPr>
      <w:r>
        <w:rPr>
          <w:b/>
        </w:rPr>
        <w:t>Available abstract (not full text):</w:t>
      </w:r>
      <w:r>
        <w:t xml:space="preserve"> Abstract The paper analyses the role of strategic international investments in strengthening economic resilience in Central and Eastern Europe, with a focus on the Three Seas Initiative as a regional development tool. In the context of geopolitical uncertainties, supply chain disruptions and uneven economic development within the European Union, the paper highlights the importance of a coordinated regional framework capable of boosting connectivity, competitiveness and long-term stability. The existing literature emphasizes economic resilience as a multidimensional concept, closely linked to infrastructure development, investment diversification and regional cooperation. While previous research has addressed the political and strategic dimensions of the Three Seas Initiative, there is a lack of studies on its economic impact and capacity to attract international investments as a mechanism for strengthening resilience of the area. The paper contributes to closing this gap by framing the initiative within broader debates on regional development in domains like energy, transport and digitalization and international political economy. The study uses a qualitative methodology, based on document analysis, comparative assessment and public policy analysis. The main research questions concern how the Three Seas Initiative facilitates strategic international investments, the most influe</w:t>
      </w:r>
    </w:p>
    <w:p>
      <w:pPr/>
      <w:r>
        <w:rPr>
          <w:b/>
        </w:rPr>
        <w:t>POSSIBLE 2026:</w:t>
      </w:r>
      <w:r>
        <w:t xml:space="preserve"> From Economic Openness to Strategic Capacity: The European Union as a Hybrid Geoeconomic Actor — https://doi.org/10.3390/world7090149</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European Union now routinely leverages economic governance to tackle strategic vulnerabilities caused by geopolitical rivalry, foreign dependencies, and supply chain shocks. This article analyses this shift, exploring how the EU adapts its economic toolkit and what restricts its capacity to act as a geoeconomic power. It builds an analytical framework connecting external pressures, strategic vulnerabilities, policy choices, and institutional barriers. Methodologically, the study combines qualitative document analysis of EU policy frameworks with trade metrics and evidence from the Geoeconomic Interconnectivity Index. The findings show a clear expansion in investment screening, anti-coercion tools, targeted industrial policy, and supply-chain diversification—all aimed at safeguarding core sectors and curbing asymmetric exposure. These steps mark a departure from purely regulatory-market logic towards a hybrid model blending market openness, defensive controls, and capacity-building. Persistent institutional splits, conflicting national priorities, technological gaps, and reliance on foreign markets limit the effectiveness of this transition. Ultimately, the EU’s evolving geoeconomic stance aims not for total self-sufficiency, but for the deliberate, strategic management of interdependence.</w:t>
      </w:r>
    </w:p>
    <w:p>
      <w:pPr/>
      <w:r>
        <w:rPr>
          <w:b/>
        </w:rPr>
        <w:t>POSSIBLE 2026:</w:t>
      </w:r>
      <w:r>
        <w:t xml:space="preserve"> From Administrative Tool to Strategic Decision Support: A Qualitative Study of Digital Training Needs Analysis — https://doi.org/10.69965/danadyaksa.v4i1.498</w:t>
      </w:r>
    </w:p>
    <w:p>
      <w:pPr/>
      <w:r>
        <w:rPr>
          <w:b/>
        </w:rPr>
        <w:t>Shared claim-specific concepts:</w:t>
      </w:r>
      <w:r>
        <w:t xml:space="preserve"> qualitative, tool, strategic, support, decision, findings; EU scope not established. This is a provisional connection, not an outcome finding.</w:t>
      </w:r>
    </w:p>
    <w:p>
      <w:pPr>
        <w:pStyle w:val="SourceNote"/>
      </w:pPr>
      <w:r>
        <w:rPr>
          <w:b/>
        </w:rPr>
        <w:t>Available abstract (not full text):</w:t>
      </w:r>
      <w:r>
        <w:t xml:space="preserve"> This study examines how the Dashboard Executive Information System for Training Needs Analysis (DEIS AKD) supports digital training needs analysis at PPSDM Migas and identifies the conditions required for its transformation from an administrative tool into a strategic decision-support system. A descriptive qualitative approach was employed, with data collected through in-depth interviews and documentation studies. The informants consisted of four PPSDM Migas employees directly involved in training planning, implementation, standardization, and evaluation. Data were analyzed through data condensation, data display, and conclusion drawing or verification. The findings show that DEIS AKD has improved administrative efficiency through centralized employee data management, training history monitoring, scheduling, and participation tracking. However, the system has not yet fully supported competency-based analysis because training recommendations remain influenced by managerial judgment, job-based classifications, limited analytical features, and insufficient integration of competency, performance, and post-training evaluation data. Its effectiveness is also influenced by data quality, system limitations, and users’ analytical capabilities. The study concludes that DEIS AKD currently functions primarily as an administrative tool rather than as a strategic decision-support system. Its</w:t>
      </w:r>
    </w:p>
    <w:p>
      <w:pPr/>
      <w:r>
        <w:rPr>
          <w:b/>
        </w:rPr>
        <w:t>POSSIBLE 2026:</w:t>
      </w:r>
      <w:r>
        <w:t xml:space="preserve"> Sustainable artificial intelligence as a tool of strategic communication in organizational contexts : a critical discourse analysis — https://openalex.org/W7164619943</w:t>
      </w:r>
    </w:p>
    <w:p>
      <w:pPr/>
      <w:r>
        <w:rPr>
          <w:b/>
        </w:rPr>
        <w:t>Shared claim-specific concepts:</w:t>
      </w:r>
      <w:r>
        <w:t xml:space="preserve"> qualitative, tool, strategic, used, findings; EU scope visible. This is a provisional connection, not an outcome finding.</w:t>
      </w:r>
    </w:p>
    <w:p>
      <w:pPr>
        <w:pStyle w:val="SourceNote"/>
      </w:pPr>
      <w:r>
        <w:rPr>
          <w:b/>
        </w:rPr>
        <w:t>Available abstract (not full text):</w:t>
      </w:r>
      <w:r>
        <w:t xml:space="preserve"> This thesis examines how sustainable artificial intelligence (AI) is constructed and communicated in corporate discourse, and how it functions as a tool of strategic communication in organizational contexts. The study is grounded in an interdisciplinary theoretical framework that combines research on AI and sustainability, organizational identity, and strategic communication. Sustainable AI is conceptualized as a multidimensional phenomenon that encompasses the environmental, social, and economic dimensions of sustainability, while also being shaped by socio-technical and regulatory dynamics within the European context. The aim of the study is to develop an understanding of how AI-related sustainability is addressed in the corporate communication of European companies participating in the EU Artificial Intelligence Pact (EU AI Pact). This aim is guided by three distinct research questions that consider how AI-related sustainability is constructed in corporate discourse, how sustainable AI is used as a tool of strategic communication, and how organizational identity is constructed through these discourses. The research adopts a qualitative approach in the form of critical discourse analysis. The empirical material consists of publicly available organizational publications, including sustainability reports, annual reports, blog posts, and social media content from eleven European</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qualitative, strategic, support, network, different, comparison;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The European Union's policy toward Latin America in the context of renewed strategic competition — https://doi.org/10.5281/zenodo.19131164</w:t>
      </w:r>
    </w:p>
    <w:p>
      <w:pPr/>
      <w:r>
        <w:rPr>
          <w:b/>
        </w:rPr>
        <w:t>Shared claim-specific concepts:</w:t>
      </w:r>
      <w:r>
        <w:t xml:space="preserve"> qualitative, strategic, main; EU scope visible. This is a provisional connection, not an outcome finding.</w:t>
      </w:r>
    </w:p>
    <w:p>
      <w:pPr>
        <w:pStyle w:val="SourceNote"/>
      </w:pPr>
      <w:r>
        <w:rPr>
          <w:b/>
        </w:rPr>
        <w:t>Available abstract (not full text):</w:t>
      </w:r>
      <w:r>
        <w:t xml:space="preserve"> In the context of intensifying global strategic competition, Latin America is emerging as a geopolitical and geoeconomic space of growing importance. This paper explores the transformation of the European Union’s (EU) approach toward the region, highlighting a shift from a development aid-oriented model toward a more strategic and interest-driven engagement focused on supply chain security, access to critical resources, and the promotion of green and digital transitions. Grounded in international political economy frameworks, the analysis examines the EU’s main policy tools, including the modernization of free trade agreements, the Global Gateway initiative, development partnerships, and multilateral engagement. The paper indicates that the EU’s policy adjustment creates opportunities as well as challenges for Latin American countries amid intensifying competition among major powers, particularly between the United States and China. It argues that the benefits derived from this policy shift will depend on institutional capacity, long-term development strategies, and the ability to balance economic objectives, policy autonomy, and sustainability within a changing global order. This study has certain limitations related to its qualitative approach and reliance on secondary sources, which may not fully capture the diversity of national responses across Latin America.</w:t>
      </w:r>
    </w:p>
    <w:p>
      <w:pPr/>
      <w:r>
        <w:rPr>
          <w:b/>
        </w:rPr>
        <w:t>POSSIBLE 2025:</w:t>
      </w:r>
      <w:r>
        <w:t xml:space="preserve"> Disinformation as a Tool of Hybrid Action: Security, Political and Strategic Challenges for the European Union — https://doi.org/10.36682/a_2025_1_2</w:t>
      </w:r>
    </w:p>
    <w:p>
      <w:pPr/>
      <w:r>
        <w:rPr>
          <w:b/>
        </w:rPr>
        <w:t>Shared claim-specific concepts:</w:t>
      </w:r>
      <w:r>
        <w:t xml:space="preserve"> qualitative, tool, strategic, main; EU scope visible. This is a provisional connection, not an outcome finding.</w:t>
      </w:r>
    </w:p>
    <w:p>
      <w:pPr>
        <w:pStyle w:val="SourceNote"/>
      </w:pPr>
      <w:r>
        <w:rPr>
          <w:b/>
        </w:rPr>
        <w:t>Available abstract (not full text):</w:t>
      </w:r>
      <w:r>
        <w:t xml:space="preserve"> The article analyses disinformation as a key tool of hybrid warfare in the current deteriorating security situation and an environment marked by strategic uncertainty and instability, where the confrontation between democratic and authoritarian regimes is intensifying. In this context, disinformation has ceased to be merely a marginal phenomenon; instead, it has become a systematic tool for undermining democratic institutions, polarizing society, and eroding public trust. In this context, the European Union faces a growing need to safeguard the information space through coordinated measures at both domestic and international levels. The article draws on qualitative and comparative analyses of political strategies and documents, identifying the main weaknesses of current approaches and proposes strategic priorities, including the establishment of a legally binding framework, the strengthening of media literacy, the enhancement of technological capacities, and the promotion of global norm-setting. The article concludes by emphasizing that a successful response to disinformation requires not only technical solutions but, more importantly, educated, resilient, and critically minded citizens as the cornerstone of democratic society.</w:t>
      </w:r>
    </w:p>
    <w:p>
      <w:pPr>
        <w:pStyle w:val="Heading2"/>
      </w:pPr>
      <w:r>
        <w:t>979.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2025:</w:t>
      </w:r>
      <w:r>
        <w:t xml:space="preserve"> Trends in relative and absolute mobility of homeownership in Europe — https://doi.org/10.31219/osf.io/zdu2n_v1</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trends, likely, increased, over;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trends, likely, simulated, northern, southern, north;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r>
        <w:rPr>
          <w:b/>
        </w:rPr>
        <w:t>POSSIBLE 2023:</w:t>
      </w:r>
      <w:r>
        <w:t xml:space="preserve"> The future ozone trends in changing climate simulated with SOCOLv4 — https://doi.org/10.5194/acp-23-4801-2023</w:t>
      </w:r>
    </w:p>
    <w:p>
      <w:pPr/>
      <w:r>
        <w:rPr>
          <w:b/>
        </w:rPr>
        <w:t>Shared claim-specific concepts:</w:t>
      </w:r>
      <w:r>
        <w:t xml:space="preserve"> trends, likely, simulated, over; EU scope not established. This is a provisional connection, not an outcome finding.</w:t>
      </w:r>
    </w:p>
    <w:p>
      <w:pPr>
        <w:pStyle w:val="SourceNote"/>
      </w:pPr>
      <w:r>
        <w:rPr>
          <w:b/>
        </w:rPr>
        <w:t>Available abstract (not full text):</w:t>
      </w:r>
      <w:r>
        <w:t xml:space="preserve">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pPr/>
      <w:r>
        <w:rPr>
          <w:b/>
        </w:rPr>
        <w:t>POSSIBLE 2022:</w:t>
      </w:r>
      <w:r>
        <w:t xml:space="preserve"> The European Context — https://doi.org/10.1093/oso/9780197512067.003.0004</w:t>
      </w:r>
    </w:p>
    <w:p>
      <w:pPr/>
      <w:r>
        <w:rPr>
          <w:b/>
        </w:rPr>
        <w:t>Shared claim-specific concepts:</w:t>
      </w:r>
      <w:r>
        <w:t xml:space="preserve"> similar, trends, likely, increased; EU scope visible. This is a provisional connection, not an outcome finding.</w:t>
      </w:r>
    </w:p>
    <w:p>
      <w:pPr>
        <w:pStyle w:val="SourceNote"/>
      </w:pPr>
      <w:r>
        <w:rPr>
          <w:b/>
        </w:rPr>
        <w:t>Available abstract (not full text):</w:t>
      </w:r>
      <w:r>
        <w:t xml:space="preserve"> Abstract Abstract: To understand the potential future of working longer in America, we compare trends in health and employment in Europe with those in the United States. While health in Europe improved between 2004 and 2018 among older adults (aged 65 to 85), we find the opposite for middle-aged adults (aged 50 to 64). In this respect, Europe is experiencing negative developments similar to those in the United States. In terms of employment, however, Europe is different than the United States. We do not find any sign that employment rates of middle-aged individuals are stagnating or falling. On the contrary, employment has increased steadily since the late 1990s. It is too early to conclude what implications the stalling health trend of the middle-aged cohorts will have for labor force participation among older Europeans in 10 or 15 years. We argue that economic considerations, such as public pension and disability insurance policies, are likely to continue to have a greater influence on rates of early retirement than health.</w:t>
      </w:r>
    </w:p>
    <w:p>
      <w:pPr/>
      <w:r>
        <w:rPr>
          <w:b/>
        </w:rPr>
        <w:t>POSSIBLE 2021:</w:t>
      </w:r>
      <w:r>
        <w:t xml:space="preserve"> Trends in singlehood in young adulthood in Europe — https://doi.org/10.1016/j.alcr.2021.100449</w:t>
      </w:r>
    </w:p>
    <w:p>
      <w:pPr/>
      <w:r>
        <w:rPr>
          <w:b/>
        </w:rPr>
        <w:t>Shared claim-specific concepts:</w:t>
      </w:r>
      <w:r>
        <w:t xml:space="preserve"> trends, increased, over, shifts; EU scope visible. This is a provisional connection, not an outcome finding.</w:t>
      </w:r>
    </w:p>
    <w:p>
      <w:pPr>
        <w:pStyle w:val="SourceNote"/>
      </w:pPr>
      <w:r>
        <w:rPr>
          <w:b/>
        </w:rPr>
        <w:t>Available abstract (not full text):</w:t>
      </w:r>
      <w:r>
        <w:t xml:space="preserve"> Cultural and economic shifts such as increasing individualization and labor market uncertainty may have resulted in an increase in singlehood after leaving home. Using data from the European Social Survey, we compare cohorts born between 1930 and 1989 in 30 European countries. We show that there has been an increase in singlehood after leaving home, but primarily among women. Whereas the percentage of women who have lived in singlehood after leaving home increased with 11 percentage points from 41% to 52%, men experienced only a 3 percentage points' increase from 59% to 62%. This stronger trend among women could be the result of their increasing educational attainment and earning capacity. Event-history analyses show that the duration of singlehood has not changed over time. We call for more research on singlehood after leaving home as an event of interest during the transition to adulthood. As more than 50% of young adults nowadays live in singlehood after leaving home, singlehood is a key part of the transition to adulthood that deserves explicit attention.</w:t>
      </w:r>
    </w:p>
    <w:p>
      <w:pPr/>
      <w:r>
        <w:rPr>
          <w:b/>
        </w:rPr>
        <w:t>POSSIBLE 2021:</w:t>
      </w:r>
      <w:r>
        <w:t xml:space="preserve"> Dealing with trend uncertainty in empirical estimates of European rainfall climate for insurance risk management — https://doi.org/10.1002/met.2008</w:t>
      </w:r>
    </w:p>
    <w:p>
      <w:pPr/>
      <w:r>
        <w:rPr>
          <w:b/>
        </w:rPr>
        <w:t>Shared claim-specific concepts:</w:t>
      </w:r>
      <w:r>
        <w:t xml:space="preserve"> trends, related; EU scope visible. This is a provisional connection, not an outcome finding.</w:t>
      </w:r>
    </w:p>
    <w:p>
      <w:pPr>
        <w:pStyle w:val="SourceNote"/>
      </w:pPr>
      <w:r>
        <w:rPr>
          <w:b/>
        </w:rPr>
        <w:t>Available abstract (not full text):</w:t>
      </w:r>
      <w:r>
        <w:t xml:space="preserve"> Abstract The insurance industry uses mathematical models to estimate the risks due to future natural catastrophes. For climate‐related risks, historical climate data are a key ingredient used in making the models. Historical data for temperature and sea level often show clear and readily quantified climate change driven trends, and these trends would typically be accounted for when building risk models by adjusting earlier values to render the earlier data relevant to the future climate. For other climate variables, such as rainfall in many parts of the world, the questions of whether there are climate change driven trends in the historical data, and how to quantify them if there are, are less simple to answer. We investigate these questions in the context of European rainfall with a specific focus on how to deal with the uncertainty around trend estimates. We compare 10 empirical methodologies that one might use to model and predict trends, including traditional statistical testing and alternatives to statistical testing based on standard methods from model selection and model averaging. We emphasize prediction and risk assessment, rather than detection of trends, as our goal. Viewed in terms of this goal, the methods we consider each have qualitative and quantitative advantages and disadvantages. Understanding these advantages and disadvantages can help risk modellers make a </w:t>
      </w:r>
    </w:p>
    <w:p>
      <w:pPr/>
      <w:r>
        <w:rPr>
          <w:b/>
        </w:rPr>
        <w:t>POSSIBLE 2021:</w:t>
      </w:r>
      <w:r>
        <w:t xml:space="preserve"> Trends in inequalities in disability in Europe between 2002 and 2017 — https://doi.org/10.1136/jech-2020-216141</w:t>
      </w:r>
    </w:p>
    <w:p>
      <w:pPr/>
      <w:r>
        <w:rPr>
          <w:b/>
        </w:rPr>
        <w:t>Shared claim-specific concepts:</w:t>
      </w:r>
      <w:r>
        <w:t xml:space="preserve"> trends, increased, over, conditions; EU scope visible. This is a provisional connection, not an outcome finding.</w:t>
      </w:r>
    </w:p>
    <w:p>
      <w:pPr>
        <w:pStyle w:val="SourceNote"/>
      </w:pPr>
      <w:r>
        <w:rPr>
          <w:b/>
        </w:rPr>
        <w:t>Available abstract (not full text):</w:t>
      </w:r>
      <w:r>
        <w:t xml:space="preserve"> BACKGROUND: Monitoring socioeconomic inequalities in population health is important in order to reduce them. We aim to determine if educational inequalities in Global Activity Limitation Indicator (GALI) disability have changed between 2002 and 2017 in Europe (26 countries). METHODS: We used logistic regression to quantify the annual change in disability prevalence by education, as well as the annual change in prevalence difference and ratio, both for the pooled sample and each country, as reported in the European Union Statistics on Income and Living Conditions (EU-SILC) and the European Social Survey (ESS) for individuals aged 30-79 years. RESULTS: In EU-SILC, disability prevalence tended to decrease among the high educated. As a result, both the prevalence difference and the prevalence ratio between the low and high educated increased over time. There were no discernible trends in the ESS. However, there was substantial heterogeneity between countries in the magnitude and direction of these changes, but without clear geographical patterns and without consistency between surveys. CONCLUSIONS: Socioeconomic inequalities in disability appear to have increased over time in Europe between 2002 and 2017 as per EU-SILC, and have persisted as measured by the ESS. Efforts to further harmonise disability instruments in international surveys are important, and so are studies to better </w:t>
      </w:r>
    </w:p>
    <w:p>
      <w:pPr/>
      <w:r>
        <w:rPr>
          <w:b/>
        </w:rPr>
        <w:t>POSSIBLE 2021:</w:t>
      </w:r>
      <w:r>
        <w:t xml:space="preserve"> European trends in mortality in children with congenital anomalies: 2000–2015 — https://doi.org/10.1002/bdr2.1892</w:t>
      </w:r>
    </w:p>
    <w:p>
      <w:pPr/>
      <w:r>
        <w:rPr>
          <w:b/>
        </w:rPr>
        <w:t>Shared claim-specific concepts:</w:t>
      </w:r>
      <w:r>
        <w:t xml:space="preserve"> similar, trends, over; EU scope visible. This is a provisional connection, not an outcome finding.</w:t>
      </w:r>
    </w:p>
    <w:p>
      <w:pPr>
        <w:pStyle w:val="SourceNote"/>
      </w:pPr>
      <w:r>
        <w:rPr>
          <w:b/>
        </w:rPr>
        <w:t>Available abstract (not full text):</w:t>
      </w:r>
      <w:r>
        <w:t xml:space="preserve"> OBJECTIVE: To investigate if the survival of children with congenital anomalies has improved from 2000 to 2015 and whether there is heterogeneity in the improvements across Europe. DESIGN: Population-based study of routine collected data from the WHO database on mortality and causes. SETTING: Data on 31 European countries from 2000 to 2015. MAIN OUTCOME MEASURES: All-cause and congenital anomaly mortality rates for infants and children up to age 9 in countries and regions of Europe. RESULTS: The relative odds of all-cause mortality in 2015 compared with 2000 was 0.54 (95% CI: 0.50-0.59) for under 1, 0.48 (95% CI: 0.44-0.53) for ages 1-4, and 0.53 (95% CI: 0.49-0.56) for ages 5-9 with the relative odds of mortality from congenital anomalies being 0.49 (95% CI: 0.44-0.55), 0.51 (95% CI: 0.44-0.60), and 0.65 (95% CI: 0.53-0.80), respectively. The proportion of deaths from congenital anomalies remained relatively constant over time (26, 16, and 9% for under 1, ages 1-4, and ages 5-9, respectively) and was similar in all regions of Europe. For mortality from all causes and from congenital anomalies heterogeneity between countries and regions of Europe was high, with the countries in Eastern Europe having higher rates, but also experiencing greater relative reductions in mortality from 2000 to 2015. CONCLUSION: There was a large geo-spatial disparity in all cause and congenital anoma</w:t>
      </w:r>
    </w:p>
    <w:p>
      <w:pPr>
        <w:pStyle w:val="Heading2"/>
      </w:pPr>
      <w:r>
        <w:t>980.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2019:</w:t>
      </w:r>
      <w:r>
        <w:t xml:space="preserve"> The five different types of European welfare model — https://doi.org/10.4337/9781789905564.00012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chapter outlines the existing welfare models in Europe. Welfare states are national projects and each has emerged and developed according to the conditions in its own society. This explains the diversity of the established welfare systems in the EU. National conditions with regard to political culture, social and class structures and the balance of power between social groups can also explain the design of welfare institutions in the clusters of welfare state regimes identified. These differences also explain why levels of social spending differ so much and why welfare services are provided in different ways. A comparison is made between the major characteristics of the systems to obtain a clearer view of different welfare regimes in Europe. This provides the context for when recent developments in the welfare arrangements of EU member states are examined in subsequent chapters.</w:t>
      </w:r>
    </w:p>
    <w:p>
      <w:pPr/>
      <w:r>
        <w:rPr>
          <w:b/>
        </w:rPr>
        <w:t>POSSIBLE 2018:</w:t>
      </w:r>
      <w:r>
        <w:t xml:space="preserve"> Comparison of LSG‐design according to German and European Standards — https://doi.org/10.1002/cepa.913</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Recently the German standard for design of glass structures DIN 18008 [1] was revised; an updated version [2] was published as draft version by May 2018. On European level, the two codes EN16612 [3] and EN16613 [4] for design of “infill‐panels” have been published after long period of working on it. The work on Eurocode for Glass is not finished yet, but first ideas do exist. In this paper, the design of Laminated Safety Glass (LSG) according to German design standard DIN 18008 (2010 and 2018) and the European EN16612 with EN16613 (2017) will be compared. As German design standard does not allow using the effect of shear transfer, the application of National Technical Approvals (“allgemeine bauaufsichtliche Zulassung”) together with DIN 18008 for taking shear transfer of interlayer into consideration will be looked at. In the first part, design equations are reviewed, including different values of used material parameters, simplified formulas and safety factors. As the different approaches and assumptions do not make a comparison easy, several examples are calculated to be able to illustrate the differences showing calculation results. In addition, restrictions of different codes are explained. Finally, a link to actual research work on the field of characterizing interlayer materials is made.</w:t>
      </w:r>
    </w:p>
    <w:p>
      <w:pPr/>
      <w:r>
        <w:rPr>
          <w:b/>
        </w:rPr>
        <w:t>POSSIBLE 2015:</w:t>
      </w:r>
      <w:r>
        <w:t xml:space="preserve"> Comparison of actions and resistances in different building design codes — https://doi.org/10.1016/j.jare.2015.11.001</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Structural design codes of different countries provide engineers with data and procedures for design of the various structural components. Building design codes from USA, Europe, and Egypt are considered. Comparisons of the provisions for actions (loads), and for the resistance (strength) of sections in flexural and compressive axial loading are carried out. Several parameters are considered including variable actions for occupancy and different material strengths. The comparison is made considering both concrete and steel structures. Issues and consequences of mixing actions from one code and resistance from another code are also discussed.</w:t>
      </w:r>
    </w:p>
    <w:p>
      <w:pPr/>
      <w:r>
        <w:rPr>
          <w:b/>
        </w:rPr>
        <w:t>POSSIBLE 2014:</w:t>
      </w:r>
      <w:r>
        <w:t xml:space="preserve"> Literature survey and comparison of consumer interruption costs in North America and Europe — https://doi.org/10.1109/ccece.2014.6901156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survey on the assessment of electricity consumer interruption costs (CIC) from published literature in North America and Europe was conducted to identify the different approaches adopted by various countries and to make key observations including whether there is any international norm in such CIC assessment. As customer survey was found out to be the de facto approach adopted by utilities in USA and Canada to assess CIC, a further literature search was conducted to ascertain the past practices of CIC customer surveys conducted in these two countries. Finally an attempt was made to compare the CIC in different countries and the results are presented with discussions.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r>
        <w:rPr>
          <w:b/>
        </w:rPr>
        <w:t>POSSIBLE 2013:</w:t>
      </w:r>
      <w:r>
        <w:t xml:space="preserve"> Comparison of Stroke Guidelines: Similarities and Differences between Japanese and European Recommendations for the Management and Prevention of Acute Ischemic and Hemorrhagic Strokes — https://doi.org/10.1159/000351406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Cerebrovascular Diseases celebrated its 20th anniversary in 2010 with a Europe/Japan Stroke symposium in Barcelona, Spain, 20 years after the first European Stroke Conference. The session addressed different aspects of acute stroke management and strategies for stroke prevention from two viewpoints with specific traditional and historical backgrounds in modern neurovascular medicine, Europe and Japan [1].During this meeting, speakers and participants in a large auditorium experienced a surprisingly high coincidence of identical or very close proposals and perspectives as well as less common but remarkable differences.Cerebrovascular Diseases had published the 2003 European guidelines (GLs) for the management of ischemic stroke and transient ischemic attacks [2] with an update in 2008 [3], the European stroke initiative recommendations for the management of ICH in 2006 [4], and very recently, the guidelines for the management of intracranial aneurysms and subarachnoid hemorrhage (2013) [5], based on western evidence. On the other hand, the first English version of Japanese GLs for the management of stroke were published in 2011 [6], although the first Japanese GLs for the management of stroke appeared in 2004 in Japan [7,8]. The reasons why Japan made their own GLs are as follows: (1) some of the approved drugs and generally used drug dosages are different in Japan as compared w</w:t>
      </w:r>
    </w:p>
    <w:p>
      <w:pPr>
        <w:pStyle w:val="Heading2"/>
      </w:pPr>
      <w:r>
        <w:t>981.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r>
        <w:rPr>
          <w:b/>
        </w:rPr>
        <w:t>POSSIBLE 2023:</w:t>
      </w:r>
      <w:r>
        <w:t xml:space="preserve"> Inter-hemispheric asymmetries in high-latitude electrodynamic forcing and the thermosphere during the October 8–9, 2012, geomagnetic storm: An integrated data–Model investigation — https://doi.org/10.3389/fspas.2023.1062265</w:t>
      </w:r>
    </w:p>
    <w:p>
      <w:pPr/>
      <w:r>
        <w:rPr>
          <w:b/>
        </w:rPr>
        <w:t>Shared claim-specific concepts:</w:t>
      </w:r>
      <w:r>
        <w:t xml:space="preserve"> integrated, observed, during, first, simulation, period; EU scope not established. This is a provisional connection, not an outcome finding.</w:t>
      </w:r>
    </w:p>
    <w:p>
      <w:pPr>
        <w:pStyle w:val="SourceNote"/>
      </w:pPr>
      <w:r>
        <w:rPr>
          <w:b/>
        </w:rPr>
        <w:t>Available abstract (not full text):</w:t>
      </w:r>
      <w:r>
        <w:t xml:space="preserve">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pPr/>
      <w:r>
        <w:rPr>
          <w:b/>
        </w:rPr>
        <w:t>POSSIBLE 2022:</w:t>
      </w:r>
      <w:r>
        <w:t xml:space="preserve"> Translating observed household energy behavior to agent-based technology choices in an integrated modeling framework — https://doi.org/10.1016/j.isci.2022.103905</w:t>
      </w:r>
    </w:p>
    <w:p>
      <w:pPr/>
      <w:r>
        <w:rPr>
          <w:b/>
        </w:rPr>
        <w:t>Shared claim-specific concepts:</w:t>
      </w:r>
      <w:r>
        <w:t xml:space="preserve"> integrated, observed; EU scope visible. This is a provisional connection, not an outcome finding.</w:t>
      </w:r>
    </w:p>
    <w:p>
      <w:pPr>
        <w:pStyle w:val="SourceNote"/>
      </w:pPr>
      <w:r>
        <w:rPr>
          <w:b/>
        </w:rPr>
        <w:t>Available abstract (not full text):</w:t>
      </w:r>
      <w:r>
        <w:t xml:space="preserve">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pPr/>
      <w:r>
        <w:rPr>
          <w:b/>
        </w:rPr>
        <w:t>POSSIBLE 2021:</w:t>
      </w:r>
      <w:r>
        <w:t xml:space="preserve"> Model Calibration for a Rigid Hexapod-Based End-Effector with Integrated Force Sensors — https://doi.org/10.3390/s21103537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Integrated single-axis force sensors allow an accurate and cost-efficient force measurement in 6 degrees of freedom for hexapod structures and kinematics. Depending on the sensor placement, the measurement is affected by internal forces that need to be compensated for by a measurement model. Since the parameters of the model can change during machine usage, a fast and easy calibration procedure is requested. This work studies parameter identification procedures for force measurement models on the example of a rigid hexapod-based end-effector. First, measurement and identification models are presented and parameter sensitivities are analysed. Next, two excitation strategies are applied and discussed: identification from quasi-static poses and identification from accelerated continuous trajectories. Both poses and trajectories are optimized by different criteria and evaluated in comparison. Finally, the procedures are validated by experimental studies with reference payloads. In conclusion, both strategies allow accurate parameter identification within a fast procedure in an operational machine state.</w:t>
      </w:r>
    </w:p>
    <w:p>
      <w:pPr/>
      <w:r>
        <w:rPr>
          <w:b/>
        </w:rPr>
        <w:t>POSSIBLE 2020:</w:t>
      </w:r>
      <w:r>
        <w:t xml:space="preserve"> Integrated In Silico Models for the Prediction of No-Observed-(Adverse)-Effect Levels and Lowest-Observed-(Adverse)-Effect Levels in Rats for Sub-chronic Repeated-Dose Toxicity — https://doi.org/10.1021/acs.chemrestox.0c00176</w:t>
      </w:r>
    </w:p>
    <w:p>
      <w:pPr/>
      <w:r>
        <w:rPr>
          <w:b/>
        </w:rPr>
        <w:t>Shared claim-specific concepts:</w:t>
      </w:r>
      <w:r>
        <w:t xml:space="preserve"> integrated, first; EU scope not established. This is a provisional connection, not an outcome finding.</w:t>
      </w:r>
    </w:p>
    <w:p>
      <w:pPr>
        <w:pStyle w:val="SourceNote"/>
      </w:pPr>
      <w:r>
        <w:rPr>
          <w:b/>
        </w:rPr>
        <w:t>Available abstract (not full text):</w:t>
      </w:r>
      <w:r>
        <w:t xml:space="preserve"> Repeated-dose toxicity (RDT) is a critical endpoint for hazard characterization of chemicals and is assessed to derive safe levels of exposure for human health. Here we present the first attempt to model simultaneously no-observed-(adverse)-effect level (NO(A)EL) and lowest-observed-(adverse)-effect level (LO(A)EL). Classification and regression models were derived based on rat sub-chronic repeated dose toxicity data for 327 compounds from the Fraunhofer RepDose database. Multi-category classification models were built for both NO(A)EL and LO(A)EL though a consensus of statistics- and fragment-based algorithms, while regression models were based on quantitative relationships between the endpoints and SMILES-based attributes. NO(A)EL and LO(A)EL models were integrated, and predictions were compared to exclude inconsistent values. This strategy improved the performance of single models, leading to R 2 greater than 0.70, root-mean-square error (RMSE) lower than 0.60 (for regression models), and accuracy of 0.61–0.73 (for classification models) on the validation set, based on the endpoint and the threshold applied for selecting predictions. This study confirms the effectiveness of the modeling strategy presented here for assessing RDT of chemicals using in silico models.</w:t>
      </w:r>
    </w:p>
    <w:p>
      <w:pPr/>
      <w:r>
        <w:rPr>
          <w:b/>
        </w:rPr>
        <w:t>POSSIBLE 2020:</w:t>
      </w:r>
      <w:r>
        <w:t xml:space="preserve"> Graphical calibration curves and the integrated calibration index (ICI) for survival models — https://doi.org/10.1002/sim.8570</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In the context of survival analysis, calibration refers to the agreement between predicted probabilities and observed event rates or frequencies of the outcome within a given duration of time. We aimed to describe and evaluate methods for graphically assessing the calibration of survival models. We focus on hazard regression models and restricted cubic splines in conjunction with a Cox proportional hazards model. We also describe modifications of the Integrated Calibration Index, of E50 and of E90. In this context, this is the average (respectively, median or 90th percentile) absolute difference between predicted survival probabilities and smoothed survival frequencies. We conducted a series of Monte Carlo simulations to evaluate the performance of these calibration measures when the underlying model has been correctly specified and under different types of model mis-specification. We illustrate the utility of calibration curves and the three calibration metrics by using them to compare the calibration of a Cox proportional hazards regression model with that of a random survival forest for predicting mortality in patients hospitalized with heart failure. Under a correctly specified regression model, differences between the two methods for constructing calibration curves were minimal, although the performance of the method based on restricted cubic splines tended to be slightly </w:t>
      </w:r>
    </w:p>
    <w:p>
      <w:pPr/>
      <w:r>
        <w:rPr>
          <w:b/>
        </w:rPr>
        <w:t>POSSIBLE 2020:</w:t>
      </w:r>
      <w:r>
        <w:t xml:space="preserve"> The OpenModelica Integrated Environment for Modeling, Simulation, and Model-Based Development — https://doi.org/10.4173/mic.2020.4.1</w:t>
      </w:r>
    </w:p>
    <w:p>
      <w:pPr/>
      <w:r>
        <w:rPr>
          <w:b/>
        </w:rPr>
        <w:t>Shared claim-specific concepts:</w:t>
      </w:r>
      <w:r>
        <w:t xml:space="preserve"> integrated, simulation; EU scope not established. This is a provisional connection, not an outcome finding.</w:t>
      </w:r>
    </w:p>
    <w:p>
      <w:pPr>
        <w:pStyle w:val="SourceNote"/>
      </w:pPr>
      <w:r>
        <w:rPr>
          <w:b/>
        </w:rPr>
        <w:t>Available abstract (not full text):</w:t>
      </w:r>
      <w:r>
        <w:t xml:space="preserve"> OpenModelica is a unique large-scale integrated open-source Modelica-and FMI-based modeling, simulation, optimization, model-based analysis and development environment.Moreover, the OpenModelica environment provides a number of facilities such as debugging; optimization; visualization and 3D animation; web-based model editing and simulation; scripting from Modelica, Python, Julia, and Matlab; efficient simulation and co-simulation of FMI-based models; compilation for embedded systems; Modelica-UML integration; requirement verification; and generation of parallel code for multi-core architectures.The environment is based on the equation-based object-oriented Modelica language and currently uses the MetaModelica extended version of Modelica for its model compiler implementation.This overview paper gives an up-to-date description of the capabilities of the system, short overviews of used open source symbolic and numeric algorithms with pointers to published literature, tool integration aspects, some lessons learned, and the main vision behind its development.</w:t>
      </w:r>
    </w:p>
    <w:p>
      <w:pPr/>
      <w:r>
        <w:rPr>
          <w:b/>
        </w:rPr>
        <w:t>POSSIBLE 2019:</w:t>
      </w:r>
      <w:r>
        <w:t xml:space="preserve"> Design of a Novel Piezoelectric Energy Harvester Based on Integrated Multistage Force Amplification Frame — https://doi.org/10.1109/tmech.2019.2906999</w:t>
      </w:r>
    </w:p>
    <w:p>
      <w:pPr/>
      <w:r>
        <w:rPr>
          <w:b/>
        </w:rPr>
        <w:t>Shared claim-specific concepts:</w:t>
      </w:r>
      <w:r>
        <w:t xml:space="preserve"> integrated, during, show; EU scope not established. This is a provisional connection, not an outcome finding.</w:t>
      </w:r>
    </w:p>
    <w:p>
      <w:pPr>
        <w:pStyle w:val="SourceNote"/>
      </w:pPr>
      <w:r>
        <w:rPr>
          <w:b/>
        </w:rPr>
        <w:t>Available abstract (not full text):</w:t>
      </w:r>
      <w:r>
        <w:t xml:space="preserve"> This paper proposes a novel integrated multistage energy harvester to scavenge the mechanical energy from human footstep during walking. The device involves a four-stage force amplification using wedge mechanism, leverage mechanism, half-bridge mechanism, and bridge-type force amplifier. It is devised to magnify the input force exerted on a piezoelectric stack so as to enhance the power output. By fully exploiting the characteristics of the force amplification frame, the harvester also provides the function of position protection, which enables the bearing of large load and thereby protecting the piezoelectric stack. By this, the maximum displacement input is restricted to a certain range to ensure the walking comfort. A static analytical model of the energy harvester is established through the force analysis based on the stiffness matrix method. The main architectural parameters of the device are optimized by adopting a multiobjective genetic algorithm with ANSYS software. Moreover, a prototype is fabricated for experimental investigation. Experimental results show that the harvester exhibits a large force amplification ratio of 17.9 and high-peak power output of 50.8 mW across a matched resistor.</w:t>
      </w:r>
    </w:p>
    <w:p>
      <w:pPr/>
      <w:r>
        <w:rPr>
          <w:b/>
        </w:rPr>
        <w:t>POSSIBLE 2019:</w:t>
      </w:r>
      <w:r>
        <w:t xml:space="preserve"> Integrated Population Models — https://doi.org/10.1201/9780429243653-25</w:t>
      </w:r>
    </w:p>
    <w:p>
      <w:pPr/>
      <w:r>
        <w:rPr>
          <w:b/>
        </w:rPr>
        <w:t>Shared claim-specific concepts:</w:t>
      </w:r>
      <w:r>
        <w:t xml:space="preserve"> integrated, observed, about; EU scope not established. This is a provisional connection, not an outcome finding.</w:t>
      </w:r>
    </w:p>
    <w:p>
      <w:pPr>
        <w:pStyle w:val="SourceNote"/>
      </w:pPr>
      <w:r>
        <w:rPr>
          <w:b/>
        </w:rPr>
        <w:t>Available abstract (not full text):</w:t>
      </w:r>
      <w:r>
        <w:t xml:space="preserve"> In the context of wildlife population ecology, multiple data source models have become known as “integrated population models”. In wildlife analyses, integrated population models (IPM) often combine two or more sources of data to learn about difficult to estimate population vital rates such as survival probabilities and recruitment rates. For example, data sources that are useful for estimating population abundance often are combined with data that are easier to collect over long time periods such as time series of count data for a set of unmarked individuals in a population. In their IPM, Tom Hobbs et al. combined multiple data sources including observed abundance data, age and sex classification data, and serology data into a single dynamic population model to understand the influence of various management actions on transmission of the disease. In general, the Bayesian approach naturally accommodates multiple data sources in an IPM framework.</w:t>
      </w:r>
    </w:p>
    <w:p>
      <w:pPr/>
      <w:r>
        <w:rPr>
          <w:b/>
        </w:rPr>
        <w:t>POSSIBLE 2019:</w:t>
      </w:r>
      <w:r>
        <w:t xml:space="preserve"> Integrated population models: Model assumptions and inference — https://doi.org/10.1111/2041-210x.13195</w:t>
      </w:r>
    </w:p>
    <w:p>
      <w:pPr/>
      <w:r>
        <w:rPr>
          <w:b/>
        </w:rPr>
        <w:t>Shared claim-specific concepts:</w:t>
      </w:r>
      <w:r>
        <w:t xml:space="preserve"> integrated, simulation, substantial, about; EU scope not established. This is a provisional connection, not an outcome finding.</w:t>
      </w:r>
    </w:p>
    <w:p>
      <w:pPr>
        <w:pStyle w:val="SourceNote"/>
      </w:pPr>
      <w:r>
        <w:rPr>
          <w:b/>
        </w:rPr>
        <w:t>Available abstract (not full text):</w:t>
      </w:r>
      <w:r>
        <w:t xml:space="preserve"> Abstract Integrated population models ( IPM s) have become increasingly popular for the modelling of populations, as investigators seek to combine survey and demographic data to understand processes governing population dynamics. These models are particularly useful for identifying and exploring knowledge gaps within life histories, because they allow investigators to estimate biologically meaningful parameters, such as immigration or reproduction, that were previously unidentifiable without additional data. As IPM s have been developed relatively recently, there is much to learn about model behaviour. Behaviour of parameters, such as estimates near boundaries, and the consequences of varying degrees of dependency among datasets, has been explored. However, the reliability of parameter estimates remains underexamined, particularly when models include parameters that are not identifiable from one data source, but are indirectly identifiable from multiple datasets and a presumed model structure, such as the estimation of immigration using capture‐recapture, fecundity and count data, combined with a life‐history model. To examine the behaviour of model parameter estimates, we simulated stable populations closed to immigration and emigration. We simulated two scenarios that might induce error into survival estimates: marker induced bias in the capture–mark–recapture data and hetero</w:t>
      </w:r>
    </w:p>
    <w:p>
      <w:pPr>
        <w:pStyle w:val="Heading2"/>
      </w:pPr>
      <w:r>
        <w:t>982.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2025:</w:t>
      </w:r>
      <w:r>
        <w:t xml:space="preserve"> A MASS EFFECT CASE STUDY OF MORPHED HUMANITY, FROM INDIVIDUALS TO POPULATIONS IN A BIOTECHNOLOGICAL FUTURIST SOCIETY — https://openalex.org/W7112949524</w:t>
      </w:r>
    </w:p>
    <w:p>
      <w:pPr/>
      <w:r>
        <w:rPr>
          <w:b/>
        </w:rPr>
        <w:t>Shared claim-specific concepts:</w:t>
      </w:r>
      <w:r>
        <w:t xml:space="preserve"> way, but, political; EU scope not established. This is a provisional connection, not an outcome finding.</w:t>
      </w:r>
    </w:p>
    <w:p>
      <w:pPr>
        <w:pStyle w:val="SourceNote"/>
      </w:pPr>
      <w:r>
        <w:rPr>
          <w:b/>
        </w:rPr>
        <w:t>Available abstract (not full text):</w:t>
      </w:r>
      <w:r>
        <w:t xml:space="preserve"> The monster is an icon of literary discussion and criticism, cemented by Cohen’s ‘monster theory’ (1996), with his conceptualisations vital for “understanding [the] cultural creation of monsters” (Gloyn, 2020). Gothic scholar Halberstam argued that “...the emergence of the monster within Gothic fiction marks a peculiarly modern emphasis upon the horror of particular kinds of bodies” (1995, p.3). It is the postmodern monster that will become the subject of this thesis. This thesis re-engages with the monster, arguing that the rise of biotechnology and audience relations to this technology, provides a new lens for examining monsters that are created, reflected in the growth of the subgenre Lars Schmeink terms ‘biopunk’ (2016). Brodwin asserts that the uncertainties emerging from biotechnological developments change how the body is conceptualised and categorised as the body is an arbiter of political relations (2000, p.7). The thesis proposes that biotechnology has morphed humanity but, despite this, there are instances of biotechnological interventions (or disruptions) that are treated with suspicion, and their recipients, the icons known as mutants, face othering. This thesis therefore proposes a subspecies of the monster: the mutant, a literary icon representing the monsterisation of those altered by new forms of intervention and this is utilised through a case study of the pop</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2023:</w:t>
      </w:r>
      <w:r>
        <w:t xml:space="preserve"> Peace as a techno-futurist fantasy: interpreting the opening ceremony of the 2018 PyeongChang Olympics — https://doi.org/10.1080/24761028.2024.2374120</w:t>
      </w:r>
    </w:p>
    <w:p>
      <w:pPr/>
      <w:r>
        <w:rPr>
          <w:b/>
        </w:rPr>
        <w:t>Shared claim-specific concepts:</w:t>
      </w:r>
      <w:r>
        <w:t xml:space="preserve"> not, but, political; EU scope not established. This is a provisional connection, not an outcome finding.</w:t>
      </w:r>
    </w:p>
    <w:p>
      <w:pPr>
        <w:pStyle w:val="SourceNote"/>
      </w:pPr>
      <w:r>
        <w:rPr>
          <w:b/>
        </w:rPr>
        <w:t>Available abstract (not full text):</w:t>
      </w:r>
      <w:r>
        <w:t xml:space="preserve"> South Korea hosted the 2018 PyeongChang Winter Olympic Games nearly 30 years after the 1988 Seoul Summer Olympic Games and almost 16 after the 2002 Korea/Japan FIFA World Cup. The national narrative of these sporting mega-events shifted from a grand display of industrial triumph during the Seoul Olympics to the celebration of a global nation during the World Cup to a nation of cutting-edge technology during the PyeongChang Olympics. The Opening Ceremonies of the PyeongChang Olympics were planned to showcase South Korea’s hallyu cultural juggernaut and technological prowess. Just a month prior to the start of the Games, a delegation from North Korea agreed to compete, thereby changing the narrative of the show. The planned story line shifted to include the idea of reunification not as an urgent matter of the present, but as a techno-futurist fantasy of world peace. While the Olympic leadership fawned over this hopeful display of détente through sport, the joint appearance failed to garner a great deal of excitement in South Korea given the failure of decades of cultural interactions to bring the two countries closer together. Nevertheless, the presence of North Koreans created a level of interest that added an element of historical and political curiosity otherwise missing from an overwrought program that lacked spontaneity. Thus, ironically, the presence of the North Korean del</w:t>
      </w:r>
    </w:p>
    <w:p>
      <w:pPr/>
      <w:r>
        <w:rPr>
          <w:b/>
        </w:rPr>
        <w:t>POSSIBLE 2023:</w:t>
      </w:r>
      <w:r>
        <w:t xml:space="preserve"> Alberto Breccia’s Parody of Futurist Paintings in Modern Bande Dessinée: Resisting Transatlantic Fascism — https://doi.org/10.2218/forum.1.9149</w:t>
      </w:r>
    </w:p>
    <w:p>
      <w:pPr/>
      <w:r>
        <w:rPr>
          <w:b/>
        </w:rPr>
        <w:t>Shared claim-specific concepts:</w:t>
      </w:r>
      <w:r>
        <w:t xml:space="preserve"> also, used, political; EU scope not established. This is a provisional connection, not an outcome finding.</w:t>
      </w:r>
    </w:p>
    <w:p>
      <w:pPr>
        <w:pStyle w:val="SourceNote"/>
      </w:pPr>
      <w:r>
        <w:rPr>
          <w:b/>
        </w:rPr>
        <w:t>Available abstract (not full text):</w:t>
      </w:r>
      <w:r>
        <w:t xml:space="preserve"> During wars, art and culture often develop a “culture of camouflage” (Ojeda 68) to invite the reader to decipher hidden meanings as a form of political subversion. In Argentina, the ‘Golden Age’ of comics emerged in the 1940s in response to the rise of Fascist sentiments originating from the Futurist leader Filippo Tommaso Marinetti’s transatlantic propaganda and flourished in the following decades. During and following the ‘Process of National Reorganisation’ from 1976 onwards, illustrator Alberto Breccia used graphic narratives as a form of counter-censorship as he appropriated Futurist aesthetics and the conventions of the modern bande dessinée. He considered this method as being able to allow “artistry and imagination [take] over from logical progressions” (Grove 25). Using this form, he encouraged the public to reflect on Argentina’s changing transatlantic landscape. This paper examines to what extent Breccia’s Le Coeur Révélateur: Et Autres Histoires Extraodinaires d’ Edgar Poe (1995) borrows Futurist visuality and makes use of the flexibility of the settings in Poe’s stories. This is done to recreate the haunting figures of history as they “turn away from the original work” to “conceive new forms of storytelling that explore the medium-specific properties of the host medium” (Baetens 7). This paper employs an interdisciplinary approach as, in addition to reading Poe’s or</w:t>
      </w:r>
    </w:p>
    <w:p>
      <w:pPr/>
      <w:r>
        <w:rPr>
          <w:b/>
        </w:rPr>
        <w:t>POSSIBLE 2022:</w:t>
      </w:r>
      <w:r>
        <w:t xml:space="preserve"> FUTURISM: VLADIMIR MAYAKOVSKI'S URBANISM AND FUTURIST OUTLOOK — https://doi.org/10.21533/epiphany.v15i1.387</w:t>
      </w:r>
    </w:p>
    <w:p>
      <w:pPr/>
      <w:r>
        <w:rPr>
          <w:b/>
        </w:rPr>
        <w:t>Shared claim-specific concepts:</w:t>
      </w:r>
      <w:r>
        <w:t xml:space="preserve"> futurists, also, used; EU scope not established. This is a provisional connection, not an outcome finding.</w:t>
      </w:r>
    </w:p>
    <w:p>
      <w:pPr>
        <w:pStyle w:val="SourceNote"/>
      </w:pPr>
      <w:r>
        <w:rPr>
          <w:b/>
        </w:rPr>
        <w:t>Available abstract (not full text):</w:t>
      </w:r>
      <w:r>
        <w:t xml:space="preserve">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pPr/>
      <w:r>
        <w:rPr>
          <w:b/>
        </w:rPr>
        <w:t>POSSIBLE 2022:</w:t>
      </w:r>
      <w:r>
        <w:t xml:space="preserve"> The Real Pushkin: The Reinvention of Russia’s National Poet by the Futurists — https://openalex.org/W7132695165</w:t>
      </w:r>
    </w:p>
    <w:p>
      <w:pPr/>
      <w:r>
        <w:rPr>
          <w:b/>
        </w:rPr>
        <w:t>Shared claim-specific concepts:</w:t>
      </w:r>
      <w:r>
        <w:t xml:space="preserve"> futurists, different, not, way, studied, but; EU scope not established. This is a provisional connection, not an outcome finding.</w:t>
      </w:r>
    </w:p>
    <w:p>
      <w:pPr>
        <w:pStyle w:val="SourceNote"/>
      </w:pPr>
      <w:r>
        <w:rPr>
          <w:b/>
        </w:rPr>
        <w:t>Available abstract (not full text):</w:t>
      </w:r>
      <w:r>
        <w:t xml:space="preserve">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pPr/>
      <w:r>
        <w:rPr>
          <w:b/>
        </w:rPr>
        <w:t>POSSIBLE 2020:</w:t>
      </w:r>
      <w:r>
        <w:t xml:space="preserve"> Becoming Futurists — https://doi.org/10.26481/dis.20200520tc</w:t>
      </w:r>
    </w:p>
    <w:p>
      <w:pPr/>
      <w:r>
        <w:rPr>
          <w:b/>
        </w:rPr>
        <w:t>Shared claim-specific concepts:</w:t>
      </w:r>
      <w:r>
        <w:t xml:space="preserve"> futurists, not, way, ways; EU scope not established. This is a provisional connection, not an outcome finding.</w:t>
      </w:r>
    </w:p>
    <w:p>
      <w:pPr>
        <w:pStyle w:val="SourceNote"/>
      </w:pPr>
      <w:r>
        <w:rPr>
          <w:b/>
        </w:rPr>
        <w:t>Available abstract (not full text):</w:t>
      </w:r>
      <w:r>
        <w:t xml:space="preserve"> Writing a PhD thesis is a solitary practice, yet I didn't write alone.Becoming Futurists was made possible by a life-giving ecosystem of friends, family, colleagues and students.In these few pages, I am finally able to thank everyone who has contributed to my growth.First and foremost, I am deeply grateful for my academic guide Marjolein van Asselt.I see in Marjolein a bright scholar who is not afraid to speak her mind and dares to break with conventions.To me, Marjolein is a true example, especially in how science can and should be connected to the world.By leading me the way, Marjolein helped me to rise and spread my wings.My sincere gratitude goes out to supervisor Harro van Lente, from the moment I got acquainted with Harro's academic work, I was captured by his sense of language.Harro helped me to structure my thoughts, making dozens of impressive overviews based on our lengthy academic conversations and guided me in the wonderful and particular world of Science and Technology Studies.Harro's trust, his comforting smile and his ways with words helped me to pass the much-anticipated finish line.</w:t>
      </w:r>
    </w:p>
    <w:p>
      <w:pPr/>
      <w:r>
        <w:rPr>
          <w:b/>
        </w:rPr>
        <w:t>POSSIBLE 2020:</w:t>
      </w:r>
      <w:r>
        <w:t xml:space="preserve"> Benedetta’s Futurist Novels — https://openalex.org/W3018827761</w:t>
      </w:r>
    </w:p>
    <w:p>
      <w:pPr/>
      <w:r>
        <w:rPr>
          <w:b/>
        </w:rPr>
        <w:t>Shared claim-specific concepts:</w:t>
      </w:r>
      <w:r>
        <w:t xml:space="preserve"> futurists, not, but, also, she; EU scope not established. This is a provisional connection, not an outcome finding.</w:t>
      </w:r>
    </w:p>
    <w:p>
      <w:pPr>
        <w:pStyle w:val="SourceNote"/>
      </w:pPr>
      <w:r>
        <w:rPr>
          <w:b/>
        </w:rPr>
        <w:t>Available abstract (not full text):</w:t>
      </w:r>
      <w:r>
        <w:t xml:space="preserve"> Benedetta Cappa Marinetti does not simply write novels, she constructs them. Over the span of ten years, Benedetta pairs narrative first with images, then with performative elements, and lastly, with letters. She applies her abstract and conceptual style to observable and palpable works. In her first novel, Le forze umane (1926), Benedetta parallels handwritten words to hand- drawn images, or what she terms as “graphic syntheses.” From this autobiographical beginning, Benedetta immerses her audience into the timeline of her own life events. Surpassing a simple documentary or chronological account, Benedetta embeds her own states of mind in the narrative, a practice also explored by Futurist Giuseppe Steiner. In her next novel, Viaggio di Garar� (1931), Benedetta continues to incorporate visuals into her narrative, however, not to convey states of mind, but to immerse the reader into another realm: the theater. Viaggio di Garar� is a “cosmic novel for the theater,” allowing the work to be flexibly read as both a script and a novel. Her final novel, Astra e il sottomarino (1936) evokes an epistolary model, continuing her interest in the participatory elements of script and narrative. Benedetta’s much overlooked literary narrative includes a female perspective missing from many of her fellow Futurists’ novels.</w:t>
      </w:r>
    </w:p>
    <w:p>
      <w:pPr/>
      <w:r>
        <w:rPr>
          <w:b/>
        </w:rPr>
        <w:t>POSSIBLE 2020:</w:t>
      </w:r>
      <w:r>
        <w:t xml:space="preserve"> Agriculture futurist: Don Ort — https://doi.org/10.1093/plphys/kiaa024</w:t>
      </w:r>
    </w:p>
    <w:p>
      <w:pPr/>
      <w:r>
        <w:rPr>
          <w:b/>
        </w:rPr>
        <w:t>Shared claim-specific concepts:</w:t>
      </w:r>
      <w:r>
        <w:t xml:space="preserve"> different, not, but, also, ways, political; EU scope not established. This is a provisional connection, not an outcome finding.</w:t>
      </w:r>
    </w:p>
    <w:p>
      <w:pPr>
        <w:pStyle w:val="SourceNote"/>
      </w:pPr>
      <w:r>
        <w:rPr>
          <w:b/>
        </w:rPr>
        <w:t>Available abstract (not full text):</w:t>
      </w:r>
      <w:r>
        <w:t xml:space="preserve"> Scientists have an ability to prove the predictions wrong, especially when it comes to meeting increasing food demand. In 1798, Thomas Malthus, an English political economist, published “An essay on the principle of population” in which he concluded that “The power of population is so superior to the power of the earth to produce subsistence for man, that premature death must in some shape or other visit the human race.” (Malthus, 1798). Over the centuries, this message has been repeated. For example, Paul Ehrlich’s 1968 book, The Population Bomb famously began with the statement “The battle to feed all of humanity is over. In the 1970s hundreds of millions of people will starve to death…” (Ehrlich, 1968). Through the expansion of cultivated land, intensification of inputs, and the adoption of resource-responsive dwarf varieties, the “Green Revolution” in the 60s and 70s, saw average annual production gains of 3.2% (1961–1980) across developing countries (80% of the gains due to yield ha−1 increases; e.g., Evenson and Gollin, 2003); forestalling a food crisis. Between 1981 and 2000, as world population grew by another 1.6 billion people, modern varieties and precision technologies continued to increase yield potential as well as reduce the yield gap between actual and potential yield. But analyses of production trends suggest the returns of the Green Revolution may be diminishi</w:t>
      </w:r>
    </w:p>
    <w:p>
      <w:pPr/>
      <w:r>
        <w:rPr>
          <w:b/>
        </w:rPr>
        <w:t>POSSIBLE 2020:</w:t>
      </w:r>
      <w:r>
        <w:t xml:space="preserve"> From critical manifesto to transformative genderplay: feminist Futurist and Dadaist strategies countering the misogyny within the historical avant-gardes — https://doi.org/10.21825/documenta.81885</w:t>
      </w:r>
    </w:p>
    <w:p>
      <w:pPr/>
      <w:r>
        <w:rPr>
          <w:b/>
        </w:rPr>
        <w:t>Shared claim-specific concepts:</w:t>
      </w:r>
      <w:r>
        <w:t xml:space="preserve"> not, only, but, also; EU scope not established. This is a provisional connection, not an outcome finding.</w:t>
      </w:r>
    </w:p>
    <w:p>
      <w:pPr>
        <w:pStyle w:val="SourceNote"/>
      </w:pPr>
      <w:r>
        <w:rPr>
          <w:b/>
        </w:rPr>
        <w:t>Available abstract (not full text):</w:t>
      </w:r>
      <w:r>
        <w:t xml:space="preserve"> This article touches upon the problematic reception of the female pioneers of the historical avant-gardes - by contemporaries and art historians - more specifically within the movements of Futurism, Dadaism and Surrealism. What artistic strategies did avant-garde women apply to resist the omnipresent misogyny that was not only trivializing female creation but also sexualizing the female ‘other’? How is the gender binary embedded and challenged within their artistic practice? This article observes firstly, how a critical engagement with the rather masculine format of the manifesto empowered women in dealing with the stereotypical imagery of womanhood at the time. Second, the application of so-called “inferior” media (embroidery, design, dance) and materials (textile, wood, the body) tackled the patriarchal classification of the arts and the subordinate role of women in it. Finally, the live performance of genderplay allowed female artists to articulate the bankruptcy of traditional gender conventions responsible for the problematic reception of many female artists through art history.</w:t>
      </w:r>
    </w:p>
    <w:p>
      <w:pPr>
        <w:pStyle w:val="Heading2"/>
      </w:pPr>
      <w:r>
        <w:t>983.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current, proposed, commission;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2019:</w:t>
      </w:r>
      <w:r>
        <w:t xml:space="preserve"> The ‘political’ roles of the European Commission — https://doi.org/10.1080/07036337.2019.1572135</w:t>
      </w:r>
    </w:p>
    <w:p>
      <w:pPr/>
      <w:r>
        <w:rPr>
          <w:b/>
        </w:rPr>
        <w:t>Shared claim-specific concepts:</w:t>
      </w:r>
      <w:r>
        <w:t xml:space="preserve"> different, current, system, commission;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r>
        <w:rPr>
          <w:b/>
        </w:rPr>
        <w:t>POSSIBLE 2019:</w:t>
      </w:r>
      <w:r>
        <w:t xml:space="preserve"> 5th generation district heating and cooling systems: A review of existing cases in Europe — https://doi.org/10.1016/j.rser.2018.12.059</w:t>
      </w:r>
    </w:p>
    <w:p>
      <w:pPr/>
      <w:r>
        <w:rPr>
          <w:b/>
        </w:rPr>
        <w:t>Shared claim-specific concepts:</w:t>
      </w:r>
      <w:r>
        <w:t xml:space="preserve"> different, current, presented; EU scope visible. This is a provisional connection, not an outcome finding.</w:t>
      </w:r>
    </w:p>
    <w:p>
      <w:pPr>
        <w:pStyle w:val="SourceNote"/>
      </w:pPr>
      <w:r>
        <w:rPr>
          <w:b/>
        </w:rPr>
        <w:t>Available abstract (not full text):</w:t>
      </w:r>
      <w:r>
        <w:t xml:space="preserve"> This article investigates 40 thermal networks in operation in Europe that are able to cover both the heating and cooling demands of buildings by means of distributed heat pumps installed at the customer substations. The technology of thermal networks that work at a temperature close to the ground, can strongly contribute to the decarbonisation of the heating and cooling sector and furthermore exploit a multitude of low temperature heat sources. Nevertheless, the nomenclature used in literature shows that misinterpretations could easily result when comparing the different concepts of thermal networks that operate at a temperature level lower than traditional district heating. The scope of this work is to revise the definitions encountered and to introduce an unambiguous definition of Fifth-Generation District Heating and Cooling networks. A drawback-benefit analysis is presented to identify the pros and cons of such technology. The survey on the current networks shows that on average three Fifth-Generation District Heating and Cooling systems per year have entered the heating and cooling market in the last decade. Pioneer countries in such technology are Germany and Switzerland. For some networks, the assessed Linear Heating Power Demand Density results are lower than the feasibility threshold adopted in traditional district heating. High performances and low non-renewable prima</w:t>
      </w:r>
    </w:p>
    <w:p>
      <w:pPr/>
      <w:r>
        <w:rPr>
          <w:b/>
        </w:rPr>
        <w:t>POSSIBLE 2018:</w:t>
      </w:r>
      <w:r>
        <w:t xml:space="preserve"> Is a 100% renewable European power system feasible by 2050? — https://doi.org/10.1016/j.apenergy.2018.08.109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In this study, we model seven scenarios for the European power system in 2050 based on 100% renewable energy sources, assuming different levels of future demand and technology availability, and compare them with a scenario which includes low-carbon non-renewable technologies. We find that a 100% renewable European power system could operate with the same level of system adequacy as today when relying on European resources alone, even in the most challenging weather year observed in the period from 1979 to 2015. However, based on our scenario results, realising such a system by 2050 would require: (i) a 90% increase in generation capacity to at least 1.9 TW (compared with 1 TW installed today), (ii) reliable cross-border transmission capacity at least 140 GW higher than current levels (60 GW), (iii) the well-managed integration of heat pumps and electric vehicles into the power system to reduce demand peaks and biogas requirements, (iv) the implementation of energy efficiency measures to avoid even larger increases in required biomass demand, generation and transmission capacity, (v) wind deployment levels of 7.5 GW y−1 (currently 10.6 GW y−1) to be maintained, while solar photovoltaic deployment to increase to at least 15 GW y−1 (currently 10.5 GW y−1), (vi) large-scale mobilisation of Europe’s biomass resources, with power sector biomass consumption reaching at least 8.5 EJ in</w:t>
      </w:r>
    </w:p>
    <w:p>
      <w:pPr/>
      <w:r>
        <w:rPr>
          <w:b/>
        </w:rPr>
        <w:t>POSSIBLE 2017:</w:t>
      </w:r>
      <w:r>
        <w:t xml:space="preserve"> Gap assessment in current soil monitoring networks across Europe for measuring soil functions — https://doi.org/10.1088/1748-9326/aa9c5c</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Soil is the most important natural resource for life on Earth after water. Given its fundamental role in sustaining the human population, both the availability and quality of soil must be managed sustainably and protected. To ensure sustainable management we need to understand the intrinsic functional capacity of different soils across Europe and how it changes over time. Soil monitoring is needed to support evidence-based policies to incentivise sustainable soil management. To this aim, we assessed which soil attributes can be used as potential indicators of five soil functions; (1) primary production, (2) water purification and regulation, (3) carbon sequestration and climate regulation, (4) soil biodiversity and habitat provisioning and (5) recycling of nutrients. We compared this list of attributes to existing national (regional) and EU-wide soil monitoring networks. The overall picture highlighted a clearly unbalanced dataset, in which predominantly chemical soil parameters were included, and soil biological and physical attributes were severely under represented. Methods applied across countries for indicators also varied. At a European scale, the LUCAS-soil survey was evaluated and again confirmed a lack of important soil biological parameters, such as C mineralisation rate, microbial biomass and earthworm community, and soil physical measures such as bulk density. In su</w:t>
      </w:r>
    </w:p>
    <w:p>
      <w:pPr/>
      <w:r>
        <w:rPr>
          <w:b/>
        </w:rPr>
        <w:t>POSSIBLE 2017:</w:t>
      </w:r>
      <w:r>
        <w:t xml:space="preserve"> Current state of the plastic waste recycling system in the European Union and in Germany — https://openalex.org/W2802287539</w:t>
      </w:r>
    </w:p>
    <w:p>
      <w:pPr/>
      <w:r>
        <w:rPr>
          <w:b/>
        </w:rPr>
        <w:t>Shared claim-specific concepts:</w:t>
      </w:r>
      <w:r>
        <w:t xml:space="preserve"> different, current, system, presented; EU scope visible. This is a provisional connection, not an outcome finding.</w:t>
      </w:r>
    </w:p>
    <w:p>
      <w:pPr>
        <w:pStyle w:val="SourceNote"/>
      </w:pPr>
      <w:r>
        <w:rPr>
          <w:b/>
        </w:rPr>
        <w:t>Available abstract (not full text):</w:t>
      </w:r>
      <w:r>
        <w:t xml:space="preserve"> The paper presents the results of the analysis of the current state in waste management of plastic bottles in Germany. A data overview of the differences in recycling policies between different countries in the European Union is presented. The application of twelve different polymeric materials by five different application sectors in Europe shows the predominated usage areas of selected polymeric materials. A detailed insight into the German Dual System (DSD) for plastic recycling is presented, with the reference to the famous label the "Green Dot". The evolution of the recovery rates of packaging in Germany from 1991 to 2014 is presented for glass, aluminium, tinplate, polymers, paper and cardboard and liquid packaging board. It was observed that the plastic recycling rate has risen from ~ 15 % to almost 100 %, i.e. nowadays almost the whole plastic waste is either incinerated or recycled. Current data for PET-bottles return is determined as well, and detailed current information regarding the deposit system is presented. The actual applications and specific data showing the industry sectors that use the PET from recovered bottles are presented.</w:t>
      </w:r>
    </w:p>
    <w:p>
      <w:pPr>
        <w:pStyle w:val="Heading2"/>
      </w:pPr>
      <w:r>
        <w:t>984.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2022:</w:t>
      </w:r>
      <w:r>
        <w:t xml:space="preserve"> The Role of the Second Law of Thermodynamics in Continuum Physics: A Muschik and Ehrentraut Theorem Revisited — https://doi.org/10.3390/sym14040763</w:t>
      </w:r>
    </w:p>
    <w:p>
      <w:pPr/>
      <w:r>
        <w:rPr>
          <w:b/>
        </w:rPr>
        <w:t>Shared claim-specific concepts:</w:t>
      </w:r>
      <w:r>
        <w:t xml:space="preserve"> regards, second, assumption, those; EU scope not established. This is a provisional connection, not an outcome finding.</w:t>
      </w:r>
    </w:p>
    <w:p>
      <w:pPr>
        <w:pStyle w:val="SourceNote"/>
      </w:pPr>
      <w:r>
        <w:rPr>
          <w:b/>
        </w:rPr>
        <w:t>Available abstract (not full text):</w:t>
      </w:r>
      <w:r>
        <w:t xml:space="preserve"> In continuum physics, constitutive equations model the material properties of physical systems. In those equations, material symmetry is taken into account by applying suitable representation theorems for symmetric and/or isotropic functions. Such mathematical representations must be in accordance with the second law of thermodynamics, which imposes that, in any thermodynamic process, the entropy production must be nonnegative. This requirement is fulfilled by assigning the constitutive equations in a form that guaranties that second law of thermodynamics is satisfied along arbitrary processes. Such an approach, in practice regards the second law of thermodynamics as a restriction on the constitutive equations, which must guarantee that any solution of the balance laws also satisfy the entropy inequality. This is a useful operative assumption, but not a consequence of general physical laws. Indeed, a different point of view, which regards the second law of thermodynamics as a restriction on the thermodynamic processes, i.e., on the solutions of the system of balance laws, is possible. This is tantamount to assuming that there are solutions of the balance laws that satisfy the entropy inequality, and solutions that do not satisfy it. In order to decide what is the correct approach, Muschik and Ehrentraut in 1996, postulated an amendment to the second law, which makes explicit th</w:t>
      </w:r>
    </w:p>
    <w:p>
      <w:pPr/>
      <w:r>
        <w:rPr>
          <w:b/>
        </w:rPr>
        <w:t>POSSIBLE 2022:</w:t>
      </w:r>
      <w:r>
        <w:t xml:space="preserve"> The Role of Second Law of Thermodynamics in Continuum Physics: A Muschik and Ehrentraut Theorem Revisited — https://doi.org/10.48550/arxiv.2202.01162</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Second law of thermodynamics imposes that in any thermodynamic process the entropy production must be nonnegative. In continuum physics such a requirement is fulfilled by postulating the constitutive equations which represent the material properties of the bodies in such a way that second law of thermodynamics is satisfied in arbitrary processes. Such an approach, first assumed in some pioneering papers by Coleman and Noll \cite{ColNol} and Coleman and Mizel \cite{ColMiz}, in practice regards second law of thermodynamics as a restriction on the constitutive equations, which must guarantee that any solution of the balance laws satisfies also the entropy inequality. As observed by Muschik and Ehrentraut \cite{MusEhr}, this is a useful operative assumption, but not a consequence of general physical laws. Indeed, a different point of view, which regards second law of thermodynamics as a restriction on the thermodynamic processes, i.e., on the solutions of the system of balance laws, is possible. This is tantamount to assume that there are solutions of the balance laws which satisfy the entropy inequality, and solutions which do not satisfy it. In order to decide what is the correct approach, Muschik and Erhentraut postulated an amendment to the second law, which makes explicit the evident but rather hidden assumption that in any point of the body the entropy production is zero if, </w:t>
      </w:r>
    </w:p>
    <w:p>
      <w:pPr/>
      <w:r>
        <w:rPr>
          <w:b/>
        </w:rPr>
        <w:t>POSSIBLE 2022:</w:t>
      </w:r>
      <w:r>
        <w:t xml:space="preserve"> A review of quantitative structure-activity relationship modelling approaches to predict the toxicity of mixtures — https://doi.org/10.1016/j.comtox.2022.100251</w:t>
      </w:r>
    </w:p>
    <w:p>
      <w:pPr/>
      <w:r>
        <w:rPr>
          <w:b/>
        </w:rPr>
        <w:t>Shared claim-specific concepts:</w:t>
      </w:r>
      <w:r>
        <w:t xml:space="preserve"> regards, modelling, techniques, potential; EU scope not established. This is a provisional connection, not an outcome finding.</w:t>
      </w:r>
    </w:p>
    <w:p>
      <w:pPr>
        <w:pStyle w:val="SourceNote"/>
      </w:pPr>
      <w:r>
        <w:rPr>
          <w:b/>
        </w:rPr>
        <w:t>Available abstract (not full text):</w:t>
      </w:r>
      <w:r>
        <w:t xml:space="preserve"> Exposure to chemicals generally occurs in the form of mixtures. However, the great majority of the toxicity data, upon which chemical safety decisions are based, relate only to single compounds. It is currently unfeasible to test a fully representative proportion of mixtures for potential harmful effects and, as such, in silico modelling provides a practical solution to inform safety assessment. Traditional methodologies for deriving estimations of mixture effects, exemplified by principles such as concentration addition (CA) and independent action (IA), are limited as regards the scope of chemical combinations to which they can reliably be applied. Development of appropriate quantitative structure-activity relationships (QSARs) has been put forward as a solution to the shortcomings present within these techniques – allowing for the potential formulation of versatile predictive tools capable of capturing the activities of a full contingent of possible mixtures. This review addresses the current state-of-the-art as regards application of QSAR towards mixture toxicity, discussing the challenges inherent in the task, whilst considering the strengths and limitations of existing approaches. Forty studies are examined within – through reference to several characteristic elements including the nature of the chemicals and endpoints modelled, the form of descriptors adopted, and the pri</w:t>
      </w:r>
    </w:p>
    <w:p>
      <w:pPr/>
      <w:r>
        <w:rPr>
          <w:b/>
        </w:rPr>
        <w:t>POSSIBLE 2021:</w:t>
      </w:r>
      <w:r>
        <w:t xml:space="preserve"> Relative risk aversion models: How plausible are their assumptions? — https://doi.org/10.1177/1043463121994087</w:t>
      </w:r>
    </w:p>
    <w:p>
      <w:pPr/>
      <w:r>
        <w:rPr>
          <w:b/>
        </w:rPr>
        <w:t>Shared claim-specific concepts:</w:t>
      </w:r>
      <w:r>
        <w:t xml:space="preserve"> regards, second, assumption, plausible; EU scope visible. This is a provisional connection, not an outcome finding.</w:t>
      </w:r>
    </w:p>
    <w:p>
      <w:pPr>
        <w:pStyle w:val="SourceNote"/>
      </w:pPr>
      <w:r>
        <w:rPr>
          <w:b/>
        </w:rPr>
        <w:t>Available abstract (not full text):</w:t>
      </w:r>
      <w:r>
        <w:t xml:space="preserve"> This work examines the validity of the two main assumptions of relative risk-aversion models of educational inequality. We compare the Breen-Goldthorpe (BG) and the Breen-Yaish (BY) models in terms of their assumptions about status maintenance motives and beliefs about the occupational risks associated with educational decisions. Concerning the first assumption, our contribution is threefold. First, we criticise the assumption of the BG model that families aim only at avoiding downward mobility and are insensitive to the prospects of upward mobility. We argue that the loss-aversion assumption proposed by BY is a more realistic formulation of status-maintenance motives. Second, we propose and implement a novel empirical approach to assess the validity of the loss-aversion assumption. Third, we present empirical results based on a sample of families of lower secondary school leavers indicating that families are sensitive to the prospects of both upward and downward mobility, and that the loss-aversion hypothesis of BY is empirically supported. As regards the risky choice assumption, we argue that families may not believe that more ambitious educational options entail occupational risks relative to less ambitious ones. We present empirical evidence indicating that, in France, the academic path is not perceived as a risky option. We conclude that, if the restrictive assumptions of </w:t>
      </w:r>
    </w:p>
    <w:p>
      <w:pPr/>
      <w:r>
        <w:rPr>
          <w:b/>
        </w:rPr>
        <w:t>POSSIBLE 2021:</w:t>
      </w:r>
      <w:r>
        <w:t xml:space="preserve"> Disorganization of Oscillatory Activity in Animal Models of Schizophrenia — https://doi.org/10.3389/fncir.2021.741767</w:t>
      </w:r>
    </w:p>
    <w:p>
      <w:pPr/>
      <w:r>
        <w:rPr>
          <w:b/>
        </w:rPr>
        <w:t>Shared claim-specific concepts:</w:t>
      </w:r>
      <w:r>
        <w:t xml:space="preserve"> activity, potential; EU scope not established. This is a provisional connection, not an outcome finding.</w:t>
      </w:r>
    </w:p>
    <w:p>
      <w:pPr>
        <w:pStyle w:val="SourceNote"/>
      </w:pPr>
      <w:r>
        <w:rPr>
          <w:b/>
        </w:rPr>
        <w:t>Available abstract (not full text):</w:t>
      </w:r>
      <w:r>
        <w:t xml:space="preserve"> Schizophrenia is a chronic, debilitating disorder with diverse symptomatology, including disorganized cognition and behavior. Despite considerable research effort, we have only a limited understanding of the underlying brain dysfunction. In this article, we review the potential role of oscillatory circuits in the disorder with a particular focus on the hippocampus, a region that encodes sequential information across time and space, as well as the frontal cortex. Several mechanistic explanations of schizophrenia propose that a loss of oscillatory synchrony between and within these brain regions may underlie some of the symptoms of the disorder. We describe how these oscillations are affected in several animal models of schizophrenia, including models of genetic risk, maternal immune activation (MIA) models, and models of NMDA receptor hypofunction. We then critically discuss the evidence for disorganized oscillatory activity in these models, with a focus on gamma, sharp wave ripple, and theta activity, including the role of cross-frequency coupling as a synchronizing mechanism. Finally, we focus on phase precession, which is an oscillatory phenomenon whereby individual hippocampal place cells systematically advance their firing phase against the background theta oscillation. Phase precession is important because it allows sequential experience to be compressed into a single 120 </w:t>
      </w:r>
    </w:p>
    <w:p>
      <w:pPr/>
      <w:r>
        <w:rPr>
          <w:b/>
        </w:rPr>
        <w:t>POSSIBLE 2021:</w:t>
      </w:r>
      <w:r>
        <w:t xml:space="preserve"> Comparing Human Activity Recognition Models Based on Complexity and Resource Usage — https://doi.org/10.3390/app11188473</w:t>
      </w:r>
    </w:p>
    <w:p>
      <w:pPr/>
      <w:r>
        <w:rPr>
          <w:b/>
        </w:rPr>
        <w:t>Shared claim-specific concepts:</w:t>
      </w:r>
      <w:r>
        <w:t xml:space="preserve"> regards, activity, techniques, performance; EU scope not established. This is a provisional connection, not an outcome finding.</w:t>
      </w:r>
    </w:p>
    <w:p>
      <w:pPr>
        <w:pStyle w:val="SourceNote"/>
      </w:pPr>
      <w:r>
        <w:rPr>
          <w:b/>
        </w:rPr>
        <w:t>Available abstract (not full text):</w:t>
      </w:r>
      <w:r>
        <w:t xml:space="preserve"> Human Activity Recognition (HAR) is a field with many contrasting application domains, from medical applications to ambient assisted living and sports applications. With ever-changing use cases and devices also comes a need for newer and better HAR approaches. Machine learning has long been one of the predominant techniques to recognize activities from extracted features. With the advent of deep learning techniques that push state of the art results in many different domains like natural language processing or computer vision, researchers have also started to build deep neural nets for HAR. With this increase in complexity, there also comes a necessity to compare the newer approaches to the previous state of the art algorithms. Not everything that is new is also better. Therefore, this paper aims to compare typical machine learning models like a Random Forest (RF) or a Support Vector Machine (SVM) to two commonly used deep neural net architectures, Convolutional Neural Nets (CNNs) and Recurrent Neural Nets (RNNs). Not only in regards to performance but also in regards to the complexity of the models. We measure complexity as the memory consumption, the mean prediction time and the number of trainable parameters of the models. To achieve comparable results, the models are all tested on the same publicly available dataset, the UCI HAR Smartphone dataset. With this combination of </w:t>
      </w:r>
    </w:p>
    <w:p>
      <w:pPr/>
      <w:r>
        <w:rPr>
          <w:b/>
        </w:rPr>
        <w:t>POSSIBLE 2021:</w:t>
      </w:r>
      <w:r>
        <w:t xml:space="preserve"> 'The second Republic': Does the Republic of Srpska need a new constitution? — https://doi.org/10.5937/politeia0-28729</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this paper, we will try to suggest the possibility of a new constitution of the Republic of Srpska. By that political act, the 'Second Republic' might be created. With this in mind, our approach has two steps. The first one is negative: it should explain that in the Constitution of the Republic of Srpska there are some deficiencies, both formal and substantial. The second step is positive: it suggests a direction that has to be taken in the process of creation of our new Constitution. Our basic assumption is that the current Constitution of the Republic of Srpska cannot provide effective framework for our political community. In fact, our current constitution is one of the main sources of problems and conflicts in our political community. This diagnosis is quite opposite to the main line of understanding of the crisis in Bosnia and Herzegovina and the Republic of Srpska respectively: the standard perception of the former and the latter is that there is some kind of deficiency as regards the Constitution of Bosnia and Herzegovina. Yet, it is the constitutions of the entities of the Republic of Srpska and the Federation of Bosnia and Herzegovina that are almost never discussed.</w:t>
      </w:r>
    </w:p>
    <w:p>
      <w:pPr/>
      <w:r>
        <w:rPr>
          <w:b/>
        </w:rPr>
        <w:t>POSSIBLE 2021:</w:t>
      </w:r>
      <w:r>
        <w:t xml:space="preserve"> RAISING ENGINEERING STUDENTS’ AWARENESS AS REGARDS THE IMPORTANCE OF IMPROVING THEIR PROFICIENCY IN ENGLISH — https://doi.org/10.22190/jtesap2101099a</w:t>
      </w:r>
    </w:p>
    <w:p>
      <w:pPr/>
      <w:r>
        <w:rPr>
          <w:b/>
        </w:rPr>
        <w:t>Shared claim-specific concepts:</w:t>
      </w:r>
      <w:r>
        <w:t xml:space="preserve"> regards, second, activity, those; EU scope not established. This is a provisional connection, not an outcome finding.</w:t>
      </w:r>
    </w:p>
    <w:p>
      <w:pPr>
        <w:pStyle w:val="SourceNote"/>
      </w:pPr>
      <w:r>
        <w:rPr>
          <w:b/>
        </w:rPr>
        <w:t>Available abstract (not full text):</w:t>
      </w:r>
      <w:r>
        <w:t xml:space="preserve"> This research paper presents the results obtained after analysing the answers given by a number of 170 engineering students to questions referring to the current role of English, both in engineering education and in engineers’ professional activity, especially when that activity is carried out in multinational companies.In addition, it emphasizes the importance of presenting students, during the early stages of their academic education, with the advantages provided by a good command of the English language. First, because employers in the field of engineering, especially those representing multinational companies (and such multinational companies are present in Oradea) need employees with a good grasp of English. Second, because academic education often involves the use of English for conducting research and/or for presenting the results of research.</w:t>
      </w:r>
    </w:p>
    <w:p>
      <w:pPr/>
      <w:r>
        <w:rPr>
          <w:b/>
        </w:rPr>
        <w:t>POSSIBLE 2020:</w:t>
      </w:r>
      <w:r>
        <w:t xml:space="preserve"> Ethical Challenges in European Parliamentary Debates with Regards to Audiovisual Sexual Risks on the Internet — https://doi.org/10.17576/jkmjc-2020-3602-17</w:t>
      </w:r>
    </w:p>
    <w:p>
      <w:pPr/>
      <w:r>
        <w:rPr>
          <w:b/>
        </w:rPr>
        <w:t>Shared claim-specific concepts:</w:t>
      </w:r>
      <w:r>
        <w:t xml:space="preserve"> regards, assumption; EU scope visible. This is a provisional connection, not an outcome finding.</w:t>
      </w:r>
    </w:p>
    <w:p>
      <w:pPr>
        <w:pStyle w:val="SourceNote"/>
      </w:pPr>
      <w:r>
        <w:rPr>
          <w:b/>
        </w:rPr>
        <w:t>Available abstract (not full text):</w:t>
      </w:r>
      <w:r>
        <w:t xml:space="preserve"> Within European political debate on audio-visual sexual risks for children on the Internet, liberal positions on freedom of expression (Article 19, Universal Declaration of Human Rights , 10 Dec. 1948) are balanced by protectionist approaches highlighting the need for child protection ( Convention on the Rights of the Child , 1989). Moreover, other political issues are raised with regards to ethical concerns, such as cultural diversity or censorship. Ethical considerations vary among European media systems due to different historical, cultural and political backgrounds. The hypothesis is that these ethical arguments reflect the historical and cultural diversity of the European scenario. Based on this assumption, the piece of research retrieved ethical reflections focused on audio-visual sexual risks on the Internet and the European media policy regarding child protection. A field study has been carried out through the online archive of European Parliament’s plenary. The corpus collected 45 European Parliamentary debates held between 2001 and 2016. Firstly, content analysis has been applied with ATLAS.ti; secondly, a hierarchical descendant classification has been carried out with the Alceste method (IRaMuTeQ). As a result, the defence of protectionist values, such as consumer and child protection, is justified by violence prevention. Moreover, ethical issues are related to prod</w:t>
      </w:r>
    </w:p>
    <w:p>
      <w:pPr/>
      <w:r>
        <w:rPr>
          <w:b/>
        </w:rPr>
        <w:t>POSSIBLE 2020:</w:t>
      </w:r>
      <w:r>
        <w:t xml:space="preserve"> A linguistically-informed way of introducing Japanese verbs to second language learners — https://doi.org/10.1515/jjl-2019-2017</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Abstract This paper describes how the Japanese speakers’ knowledge is organized in regards to verbs, and proposes a linguistically-informed way of introducing it to second language learners. It is maintained by a number of researchers that each verb is stored with the information of its argument structure in the speaker’s mental lexicon. That is, a given verb is stored with the information of how many arguments it takes and what types of arguments they are. In this paper, capitalizing on this assumption, we will maintain that the knowledge of the native speakers of Japanese is organized in such a way that if a verb gives rise to n-number of different meanings, there are n-number of lexical entries, and each such entry is independently stored with the information concerning the meaning of the verb, the verb arguments and their accompanying particles. After the description of the organization of Japanese speakers’ knowledge in regards to verbs, as an effective way of introducing this to Japanese language learners, the paper proposes the format of an innovative approach to Japanese verbs reference book. This proposed format capitalizes on full sentence definitions in the sense of the Collins Cobuild Dictionary.</w:t>
      </w:r>
    </w:p>
    <w:p>
      <w:pPr>
        <w:pStyle w:val="Heading2"/>
      </w:pPr>
      <w:r>
        <w:t>985.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2021:</w:t>
      </w:r>
      <w:r>
        <w:t xml:space="preserve"> EEG-Based Auditory Attention Detection and Its Possible Future Applications for Passive BCI — https://doi.org/10.3389/fcomp.2021.661178</w:t>
      </w:r>
    </w:p>
    <w:p>
      <w:pPr/>
      <w:r>
        <w:rPr>
          <w:b/>
        </w:rPr>
        <w:t>Shared claim-specific concepts:</w:t>
      </w:r>
      <w:r>
        <w:t xml:space="preserve"> different, possible, based; EU scope not established. This is a provisional connection, not an outcome finding.</w:t>
      </w:r>
    </w:p>
    <w:p>
      <w:pPr>
        <w:pStyle w:val="SourceNote"/>
      </w:pPr>
      <w:r>
        <w:rPr>
          <w:b/>
        </w:rPr>
        <w:t>Available abstract (not full text):</w:t>
      </w:r>
      <w:r>
        <w:t xml:space="preserve"> The ability to discriminate and attend one specific sound source in a complex auditory environment is a fundamental skill for efficient communication. Indeed, it allows us to follow a family conversation or discuss with a friend in a bar. This ability is challenged in hearing-impaired individuals and more precisely in those with a cochlear implant (CI). Indeed, due to the limited spectral resolution of the implant, auditory perception remains quite poor in a noisy environment or in presence of simultaneous auditory sources. Recent methodological advances allow now to detect, on the basis of neural signals, which auditory stream within a set of multiple concurrent streams an individual is attending to. This approach, called EEG-based auditory attention detection (AAD), is based on fundamental research findings demonstrating that, in a multi speech scenario, cortical tracking of the envelope of the attended speech is enhanced compared to the unattended speech. Following these findings, other studies showed that it is possible to use EEG/MEG (Electroencephalography/Magnetoencephalography) to explore auditory attention during speech listening in a Cocktail-party-like scenario. Overall, these findings make it possible to conceive next-generation hearing aids combining customary technology and AAD. Importantly, AAD has also a great potential in the context of passive BCI, in the educ</w:t>
      </w:r>
    </w:p>
    <w:p>
      <w:pPr/>
      <w:r>
        <w:rPr>
          <w:b/>
        </w:rPr>
        <w:t>POSSIBLE 2021:</w:t>
      </w:r>
      <w:r>
        <w:t xml:space="preserve"> Do Different Tracking Tasks Require Different Appearance Models? — https://doi.org/10.48550/arxiv.2107.02156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Tracking objects of interest in a video is one of the most popular and widely applicable problems in computer vision. However, with the years, a Cambrian explosion of use cases and benchmarks has fragmented the problem in a multitude of different experimental setups. As a consequence, the literature has fragmented too, and now novel approaches proposed by the community are usually specialised to fit only one specific setup. To understand to what extent this specialisation is necessary, in this work we present UniTrack, a solution to address five different tasks within the same framework. UniTrack consists of a single and task-agnostic appearance model, which can be learned in a supervised or self-supervised fashion, and multiple ``heads'' that address individual tasks and do not require training. We show how most tracking tasks can be solved within this framework, and that the same appearance model can be successfully used to obtain results that are competitive against specialised methods for most of the tasks considered. The framework also allows us to analyse appearance models obtained with the most recent self-supervised methods, thus extending their evaluation and comparison to a larger variety of important problems.</w:t>
      </w:r>
    </w:p>
    <w:p>
      <w:pPr/>
      <w:r>
        <w:rPr>
          <w:b/>
        </w:rPr>
        <w:t>POSSIBLE 2021:</w:t>
      </w:r>
      <w:r>
        <w:t xml:space="preserve"> A modeling study of different kinds of sessile droplets on the horizontal surface with surface wettability and gravity effects considered — https://doi.org/10.1016/j.enss.2021.11.002</w:t>
      </w:r>
    </w:p>
    <w:p>
      <w:pPr/>
      <w:r>
        <w:rPr>
          <w:b/>
        </w:rPr>
        <w:t>Shared claim-specific concepts:</w:t>
      </w:r>
      <w:r>
        <w:t xml:space="preserve"> important, different, considered, based, data; EU scope not established. This is a provisional connection, not an outcome finding.</w:t>
      </w:r>
    </w:p>
    <w:p>
      <w:pPr>
        <w:pStyle w:val="SourceNote"/>
      </w:pPr>
      <w:r>
        <w:rPr>
          <w:b/>
        </w:rPr>
        <w:t>Available abstract (not full text):</w:t>
      </w:r>
      <w:r>
        <w:t xml:space="preserve"> Droplet phase change is important for energy storage and saving technology. The initial profile of the droplet is extremely important for its vaporization or solidification on a horizontal surface. To understand the effect of liquid physical properties on droplet profile, a theoretical model was developed in this study, based on the Young-Laplace equation with gravity effect specially considered. After the model was experimentally validated by comparing the geometric shape of water droplets, it was further used for predicting droplet shapes of other materials, and thus analyzing the influence of different physical properties, such as temperature, pressure, surface wettability, etc. Results show that the results of this model agree well with the experimental data. The maximum and average deviations are less than 4.5% and 1.5%, respectively. For all kinds of droplets on the fixed surfaces, when the temperature increases, the droplet contact radius increases and height decreases. The droplets of nitrogen and carbon dioxide are more sensitive to temperature than ethanol and ethylene glycol droplets. For 20 μL droplets on the surface of contact angle 150°, when the temperature changes from 273.15 K to 293.15 K, the droplet contact radiuses increase by 30.6% for carbon dioxide, 1.2% for ethanol and 0.67% for ethylene glycol, and the droplet heights decrease by 42.9%, 2.5%, 1.1%, resp</w:t>
      </w:r>
    </w:p>
    <w:p>
      <w:pPr/>
      <w:r>
        <w:rPr>
          <w:b/>
        </w:rPr>
        <w:t>POSSIBLE 2021:</w:t>
      </w:r>
      <w:r>
        <w:t xml:space="preserve"> Frost Resistance of Alkali-Activated Concrete—An Important Pillar of Their Sustainability — https://doi.org/10.3390/su13020473</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Sustainable development of concrete construction requires sustainable materials or sustainable binders. Specifically, alkali-activated materials (AAMs) are an interesting and wide group of materials. They have good strengths and are considered environmentally friendly materials because secondary materials are consumed during the preparation of AAMs. The durability of AAMs is also excellent. One of the most important parts of durability is frost resistance. The frost resistance of alkali-activated materials is usually very good. However, some studies showed opposite properties and poor frost resistance. The reason for this may be a different composition of the activator. The content of alkalis is often considered the main characteristic of alkali-activated materials. However, SiO2 content can play an important role too. This paper discusses the different results for the mechanical properties and frost resistance of different compositions of alkali activators made of sodium water glass with a silicate modulus modified with potassium hydroxide. The role of the activator content and the water-to-cement ratio in this phenomenon is discussed. The results of this article show that the strengths of AAMs are significantly affected by the curing method. Water curing reduced some of the strength of the specimens compared to foil-covered specimens. Frost resistance depends on the method of</w:t>
      </w:r>
    </w:p>
    <w:p>
      <w:pPr/>
      <w:r>
        <w:rPr>
          <w:b/>
        </w:rPr>
        <w:t>POSSIBLE 2020:</w:t>
      </w:r>
      <w:r>
        <w:t xml:space="preserve"> Shoe feature recommendations for different running levels: A Delphi study — https://doi.org/10.1371/journal.pone.0236047</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Providing runners with footwear that match their functional needs has the potential to improve footwear comfort, enhance running performance and reduce the risk of overuse injuries. It is currently not known how footwear experts make decisions about different shoe features and their properties for runners of different levels. We performed a Delphi study in order to understand: 1) definitions of different runner levels, 2) which footwear features are considered important and 3) how these features should be prescribed for runners of different levels. Experienced academics, journalists, coaches, bloggers and physicians that examine the effects of footwear on running were recruited to participate in three rounds of a Delphi study. Three runner level definitions were refined throughout this study based on expert feedback. Experts were also provided a list of 20 different footwear features. They were asked which features were important and what the properties of those features should be. Twenty-four experts, most with 10+ years of experience, completed all three rounds of this study. These experts came to a consensus for the characteristics of three different running levels. They indicated that 12 of the 20 footwear features initially proposed were important for footwear design. Of these 12 features, experts came to a consensus on how to apply five footwear feature properties for all</w:t>
      </w:r>
    </w:p>
    <w:p>
      <w:pPr/>
      <w:r>
        <w:rPr>
          <w:b/>
        </w:rPr>
        <w:t>POSSIBLE 2020:</w:t>
      </w:r>
      <w:r>
        <w:t xml:space="preserve"> WHEN DIFFERENT ELECTIONS HAVE DIFFERENT SALIENCIES FOR VOTERS: MOST IMPORTANT AND CONSIDERATION (EVIDENCE FROM INDONESIAN VOTERS) — https://doi.org/10.18510/hssr.2020.8462</w:t>
      </w:r>
    </w:p>
    <w:p>
      <w:pPr/>
      <w:r>
        <w:rPr>
          <w:b/>
        </w:rPr>
        <w:t>Shared claim-specific concepts:</w:t>
      </w:r>
      <w:r>
        <w:t xml:space="preserve"> important, different, considered, data; EU scope not established. This is a provisional connection, not an outcome finding.</w:t>
      </w:r>
    </w:p>
    <w:p>
      <w:pPr>
        <w:pStyle w:val="SourceNote"/>
      </w:pPr>
      <w:r>
        <w:rPr>
          <w:b/>
        </w:rPr>
        <w:t>Available abstract (not full text):</w:t>
      </w:r>
      <w:r>
        <w:t xml:space="preserve"> Purpose of the study: Generally, the purpose of this study is to explain the salience of each form of election for voters. To explain that, this study examines which election is perceived as the most important election for voters, and what matters are considered by voters in each election, especially in the most important election and money politics. Methodology: The data are drawn from a survey of 800 respondents in Central Java during the 2019 Indonesian elections. The survey asked two questions; which election they perceive as the most important election ("what is the most important election for you?"), and what matters they consider when voting for a candidate ("what is your consideration in each election?"). The dataset also includes variables related to money politics. Main Findings: Voters have different importances and considerations in various forms of elections. More voters see the executive election as the most important than the legislative election in every level of election. More voters consider the program in the legislative elections, while more voters consider the figure of candidates in the executive elections. But in more detail, there are various patterns. Applications of this study: Referring to the number of elections in Indonesia, this finding can help the government, electoral commission, or activists to develop better strategies for educating citizens. </w:t>
      </w:r>
    </w:p>
    <w:p>
      <w:pPr/>
      <w:r>
        <w:rPr>
          <w:b/>
        </w:rPr>
        <w:t>POSSIBLE 2020:</w:t>
      </w:r>
      <w:r>
        <w:t xml:space="preserve"> Knowledge workers’ stated preferences for important characteristics of activity-based workspaces — https://doi.org/10.1080/09613218.2020.1726169</w:t>
      </w:r>
    </w:p>
    <w:p>
      <w:pPr/>
      <w:r>
        <w:rPr>
          <w:b/>
        </w:rPr>
        <w:t>Shared claim-specific concepts:</w:t>
      </w:r>
      <w:r>
        <w:t xml:space="preserve"> important, different, possible; EU scope not established. This is a provisional connection, not an outcome finding.</w:t>
      </w:r>
    </w:p>
    <w:p>
      <w:pPr>
        <w:pStyle w:val="SourceNote"/>
      </w:pPr>
      <w:r>
        <w:rPr>
          <w:b/>
        </w:rPr>
        <w:t>Available abstract (not full text):</w:t>
      </w:r>
      <w:r>
        <w:t xml:space="preserve"> It is important for organizations to support employees with suitable workspaces during different activities. Increasingly the activity-based office is seen as the optimal solution, as it provides people with choice between different types of workspaces to perform specific activities. This study addresses the trade-offs knowledge workers make when choosing a workspace for performing three different categories of activities (individual concentration work, informal interactions, and formal interactions). A stated choice experiment was performed through a questionnaire among 251 Dutch knowledge workers in 14 organizations, measuring preferences for hypothetical workspaces described by their six most relevant aspects. Multinomial logit models were estimated to identify the workspace preferences during each activity. Additionally, Latent class models were estimated to find possible segments of workers with specific preferences that need to be supported differently by workplace managers. Findings showed that preferences for psychosocial design aspects (noise, workspace enclosure and control) were more important for workspace selection than indoor environmental quality aspects. They also show more differences between specific activities. Also, not everybody finds full enclosure important for individual concentrated work, and relatively older employees appear to be more critical about w</w:t>
      </w:r>
    </w:p>
    <w:p>
      <w:pPr>
        <w:pStyle w:val="Heading2"/>
      </w:pPr>
      <w:r>
        <w:t>986.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2020:</w:t>
      </w:r>
      <w:r>
        <w:t xml:space="preserve"> The reform of the European Stability Mechanism — https://doi.org/10.1093/cmlj/kmaa001</w:t>
      </w:r>
    </w:p>
    <w:p>
      <w:pPr/>
      <w:r>
        <w:rPr>
          <w:b/>
        </w:rPr>
        <w:t>Shared claim-specific concepts:</w:t>
      </w:r>
      <w:r>
        <w:t xml:space="preserve"> reforms, agreed, article; EU scope visible. This is a provisional connection, not an outcome finding.</w:t>
      </w:r>
    </w:p>
    <w:p>
      <w:pPr>
        <w:pStyle w:val="SourceNote"/>
      </w:pPr>
      <w:r>
        <w:rPr>
          <w:b/>
        </w:rPr>
        <w:t>Available abstract (not full text):</w:t>
      </w:r>
      <w:r>
        <w:t xml:space="preserve"> This article seeks to explain the main aspects of the reform of the European Stability Mechanism (ESM), as agreed in principle by the leaders of the euro area Member States. The article focuses particularly on the ESM’s new mandate to act as the common backstop to the Single Resolution Fund, the reform of its precautionary lending instrument, the expansion of its role in country monitoring both in and outside of programmes, and the future treatment of debt sustainability issues, including the adoption of a revised euro area model collective action clause. By shedding light on the nature and context of these developments, the authors hope to dispel some misunderstandings about the content of this reform and contribute to a clearer understanding of what is at stake. A little over a year ago, the leaders of the countries of the euro area formally pledged to reform the European Stability Mechanism (the ‘ESM’). At the Euro Summit of 14 December 2018, the Heads of State or Government of the euro area Member States endorsed the ‘Term Sheet on the reform of the European Stability Mechanism’, including the anticipated changes to its founding treaty.1 In December 2019, both the Eurogroup in inclusive format2 and the subsequent Euro Summit reached an agreement in principle on this reform package, subject to the conclusion of national procedures.3 The anticipated reform of the ESM follows </w:t>
      </w:r>
    </w:p>
    <w:p>
      <w:pPr/>
      <w:r>
        <w:rPr>
          <w:b/>
        </w:rPr>
        <w:t>POSSIBLE 2020:</w:t>
      </w:r>
      <w:r>
        <w:t xml:space="preserve"> Driving informal institutional change: the European Parliament and the reform of the Economic and Monetary Union — https://doi.org/10.4324/9781003030454-2</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2019:</w:t>
      </w:r>
      <w:r>
        <w:t xml:space="preserve"> Driving informal institutional change: the European Parliament and the reform of the Economic and Monetary Union — https://doi.org/10.1080/07036337.2019.1599373</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https://doi.org/10.1332/policypress/9781447335863.003.0002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https://doi.org/10.56687/9781447335870-005</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The Crisis of Functionalism and the Reform of European Economic Governance — https://doi.org/10.12797/politeja.12.2015.37.15</w:t>
      </w:r>
    </w:p>
    <w:p>
      <w:pPr/>
      <w:r>
        <w:rPr>
          <w:b/>
        </w:rPr>
        <w:t>Shared claim-specific concepts:</w:t>
      </w:r>
      <w:r>
        <w:t xml:space="preserve"> reforms, governance, eurozone; EU scope visible. This is a provisional connection, not an outcome finding.</w:t>
      </w:r>
    </w:p>
    <w:p>
      <w:pPr>
        <w:pStyle w:val="SourceNote"/>
      </w:pPr>
      <w:r>
        <w:rPr>
          <w:b/>
        </w:rPr>
        <w:t>Available abstract (not full text):</w:t>
      </w:r>
      <w:r>
        <w:t xml:space="preserve">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pPr/>
      <w:r>
        <w:rPr>
          <w:b/>
        </w:rPr>
        <w:t>POSSIBLE 2018:</w:t>
      </w:r>
      <w:r>
        <w:t xml:space="preserve"> Financial and Institutional Reforms for an Entrepreneurial Society — https://doi.org/10.1007/s11187-018-0001-0</w:t>
      </w:r>
    </w:p>
    <w:p>
      <w:pPr/>
      <w:r>
        <w:rPr>
          <w:b/>
        </w:rPr>
        <w:t>Shared claim-specific concepts:</w:t>
      </w:r>
      <w:r>
        <w:t xml:space="preserve"> reforms, three; EU scope visible. This is a provisional connection, not an outcome finding.</w:t>
      </w:r>
    </w:p>
    <w:p>
      <w:pPr>
        <w:pStyle w:val="SourceNote"/>
      </w:pPr>
      <w:r>
        <w:rPr>
          <w:b/>
        </w:rPr>
        <w:t>Available abstract (not full text):</w:t>
      </w:r>
      <w:r>
        <w:t xml:space="preserve">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pPr/>
      <w:r>
        <w:rPr>
          <w:b/>
        </w:rPr>
        <w:t>POSSIBLE 2017:</w:t>
      </w:r>
      <w:r>
        <w:t xml:space="preserve"> The reform of the European economic governance: critical aspects — https://openalex.org/W2786315619</w:t>
      </w:r>
    </w:p>
    <w:p>
      <w:pPr/>
      <w:r>
        <w:rPr>
          <w:b/>
        </w:rPr>
        <w:t>Shared claim-specific concepts:</w:t>
      </w:r>
      <w:r>
        <w:t xml:space="preserve"> governance, agreed; EU scope visible. This is a provisional connection, not an outcome finding.</w:t>
      </w:r>
    </w:p>
    <w:p>
      <w:pPr>
        <w:pStyle w:val="SourceNote"/>
      </w:pPr>
      <w:r>
        <w:rPr>
          <w:b/>
        </w:rPr>
        <w:t>Available abstract (not full text):</w:t>
      </w:r>
      <w:r>
        <w:t xml:space="preserve"> This work has the ambition to show and analyse some of the critical aspects of the reform of the EU economic governance put in place in the wake of the sovereign debt crisis. The analysis starts from the very reasons which brought to the birth of EMU, from the failure of the international monetary system agreed in Bretton Woods to the Maastricht Treaty.</w:t>
      </w:r>
    </w:p>
    <w:p>
      <w:pPr/>
      <w:r>
        <w:rPr>
          <w:b/>
        </w:rPr>
        <w:t>POSSIBLE 2017:</w:t>
      </w:r>
      <w:r>
        <w:t xml:space="preserve"> Reforming the European Union Emissions Trading System (EU ETS) — https://doi.org/10.14279/depositonce-5946</w:t>
      </w:r>
    </w:p>
    <w:p>
      <w:pPr/>
      <w:r>
        <w:rPr>
          <w:b/>
        </w:rPr>
        <w:t>Shared claim-specific concepts:</w:t>
      </w:r>
      <w:r>
        <w:t xml:space="preserve"> governance, three; EU scope visible. This is a provisional connection, not an outcome finding.</w:t>
      </w:r>
    </w:p>
    <w:p>
      <w:pPr>
        <w:pStyle w:val="SourceNote"/>
      </w:pPr>
      <w:r>
        <w:rPr>
          <w:b/>
        </w:rPr>
        <w:t>Available abstract (not full text):</w:t>
      </w:r>
      <w:r>
        <w:t xml:space="preserve"> Given the need to reduce greenhouse gas emissions to decrease the risk of dangerous climate change, economists have often argued in favour of carbon pricing. Carbon pricing can essentially take two forms: an emissions trading system or a carbon tax. The European Union chose the former option and implemented the EU ETS in 2005, the first large scale carbon market. As a first mover in experimenting with such regulatory instruments, the EU ETS case offers qualitative and quantitative insights of foremost importance for emerging carbon markets worldwide. This thesis is divided into two parts. Part I provides ex-post learnings on the EU ETS price formation and policy design. Part II offers an ex-ante perspective by exploring the expansion of the European carbon market. Both parts pay particular attention to a central feature of the EU ETS: its political nature as a government created market. This institutional perspective on the EU ETS, which seeks to take into consideration the impact of politics and institutions on market functioning, is at the heart of this thesis. It brings a new lens to examine emissions trading as well as draws on the experience of other policy fields, notably monetary policy. Following the drop of permit prices in the EU ETS, intense discussions emerged on the need to and modality for reforming the market, which is the focus of Part I of this thesis. Yet, eva</w:t>
      </w:r>
    </w:p>
    <w:p>
      <w:pPr>
        <w:pStyle w:val="Heading2"/>
      </w:pPr>
      <w:r>
        <w:t>987.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Decarbonization of urea production in India and its impact on water withdrawal and costs: A cost optimization approach — https://doi.org/10.1016/j.jclepro.2024.144433</w:t>
      </w:r>
    </w:p>
    <w:p>
      <w:pPr/>
      <w:r>
        <w:rPr>
          <w:b/>
        </w:rPr>
        <w:t>Shared claim-specific concepts:</w:t>
      </w:r>
      <w:r>
        <w:t xml:space="preserve"> depending, water, production, increase, between, indicate; EU scope not established. This is a provisional connection, not an outcome finding.</w:t>
      </w:r>
    </w:p>
    <w:p>
      <w:pPr>
        <w:pStyle w:val="SourceNote"/>
      </w:pPr>
      <w:r>
        <w:rPr>
          <w:b/>
        </w:rPr>
        <w:t>Available abstract (not full text):</w:t>
      </w:r>
      <w:r>
        <w:t xml:space="preserve"> Urea, a globally dominant synthetic nitrogen fertilizer, presents a complex challenge for India. While promoting agricultural productivity, its production—reliant on natural gas—is projected to drive a threefold increase in India's natural gas consumption by 2050. To meet ambitious climate targets while ensuring food security, India's existing urea plants must be decarbonized. This study conducted techno-economic modeling of “blue” and “green” urea production techniques for all 34 existing urea plants in India, incorporating technologies such as electrolyzers and carbon capture. Using a mixed-integer programming approach from a central planner's perspective, we evaluated key indicators of business-as-usual and decarbonization pathways for the sector under different scenarios. The results indicate that a high level of decarbonization is economically feasible under most scenarios, with the base scenario showing a potential adoption of over 93% green urea by 2050, thus reducing the sector's current natural gas consumption intensity of 645 S C M t u r e a by 96%. This transition also results in a lower freshwater withdrawal intensity of approximately 4 m 3 t u r e a , which is below India's current average of 6.4 m 3 t u r e a . The levelized costs of urea for the decarbonization pathway are more robust against external factors, ranging from 398 to 487 U S D 2026 t u r e a , depend</w:t>
      </w:r>
    </w:p>
    <w:p>
      <w:pPr/>
      <w:r>
        <w:rPr>
          <w:b/>
        </w:rPr>
        <w:t>POSSIBLE 2023:</w:t>
      </w:r>
      <w:r>
        <w:t xml:space="preserve"> Low flow sensitivity to water withdrawals in Central and Southwestern Europe under 2 K global warming — https://doi.org/10.1088/1748-9326/acec60</w:t>
      </w:r>
    </w:p>
    <w:p>
      <w:pPr/>
      <w:r>
        <w:rPr>
          <w:b/>
        </w:rPr>
        <w:t>Shared claim-specific concepts:</w:t>
      </w:r>
      <w:r>
        <w:t xml:space="preserve"> water, withdrawals, decrease, freshwater; EU scope visible. This is a provisional connection, not an outcome finding.</w:t>
      </w:r>
    </w:p>
    <w:p>
      <w:pPr>
        <w:pStyle w:val="SourceNote"/>
      </w:pPr>
      <w:r>
        <w:rPr>
          <w:b/>
        </w:rPr>
        <w:t>Available abstract (not full text):</w:t>
      </w:r>
      <w:r>
        <w:t xml:space="preserve">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pPr/>
      <w:r>
        <w:rPr>
          <w:b/>
        </w:rPr>
        <w:t>POSSIBLE 2023:</w:t>
      </w:r>
      <w:r>
        <w:t xml:space="preserve"> Simulated discharge statistics in Central and Southwestern Europe considering water use under 2K global warming — https://doi.org/10.5281/zenodo.8132867</w:t>
      </w:r>
    </w:p>
    <w:p>
      <w:pPr/>
      <w:r>
        <w:rPr>
          <w:b/>
        </w:rPr>
        <w:t>Shared claim-specific concepts:</w:t>
      </w:r>
      <w:r>
        <w:t xml:space="preserve"> water, withdrawals, between, resources; EU scope visible. This is a provisional connection, not an outcome finding.</w:t>
      </w:r>
    </w:p>
    <w:p>
      <w:pPr>
        <w:pStyle w:val="SourceNote"/>
      </w:pPr>
      <w:r>
        <w:rPr>
          <w:b/>
        </w:rPr>
        <w:t>Available abstract (not full text):</w:t>
      </w:r>
      <w:r>
        <w:t xml:space="preserve">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electricity, increase, increasing;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The water, land, and carbon intensity of electricity production: The case of South Africa — https://doi.org/10.1016/j.jclepro.2023.136945</w:t>
      </w:r>
    </w:p>
    <w:p>
      <w:pPr/>
      <w:r>
        <w:rPr>
          <w:b/>
        </w:rPr>
        <w:t>Shared claim-specific concepts:</w:t>
      </w:r>
      <w:r>
        <w:t xml:space="preserve"> water, electricity, production, increase, decrease, resources; EU scope not established. This is a provisional connection, not an outcome finding.</w:t>
      </w:r>
    </w:p>
    <w:p>
      <w:pPr>
        <w:pStyle w:val="SourceNote"/>
      </w:pPr>
      <w:r>
        <w:rPr>
          <w:b/>
        </w:rPr>
        <w:t>Available abstract (not full text):</w:t>
      </w:r>
      <w:r>
        <w:t xml:space="preserve"> Electricity production has a significant impact on the Water-Energy-Food nexus sectors as it requires substantial amounts of water and land, whilst also being a primary polluter of these resources. In addition, electricity production is a key contributor to global carbon emissions . With electricity production predicted to increase by over 50% by 2050, the impact of electricity production on water and land resources , as well as on carbon emissions , will need to be significantly reduced. This is particularly important in countries facing water, energy, and food scarcity and insecurity, such as South Africa . This paper therefore investigates the impact of electricity production on the Water-Energy-Food nexus sectors and on carbon emissions in South Africa. To do this, we conduct a lifecycle assessment of the water and land required for electricity production, as well as its carbon emissions in South Africa, by electricity source, and under key scenarios. The results from the Integrated Resource Plan 2030 scenario show that despite a 34% increase in electricity production targeted from 2018 to 2030 in South Africa, the water and land requirements, and the carbon emissions of electricity production would decrease by 29%, 9%, and 5.5%, respectively. Compared to the Business-as-Usual 2030 scenario, it was shown that the water and land requirements and carbon emissions of electrici</w:t>
      </w:r>
    </w:p>
    <w:p>
      <w:pPr/>
      <w:r>
        <w:rPr>
          <w:b/>
        </w:rPr>
        <w:t>POSSIBLE 2023:</w:t>
      </w:r>
      <w:r>
        <w:t xml:space="preserve"> Optimizing biomass pathways to bioenergy and biochar application in electricity generation, biodiesel production, and biohydrogen production — https://doi.org/10.1007/s10311-023-01613-2</w:t>
      </w:r>
    </w:p>
    <w:p>
      <w:pPr/>
      <w:r>
        <w:rPr>
          <w:b/>
        </w:rPr>
        <w:t>Shared claim-specific concepts:</w:t>
      </w:r>
      <w:r>
        <w:t xml:space="preserve"> electricity, production, increase; EU scope not established. This is a provisional connection, not an outcome finding.</w:t>
      </w:r>
    </w:p>
    <w:p>
      <w:pPr>
        <w:pStyle w:val="SourceNote"/>
      </w:pPr>
      <w:r>
        <w:rPr>
          <w:b/>
        </w:rPr>
        <w:t>Available abstract (not full text):</w:t>
      </w:r>
      <w:r>
        <w:t xml:space="preserve"> Abstract The current energy crisis, depletion of fossil fuels, and global climate change have made it imperative to find alternative sources of energy that are both economically sustainable and environmentally friendly. Here we review various pathways for converting biomass into bioenergy and biochar and their applications in producing electricity, biodiesel, and biohydrogen. Biomass can be converted into biofuels using different methods, including biochemical and thermochemical conversion methods. Determining which approach is best relies on the type of biomass involved, the desired final product, and whether or not it is economically sustainable. Biochemical conversion methods are currently the most widely used for producing biofuels from biomass, accounting for approximately 80% of all biofuels produced worldwide. Ethanol and biodiesel are the most prevalent biofuels produced via biochemical conversion processes. Thermochemical conversion is less used than biochemical conversion, accounting for approximately 20% of biofuels produced worldwide. Bio-oil and syngas, commonly manufactured from wood chips, agricultural waste, and municipal solid waste, are the major biofuels produced by thermochemical conversion. Biofuels produced from biomass have the potential to displace up to 27% of the world's transportation fuel by 2050, which could result in a reduction in greenhouse gas e</w:t>
      </w:r>
    </w:p>
    <w:p>
      <w:pPr/>
      <w:r>
        <w:rPr>
          <w:b/>
        </w:rPr>
        <w:t>POSSIBLE 2022:</w:t>
      </w:r>
      <w:r>
        <w:t xml:space="preserve"> 21st Century water withdrawal decoupling: A pathway to a more water-wise world? — https://doi.org/10.1016/j.wre.2022.100197</w:t>
      </w:r>
    </w:p>
    <w:p>
      <w:pPr/>
      <w:r>
        <w:rPr>
          <w:b/>
        </w:rPr>
        <w:t>Shared claim-specific concepts:</w:t>
      </w:r>
      <w:r>
        <w:t xml:space="preserve"> water, withdrawals, increase, increasing, resources; EU scope not established. This is a provisional connection, not an outcome finding.</w:t>
      </w:r>
    </w:p>
    <w:p>
      <w:pPr>
        <w:pStyle w:val="SourceNote"/>
      </w:pPr>
      <w:r>
        <w:rPr>
          <w:b/>
        </w:rPr>
        <w:t>Available abstract (not full text):</w:t>
      </w:r>
      <w:r>
        <w:t xml:space="preserve"> Human demand for adequate water resources and supplies has been and will continue to be a fundamental issue in the 21st century due to rapid population growth, growing economies and globalization, and increasing water pollution, among others. Water withdrawals in regions which are already encountering scarcity will impose intensifying pressure on water resources locally and globally, threatening the achievement of long-term sustainable development targets. Decoupling has increasingly been recognized and incorporated in policy making as a way to reconcile limitless economic growth with environmental pressures. Filling evident literature gaps, the current state and projected future decoupling factors of water withdrawals in relation to GDP are assessed through decoupling and regression analyzes for 155 countries and 12 potential socioeconomic development pathway scenarios. Findings suggest that average levels of water withdrawal decoupling are moderate in 2025 but will increase throughout the century in all countries. By 2075, average water withdrawal decoupling becomes common and widespread, with high decoupling factors across the world. Yet, some countries and regions will continue to lag behind in this development. GDP growth is the most significant driver of water withdrawals. Climate and regional differences among countries are major influential factors on decoupling outcome</w:t>
      </w:r>
    </w:p>
    <w:p>
      <w:pPr/>
      <w:r>
        <w:rPr>
          <w:b/>
        </w:rPr>
        <w:t>POSSIBLE 2022:</w:t>
      </w:r>
      <w:r>
        <w:t xml:space="preserve"> The delusive accuracy of global irrigation water withdrawal estimates — https://doi.org/10.1038/s41467-022-30731-8</w:t>
      </w:r>
    </w:p>
    <w:p>
      <w:pPr/>
      <w:r>
        <w:rPr>
          <w:b/>
        </w:rPr>
        <w:t>Shared claim-specific concepts:</w:t>
      </w:r>
      <w:r>
        <w:t xml:space="preserve"> water, withdrawals, freshwater; EU scope not established. This is a provisional connection, not an outcome finding.</w:t>
      </w:r>
    </w:p>
    <w:p>
      <w:pPr>
        <w:pStyle w:val="SourceNote"/>
      </w:pPr>
      <w:r>
        <w:rPr>
          <w:b/>
        </w:rPr>
        <w:t>Available abstract (not full text):</w:t>
      </w:r>
      <w:r>
        <w:t xml:space="preserve"> Miscalculating the volumes of water withdrawn for irrigation, the largest consumer of freshwater in the world, jeopardizes sustainable water management. Hydrological models quantify water withdrawals, but their estimates are unduly precise. Model imperfections need to be appreciated to avoid policy misjudgements.</w:t>
      </w:r>
    </w:p>
    <w:p>
      <w:pPr/>
      <w:r>
        <w:rPr>
          <w:b/>
        </w:rPr>
        <w:t>POSSIBLE 2022:</w:t>
      </w:r>
      <w:r>
        <w:t xml:space="preserve"> Impact of Withdrawals on Karst Watershed Water Supply — https://doi.org/10.3390/w14091339</w:t>
      </w:r>
    </w:p>
    <w:p>
      <w:pPr/>
      <w:r>
        <w:rPr>
          <w:b/>
        </w:rPr>
        <w:t>Shared claim-specific concepts:</w:t>
      </w:r>
      <w:r>
        <w:t xml:space="preserve"> depending, water, withdrawals, decrease, between, increasing; EU scope visible. This is a provisional connection, not an outcome finding.</w:t>
      </w:r>
    </w:p>
    <w:p>
      <w:pPr>
        <w:pStyle w:val="SourceNote"/>
      </w:pPr>
      <w:r>
        <w:rPr>
          <w:b/>
        </w:rPr>
        <w:t>Available abstract (not full text):</w:t>
      </w:r>
      <w:r>
        <w:t xml:space="preserve"> Karst systems consist of heterogeneous aquifers characterized by non-linear hydrogeological behavior. This is intrinsically linked to the coexistence of saturated versus unsaturated, open-channel versus closed-conduit flow and laminar versus turbulent flows within these aquifers. These multiple dualities together with a lack of knowledge of their internal structure lead to increasing difficulties in the management of groundwater resources related to karst aquifers. However, karst aquifers constitute strategic fresh water resources and many stakeholders carry out withdrawals sometimes continuously or centered on the period of low water level as for the irrigation. These withdrawals generate discharge decreases that can constitute sources of conflicts between upstream and downstream users of the resource. In this study, we propose a methodology to assess the impact of withdrawals on the spring discharge of a karst aquifer based on a conceptual non-linear reservoirs model. This methodology is applied to the second largest karst system in France: The Touvre karst system (La Rochefoucauld). The simulated influence of the total withdrawals on runoff deficit is larger than the total withdrawals in relationship with the non-linearity of the conceptual models. Globally, this impact is about one and a half of the total withdrawal depending of the year under consideration. Moreover, we sh</w:t>
      </w:r>
    </w:p>
    <w:p>
      <w:pPr>
        <w:pStyle w:val="Heading2"/>
      </w:pPr>
      <w:r>
        <w:t>988.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2024:</w:t>
      </w:r>
      <w:r>
        <w:t xml:space="preserve"> To Be Frail or Not to Be Frail: This Is the Question—A Critical Narrative Review of Frailty — https://doi.org/10.3390/jcm13030721</w:t>
      </w:r>
    </w:p>
    <w:p>
      <w:pPr/>
      <w:r>
        <w:rPr>
          <w:b/>
        </w:rPr>
        <w:t>Shared claim-specific concepts:</w:t>
      </w:r>
      <w:r>
        <w:t xml:space="preserve"> critical, question, considered; EU scope visible. This is a provisional connection, not an outcome finding.</w:t>
      </w:r>
    </w:p>
    <w:p>
      <w:pPr>
        <w:pStyle w:val="SourceNote"/>
      </w:pPr>
      <w:r>
        <w:rPr>
          <w:b/>
        </w:rPr>
        <w:t>Available abstract (not full text):</w:t>
      </w:r>
      <w:r>
        <w:t xml:space="preserve"> Many factors have contributed to rendering frailty an emerging, relevant, and very popular concept. First, many pandemics that have affected humanity in history, including COVID-19, most recently, have had more severe effects on frail people compared to non-frail ones. Second, the increase in human life expectancy observed in many developed countries, including Italy has led to a rise in the percentage of the older population that is more likely to be frail, which is why frailty is much a more common concern among geriatricians compared to other the various health-care professionals. Third, the stratification of people according to the occurrence and the degree of frailty allows healthcare decision makers to adequately plan for the allocation of available human professional and economic resources. Since frailty is considered to be fully preventable, there are relevant consequences in terms of potential benefits both in terms of the clinical outcome and healthcare costs. Frailty is becoming a popular, pervasive, and almost omnipresent concept in many different contexts, including clinical medicine, physical health, lifestyle behavior, mental health, health policy, and socio-economic planning sciences. The emergence of the new "science of frailty" has been recently acknowledged. However, there is still debate on the exact definition of frailty, the pathogenic mechanisms involved,</w:t>
      </w:r>
    </w:p>
    <w:p>
      <w:pPr/>
      <w:r>
        <w:rPr>
          <w:b/>
        </w:rPr>
        <w:t>POSSIBLE 2023:</w:t>
      </w:r>
      <w:r>
        <w:t xml:space="preserve"> Bridging dialogic pedagogy and argumentation theory through critical questions — https://doi.org/10.5195/dpj.2023.548</w:t>
      </w:r>
    </w:p>
    <w:p>
      <w:pPr/>
      <w:r>
        <w:rPr>
          <w:b/>
        </w:rPr>
        <w:t>Shared claim-specific concepts:</w:t>
      </w:r>
      <w:r>
        <w:t xml:space="preserve"> critical, considered, article, construct; EU scope not established. This is a provisional connection, not an outcome finding.</w:t>
      </w:r>
    </w:p>
    <w:p>
      <w:pPr>
        <w:pStyle w:val="SourceNote"/>
      </w:pPr>
      <w:r>
        <w:rPr>
          <w:b/>
        </w:rPr>
        <w:t>Available abstract (not full text):</w:t>
      </w:r>
      <w:r>
        <w:t xml:space="preserve">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pPr/>
      <w:r>
        <w:rPr>
          <w:b/>
        </w:rPr>
        <w:t>POSSIBLE 2023:</w:t>
      </w:r>
      <w:r>
        <w:t xml:space="preserve"> ‘And yet’ … Critical questions, complicated conversations: curating a TYA curriculum — https://doi.org/10.1080/13569783.2023.2232734</w:t>
      </w:r>
    </w:p>
    <w:p>
      <w:pPr/>
      <w:r>
        <w:rPr>
          <w:b/>
        </w:rPr>
        <w:t>Shared claim-specific concepts:</w:t>
      </w:r>
      <w:r>
        <w:t xml:space="preserve"> critical, considered, article; EU scope not established. This is a provisional connection, not an outcome finding.</w:t>
      </w:r>
    </w:p>
    <w:p>
      <w:pPr>
        <w:pStyle w:val="SourceNote"/>
      </w:pPr>
      <w:r>
        <w:rPr>
          <w:b/>
        </w:rPr>
        <w:t>Available abstract (not full text):</w:t>
      </w:r>
      <w:r>
        <w:t xml:space="preserve">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pPr/>
      <w:r>
        <w:rPr>
          <w:b/>
        </w:rPr>
        <w:t>POSSIBLE 2023:</w:t>
      </w:r>
      <w:r>
        <w:t xml:space="preserve"> The Critical in Husserl's Phenomenology: the Levels of Constitution as a Question of Method — https://openalex.org/W7135703715</w:t>
      </w:r>
    </w:p>
    <w:p>
      <w:pPr/>
      <w:r>
        <w:rPr>
          <w:b/>
        </w:rPr>
        <w:t>Shared claim-specific concepts:</w:t>
      </w:r>
      <w:r>
        <w:t xml:space="preserve"> critical, question, considered; EU scope not established. This is a provisional connection, not an outcome finding.</w:t>
      </w:r>
    </w:p>
    <w:p>
      <w:pPr>
        <w:pStyle w:val="SourceNote"/>
      </w:pPr>
      <w:r>
        <w:rPr>
          <w:b/>
        </w:rPr>
        <w:t>Available abstract (not full text):</w:t>
      </w:r>
      <w:r>
        <w:t xml:space="preserve"> The Critical in Husserl's Phenomenology: the Levels of Constitution as a Question of Method Considering the contemporary discussion between critical, applied and engaged phenomenology, there seems to be a claim for a critical stand when it comes to considering concrete experience and, moreover, those experiences that have been neglected throughout history. Thus, the present work has the aim to show that this movement is characterized by the need of a critical potential which is already present in Edmund Husserl's work. Moreover, this potential is considered here as a question related to the method, through which we gain access to the underlying structures of experience. Thus, the five levels described are the following: intersubjective community, interpersonal intersubjectivity, active constitution, passive synthesis and hyletic flow. According to this, the focus is set on showing the way in which they are always connected to one another allowing thus to describe the complexity through which experience is articulated. Key Words: Critical phenomenology, phenomenological method, levels of constitution, complexity of experience.</w:t>
      </w:r>
    </w:p>
    <w:p>
      <w:pPr/>
      <w:r>
        <w:rPr>
          <w:b/>
        </w:rPr>
        <w:t>POSSIBLE 2022:</w:t>
      </w:r>
      <w:r>
        <w:t xml:space="preserve"> A Network of Argumentation Schemes and Critical Questions — https://doi.org/10.22329/il.v42i4.6877</w:t>
      </w:r>
    </w:p>
    <w:p>
      <w:pPr/>
      <w:r>
        <w:rPr>
          <w:b/>
        </w:rPr>
        <w:t>Shared claim-specific concepts:</w:t>
      </w:r>
      <w:r>
        <w:t xml:space="preserve"> critical, use, construct; EU scope not established. This is a provisional connection, not an outcome finding.</w:t>
      </w:r>
    </w:p>
    <w:p>
      <w:pPr>
        <w:pStyle w:val="SourceNote"/>
      </w:pPr>
      <w:r>
        <w:rPr>
          <w:b/>
        </w:rPr>
        <w:t>Available abstract (not full text):</w:t>
      </w:r>
      <w:r>
        <w:t xml:space="preserve">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pPr/>
      <w:r>
        <w:rPr>
          <w:b/>
        </w:rPr>
        <w:t>POSSIBLE 2020:</w:t>
      </w:r>
      <w:r>
        <w:t xml:space="preserve"> Massive islands — https://doi.org/10.1007/jhep09(2020)121</w:t>
      </w:r>
    </w:p>
    <w:p>
      <w:pPr/>
      <w:r>
        <w:rPr>
          <w:b/>
        </w:rPr>
        <w:t>Shared claim-specific concepts:</w:t>
      </w:r>
      <w:r>
        <w:t xml:space="preserve"> question, massive, use; EU scope not established. This is a provisional connection, not an outcome finding.</w:t>
      </w:r>
    </w:p>
    <w:p>
      <w:pPr>
        <w:pStyle w:val="SourceNote"/>
      </w:pPr>
      <w:r>
        <w:rPr>
          <w:b/>
        </w:rPr>
        <w:t>Available abstract (not full text):</w:t>
      </w:r>
      <w:r>
        <w:t xml:space="preserve"> A bstract We comment on the role of the graviton mass in recent calculations of the Page curve using holographic ideas. All reliable calculations of the Page curve in more than 2+1 spacetime dimensions have been performed in systems with massive gravitons. A crucial ingredient in these calculations is the formation of islands, regions that contribute to the entropy of degrees of freedom located elsewhere. While most often simply ignored, it is indeed true that mass of the graviton does not appear to significantly affect the calculations that appeared in the literature. We use the freedom to change the graviton mass to give an extremely simple model of analytically tractable island formation in general dimensions. We do however note that if one attempts to take the limit of zero graviton mass, any contribution from the islands disappears. This raises the question to what extent entanglement islands can play a role in standard massless gravity.</w:t>
      </w:r>
    </w:p>
    <w:p>
      <w:pPr/>
      <w:r>
        <w:rPr>
          <w:b/>
        </w:rPr>
        <w:t>POSSIBLE 2020:</w:t>
      </w:r>
      <w:r>
        <w:t xml:space="preserve"> Critical Care Medicine Review: 1000 Questions and Answers — https://doi.org/10.1213/ane.0000000000005240</w:t>
      </w:r>
    </w:p>
    <w:p>
      <w:pPr/>
      <w:r>
        <w:rPr>
          <w:b/>
        </w:rPr>
        <w:t>Shared claim-specific concepts:</w:t>
      </w:r>
      <w:r>
        <w:t xml:space="preserve"> critical, question, considered, whether; EU scope visible. This is a provisional connection, not an outcome finding.</w:t>
      </w:r>
    </w:p>
    <w:p>
      <w:pPr>
        <w:pStyle w:val="SourceNote"/>
      </w:pPr>
      <w:r>
        <w:rPr>
          <w:b/>
        </w:rPr>
        <w:t>Available abstract (not full text):</w:t>
      </w:r>
      <w:r>
        <w:t xml:space="preserve"> As time passes, most clinicians working in the field of critical care tend to forget how vast their specialty is—especially those working in large university hospitals which have several specialized intensive care units. Critical Care Medicine Review: 1000Questions andAnswers is a lesson in humility—even hardened intensive care unit (ICU) veterans will face questions that will make them sweat and (hopefully) motivate them to refresh their knowledge. The fact that the editors are members of Massachusetts General Hospital and Harvard University School of Medicine faculty is reassuring, as many critical care physicians (author included) have consulted the “Critical Care Handbook of the Massachusetts General Hospital” during training and in clinical practice. The first impression this book leaves (even before opening it) is its sheer size—although it is made in plasticized paperback, it is still pretty heavy, and in the author’s opinion, digital version (which will be covered later in this review) is the recommended method of going through it. As most books of this variety, it is written in question/answer format which is a great way of assessment of one’s knowledge and learning through trial and error. All fields of intensive care medicine have been extensively covered in these 1000 questions which were divided into 123 (!) chapters. On average, there are 8–10 questions per chapte</w:t>
      </w:r>
    </w:p>
    <w:p>
      <w:pPr/>
      <w:r>
        <w:rPr>
          <w:b/>
        </w:rPr>
        <w:t>POSSIBLE 2019:</w:t>
      </w:r>
      <w:r>
        <w:t xml:space="preserve"> Facial recognition technology in schools: critical questions and concerns — https://doi.org/10.1080/17439884.2020.1686014</w:t>
      </w:r>
    </w:p>
    <w:p>
      <w:pPr/>
      <w:r>
        <w:rPr>
          <w:b/>
        </w:rPr>
        <w:t>Shared claim-specific concepts:</w:t>
      </w:r>
      <w:r>
        <w:t xml:space="preserve"> critical, question, article, whether; EU scope not established. This is a provisional connection, not an outcome finding.</w:t>
      </w:r>
    </w:p>
    <w:p>
      <w:pPr>
        <w:pStyle w:val="SourceNote"/>
      </w:pPr>
      <w:r>
        <w:rPr>
          <w:b/>
        </w:rPr>
        <w:t>Available abstract (not full text):</w:t>
      </w:r>
      <w:r>
        <w:t xml:space="preserve"> Facial recognition technology is now being introduced across various aspects of public life. This includes the burgeoning integration of facial recognition and facial detection into compulsory schooling to address issues such as campus security, automated registration and student emotion detection. So far, these technologies have largely been seen as routine additions to school systems with already extensive cultures of monitoring and surveillance. While critical commentators are beginning to question the pedagogical limitations of facially driven learning, other this article contends that school-based facial recognition presents a number of other social challenges and concerns that merit specific attention. This includes the likelihood of facial recognition technology altering the nature of schools and schooling along divisive, authoritarian and oppressive lines. Against this background, the article considers whether or not a valid case can ever be made for allowing this form of technology in schools.</w:t>
      </w:r>
    </w:p>
    <w:p>
      <w:pPr>
        <w:pStyle w:val="Heading2"/>
      </w:pPr>
      <w:r>
        <w:t>989.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Energy communities as demand-side innovators? Assessing the potential of European cases to reduce demand and foster flexibility — https://doi.org/10.1016/j.erss.2022.102848</w:t>
      </w:r>
    </w:p>
    <w:p>
      <w:pPr/>
      <w:r>
        <w:rPr>
          <w:b/>
        </w:rPr>
        <w:t>Shared claim-specific concepts:</w:t>
      </w:r>
      <w:r>
        <w:t xml:space="preserve"> whether, gap, widely; EU scope visible. This is a provisional connection, not an outcome finding.</w:t>
      </w:r>
    </w:p>
    <w:p>
      <w:pPr>
        <w:pStyle w:val="SourceNote"/>
      </w:pPr>
      <w:r>
        <w:rPr>
          <w:b/>
        </w:rPr>
        <w:t>Available abstract (not full text):</w:t>
      </w:r>
      <w:r>
        <w:t xml:space="preserve"> Energy communities (ECs) are widely recognised for their potential to generate renewable energy. By contrast, the capacity of ECs to reduce energy demand and foster flexibility has attracted little attention to date, despite their theoretical potential to do so. To address this gap, we apply three perspectives – social representations theory, actor-network theory, and business models – to the analysis of nine case studies based in six European countries (Germany, Italy, Slovenia, Sweden, Netherlands, and United Kingdom). The core of the article comprises analysis of the nine cases from each perspective. Our results highlight the (un)intended effects of ECs on the energy representations of members; the configurational work required by focal actors to assemble new socio-technical configurations; and the value creation and capture opportunities open to ECs in the creation of novel business models; These factors in turn impact whether and how ECs achieve demand reduction and flexibility. We summarise and discuss these results in a process of meta-theoretical triangulation to produce a multifaceted and relational account of the potential of ECs to develop demand-side solutions. This leads us to conclude that ECs have a distinct capacity to develop demand-side solutions, rooted in the creation of innovative socio-technical configurations; and that this distinct capacity of ECs has th</w:t>
      </w:r>
    </w:p>
    <w:p>
      <w:pPr/>
      <w:r>
        <w:rPr>
          <w:b/>
        </w:rPr>
        <w:t>POSSIBLE 2021:</w:t>
      </w:r>
      <w:r>
        <w:t xml:space="preserve"> The role of demand response in the future renewable northern European energy system — https://doi.org/10.1016/j.energy.2021.121336</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pPr/>
      <w:r>
        <w:rPr>
          <w:b/>
        </w:rPr>
        <w:t>POSSIBLE 2021:</w:t>
      </w:r>
      <w:r>
        <w:t xml:space="preserve"> Economic costs of invasive alien species across Europe — https://doi.org/10.3897/neobiota.67.58196</w:t>
      </w:r>
    </w:p>
    <w:p>
      <w:pPr/>
      <w:r>
        <w:rPr>
          <w:b/>
        </w:rPr>
        <w:t>Shared claim-specific concepts:</w:t>
      </w:r>
      <w:r>
        <w:t xml:space="preserve"> dependent, between, widely;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r>
        <w:rPr>
          <w:b/>
        </w:rPr>
        <w:t>POSSIBLE 2020:</w:t>
      </w:r>
      <w:r>
        <w:t xml:space="preserve"> Organ donation in the US and Europe: The supply vs demand imbalance — https://doi.org/10.1016/j.trre.2020.100585</w:t>
      </w:r>
    </w:p>
    <w:p>
      <w:pPr/>
      <w:r>
        <w:rPr>
          <w:b/>
        </w:rPr>
        <w:t>Shared claim-specific concepts:</w:t>
      </w:r>
      <w:r>
        <w:t xml:space="preserve"> increasing, gap; EU scope visible. This is a provisional connection, not an outcome finding.</w:t>
      </w:r>
    </w:p>
    <w:p>
      <w:pPr>
        <w:pStyle w:val="SourceNote"/>
      </w:pPr>
      <w:r>
        <w:rPr>
          <w:b/>
        </w:rPr>
        <w:t>Available abstract (not full text):</w:t>
      </w:r>
      <w:r>
        <w:t xml:space="preserve"> Organ donation and transplantation remain the best and most cost-effective clinical solution for end-stage organ failure. Several agencies across the US and Europe provide legislative, regulatory, and humanitarian services to generate smoother applications in all transplantation processes and donor-recipient relationships. US and European statistics present nine types of grafts, with kidneys being the most transplanted organ worldwide. However, organ shortage, religion, underrepresented minority groups, difficulties in obtaining consent, lack of understanding, and general ethical concerns present challenging barriers to organ donation, reflecting the complexity of graft procurement and allocation. Breaking down these barriers to reduce the organ-supply imbalance requires an appropriate multifaceted approach. Some of the key areas include increasing the potential donor pool and consent rates, apt organ allocation, and improving organ health. Additionally, suitable policies and standardized guidelines for both donors and recipients, alongside educational initiatives, are needed to ensure patient safety and global awareness. Looking forward, novel and effective research plans and initiatives are needed if we are to avoid a colossal supply-demand gap.</w:t>
      </w:r>
    </w:p>
    <w:p>
      <w:pPr/>
      <w:r>
        <w:rPr>
          <w:b/>
        </w:rPr>
        <w:t>POSSIBLE 2020:</w:t>
      </w:r>
      <w:r>
        <w:t xml:space="preserve"> Location Dependent Spectrum Pricing of Private LTE and 5G Networks in Europe — https://doi.org/10.21203/rs.3.rs-21169/v1</w:t>
      </w:r>
    </w:p>
    <w:p>
      <w:pPr/>
      <w:r>
        <w:rPr>
          <w:b/>
        </w:rPr>
        <w:t>Shared claim-specific concepts:</w:t>
      </w:r>
      <w:r>
        <w:t xml:space="preserve"> dependent; EU scope visible. This is a provisional connection, not an outcome finding.</w:t>
      </w:r>
    </w:p>
    <w:p>
      <w:pPr>
        <w:pStyle w:val="SourceNote"/>
      </w:pPr>
      <w:r>
        <w:rPr>
          <w:b/>
        </w:rPr>
        <w:t>Available abstract (not full text):</w:t>
      </w:r>
      <w:r>
        <w:t xml:space="preserve"> Abstract Emerging private LTE and 5G services and applications have created need for local radio spectrum licensing. The existing pricing models for licenses do not work well in this context. This paper introduces three new location dependent pricing methods that aim to produce more accurate pricing for local licenses. We use Traficom Frequency Fee as our base-case general spectrum pricing model, and we replace the population density based location coefficient with proxies such as employee density, value added per employee, and rent prices. By comparing the differences in the prices yielded by the models, we show that the new models can in some cases identify high demand areas like hospitals and industrial districts better than the original population density based model. Additionally, we conclude that the original population density based model and the new employee density based model could be used together to capture both the consumer and the industrial spectrum demand simultaneously.</w:t>
      </w:r>
    </w:p>
    <w:p>
      <w:pPr/>
      <w:r>
        <w:rPr>
          <w:b/>
        </w:rPr>
        <w:t>POSSIBLE 2020:</w:t>
      </w:r>
      <w:r>
        <w:t xml:space="preserve"> A public health approach to health workforce policy development in Europe — https://doi.org/10.1093/eurpub/ckaa123</w:t>
      </w:r>
    </w:p>
    <w:p>
      <w:pPr/>
      <w:r>
        <w:rPr>
          <w:b/>
        </w:rPr>
        <w:t>Shared claim-specific concepts:</w:t>
      </w:r>
      <w:r>
        <w:t xml:space="preserve"> likely, whether, between; EU scope visible. This is a provisional connection, not an outcome finding.</w:t>
      </w:r>
    </w:p>
    <w:p>
      <w:pPr>
        <w:pStyle w:val="SourceNote"/>
      </w:pPr>
      <w:r>
        <w:rPr>
          <w:b/>
        </w:rPr>
        <w:t>Available abstract (not full text):</w:t>
      </w:r>
      <w:r>
        <w:t xml:space="preserve"> Severe acute respiratory syndrome coronavirus 2 (SARS-CoV-2), better known as COVID-19, placed the health workforce at the centre of a dramatic series of events. As is so often the case in such circumstances, hype and sensationalism places a flitting spotlight on issues likely to make the media headlines, e.g. the tragic premature deaths of doctors and nurses caring for COVID-19 patients, the lack of personal protective equipment, or the strong support for ‘healthcare heroes’. Yet, the intensity and brevity of that focus is not well suited to tease out the complexity and chronicity of the challenges facing the health workforce in Europe today. COVID-19 exacerbated and unmasked gaps in health systems in Europe including: a cumulative shortage as a result of cuts to the health sector linked to the pursuit of blanket austerity policies implemented during preceding years; a lack of coordination between primary healthcare, hospitals and long-term care with unclear referral pathways; the primitive and patchy nature of digitalization penetration in health services resulting in digital quick-fix solutions to continue some semblance of care provision for those with chronic disease; depleted public health services unable to effectively surge capacity in a time manner; burnout amongst health workers; a huge dependence on health workers from outside the European region. The physical and me</w:t>
      </w:r>
    </w:p>
    <w:p>
      <w:pPr/>
      <w:r>
        <w:rPr>
          <w:b/>
        </w:rPr>
        <w:t>POSSIBLE 2019:</w:t>
      </w:r>
      <w:r>
        <w:t xml:space="preserve"> How Does Credit Supply Expansion Affect the Real Economy? The Productive Capacity and Household Demand Channels — https://doi.org/10.1111/jofi.12869</w:t>
      </w:r>
    </w:p>
    <w:p>
      <w:pPr/>
      <w:r>
        <w:rPr>
          <w:b/>
        </w:rPr>
        <w:t>Shared claim-specific concepts:</w:t>
      </w:r>
      <w:r>
        <w:t xml:space="preserve"> expansion, increasing; EU scope not established. This is a provisional connection, not an outcome finding.</w:t>
      </w:r>
    </w:p>
    <w:p>
      <w:pPr>
        <w:pStyle w:val="SourceNote"/>
      </w:pPr>
      <w:r>
        <w:rPr>
          <w:b/>
        </w:rPr>
        <w:t>Available abstract (not full text):</w:t>
      </w:r>
      <w:r>
        <w:t xml:space="preserve"> ABSTRACT Credit supply expansion can affect an economy by increasing productive capacity or by boosting household demand. In this study, we develop a test to determine if the household demand channel is present, and we implement the test using both a natural experiment in the United States in the 1980s and an international panel of 56 countries over the last several decades. Consistent with the importance of the household demand channel, we find that credit supply expansion boosts nontradable sector employment and the price of nontradable goods, with limited effects on tradable sector employment. Such credit expansions amplify the business cycle and lead to more severe recessions.</w:t>
      </w:r>
    </w:p>
    <w:p>
      <w:pPr/>
      <w:r>
        <w:rPr>
          <w:b/>
        </w:rPr>
        <w:t>POSSIBLE 2019:</w:t>
      </w:r>
      <w:r>
        <w:t xml:space="preserve"> Stam Portugal and its expansion through Europe — https://openalex.org/W2971433702</w:t>
      </w:r>
    </w:p>
    <w:p>
      <w:pPr/>
      <w:r>
        <w:rPr>
          <w:b/>
        </w:rPr>
        <w:t>Shared claim-specific concepts:</w:t>
      </w:r>
      <w:r>
        <w:t xml:space="preserve"> expansion, increasing, gap; EU scope visible. This is a provisional connection, not an outcome finding.</w:t>
      </w:r>
    </w:p>
    <w:p>
      <w:pPr>
        <w:pStyle w:val="SourceNote"/>
      </w:pPr>
      <w:r>
        <w:rPr>
          <w:b/>
        </w:rPr>
        <w:t>Available abstract (not full text):</w:t>
      </w:r>
      <w:r>
        <w:t xml:space="preserve"> Executive Summary (1/2) -This internationalization project is structured in 3 phases.It starts with a brief overview of the company and the industry, followed by the Strategic Decisions (Market Selection, Resources and Capabilities, Entry Modes and Distribution Channels), ending with a Business Plan for a 6-year period (Marketing, Operational and Financial) -Stam was founded 47 years ago by an entrepreneur, Francisco Faria, and it is, today, the leader in the Brazilian market of locks and padlocks.The company's excess capacity in Brazil and the connections of its shareholders to the European market created the desire to expand the business overseas, having as final goal increasing its profits.Stam Brazil and the other shareholders intend to open a logistics centre in Portugal and expand in the padlock segment to 2-3 countries in the next 3-5 years-Starting with the Market Selection, Country Clustering and Country Ranking were the first steps to select the best markets for Stam to enter Europe.They were used to assess the attractiveness of the European Union Countries.From the Country Clustering, the Western Cluster was identified as the most suitable option, and through the Country Ranking, it was possible to conclude that the top 5 most attractive countries were Belgium, France, Italy, Luxembourg, and Spain -The final step in this Market Selection is to perform an In-Depth Ana</w:t>
      </w:r>
    </w:p>
    <w:p>
      <w:pPr/>
      <w:r>
        <w:rPr>
          <w:b/>
        </w:rPr>
        <w:t>POSSIBLE 2019:</w:t>
      </w:r>
      <w:r>
        <w:t xml:space="preserve"> Social Innovation in Community Energy in Europe: A Review of the Evidence — https://doi.org/10.3389/fenrg.2019.00031</w:t>
      </w:r>
    </w:p>
    <w:p>
      <w:pPr/>
      <w:r>
        <w:rPr>
          <w:b/>
        </w:rPr>
        <w:t>Shared claim-specific concepts:</w:t>
      </w:r>
      <w:r>
        <w:t xml:space="preserve"> likely, production;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2018:</w:t>
      </w:r>
      <w:r>
        <w:t xml:space="preserve"> Robust demand should continue in 2018 — https://doi.org/10.1021/cen-09602-cover9</w:t>
      </w:r>
    </w:p>
    <w:p>
      <w:pPr/>
      <w:r>
        <w:rPr>
          <w:b/>
        </w:rPr>
        <w:t>Shared claim-specific concepts:</w:t>
      </w:r>
      <w:r>
        <w:t xml:space="preserve"> likely, continued, expansion, production; EU scope visible. This is a provisional connection, not an outcome finding.</w:t>
      </w:r>
    </w:p>
    <w:p>
      <w:pPr>
        <w:pStyle w:val="SourceNote"/>
      </w:pPr>
      <w:r>
        <w:rPr>
          <w:b/>
        </w:rPr>
        <w:t>Available abstract (not full text):</w:t>
      </w:r>
      <w:r>
        <w:t xml:space="preserve"> Persistent growth in the U.S., continued economic expansion in Asia, and a renewal of demand in Europe all bode well for specialty chemical output in 2018, according to the American Chemistry Council. The trade association projects a 3.0% global production rise in 2018 after a 2.5% increase in 2017. Ever optimistic, ACC had expected output to jump 3.3% in 2017. But despite an overall pickup in the global economy, some industries that depend on specialty chemicals, such as oil and gas drilling, were weak, ACC says. Industry observers say the elements are in place for a better 2018. Ray Will, a director at the consulting firm IHS Markit, discerns a number of trends likely to increase demand for specialty chemicals. Among them are a shift to electric vehicles and a move away from the use of fluorochemical coolants in home refrigerators. China, Will says, plans to establish a system of</w:t>
      </w:r>
    </w:p>
    <w:p>
      <w:pPr>
        <w:pStyle w:val="Heading2"/>
      </w:pPr>
      <w:r>
        <w:t>990.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according, lower, negative;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The Impact of Patient Support Programs in Europe: A Systematic Literature Review — https://doi.org/10.1007/s40271-022-00582-y</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pPr/>
      <w:r>
        <w:rPr>
          <w:b/>
        </w:rPr>
        <w:t>POSSIBLE 2022:</w:t>
      </w:r>
      <w:r>
        <w:t xml:space="preserve"> A literature review on the impact of digitalisation on management control — https://doi.org/10.1007/s00187-022-00349-4</w:t>
      </w:r>
    </w:p>
    <w:p>
      <w:pPr/>
      <w:r>
        <w:rPr>
          <w:b/>
        </w:rPr>
        <w:t>Shared claim-specific concepts:</w:t>
      </w:r>
      <w:r>
        <w:t xml:space="preserve"> literature, according, leads, negative; EU scope not established. This is a provisional connection, not an outcome finding.</w:t>
      </w:r>
    </w:p>
    <w:p>
      <w:pPr>
        <w:pStyle w:val="SourceNote"/>
      </w:pPr>
      <w:r>
        <w:rPr>
          <w:b/>
        </w:rPr>
        <w:t>Available abstract (not full text):</w:t>
      </w:r>
      <w:r>
        <w:t xml:space="preserve"> Abstract Digitalisation affects management control (MC). It leads to changes in the way MC activities are organised, performed and analysed. Companies of all industries, locations and sizes have to adapt their MC to digital circumstances, starting with the understanding and delimitation of MC tasks, through the modified application of MC instruments and the consideration of behavioural aspects of MC, to the organisation of the MC function within the company. This paper presents a systematic review of the literature according to Tranfield et al. (Br J Manag 14:207–222, 2003), focusing on the impact of digitalisation on MC. A comprehensive overview of scientific literature is provided by reviewing 166 highly rated accounting journals (based on multiple international journal ratings) and analysing 116 articles from January 2000 to August 2022. Based on the MC framework developed by Guenther (J Manag Control 23:269–290, 2013), the identified studies are categorised into the following research dimensions: tasks, instruments, organisation and behavioural aspects. Multiple studies highlight the continuous development of the MC function under the impact of digitalisation, including the extension of MC tasks, the adaptation of existing MC instruments and creation of new MC instruments, positive and negative behavioural aspects of digitalisation on MC and the establishment of new MC orga</w:t>
      </w:r>
    </w:p>
    <w:p>
      <w:pPr/>
      <w:r>
        <w:rPr>
          <w:b/>
        </w:rPr>
        <w:t>POSSIBLE 2022:</w:t>
      </w:r>
      <w:r>
        <w:t xml:space="preserve"> The immunogenetic impact of European colonization in the Americas — https://doi.org/10.3389/fgene.2022.918227</w:t>
      </w:r>
    </w:p>
    <w:p>
      <w:pPr/>
      <w:r>
        <w:rPr>
          <w:b/>
        </w:rPr>
        <w:t>Shared claim-specific concepts:</w:t>
      </w:r>
      <w:r>
        <w:t xml:space="preserve"> population, decline; EU scope visible. This is a provisional connection, not an outcome finding.</w:t>
      </w:r>
    </w:p>
    <w:p>
      <w:pPr>
        <w:pStyle w:val="SourceNote"/>
      </w:pPr>
      <w:r>
        <w:rPr>
          <w:b/>
        </w:rPr>
        <w:t>Available abstract (not full text):</w:t>
      </w:r>
      <w:r>
        <w:t xml:space="preserve"> The introduction of pathogens originating from Eurasia into the Americas during early European contact has been associated with high mortality rates among Indigenous peoples, likely contributing to their historical and precipitous population decline. However, the biological impacts of imported infectious diseases and resulting epidemics, especially in terms of pathogenic effects on the Indigenous immunity, remain poorly understood and highly contentious to this day. Here, we examine multidisciplinary evidence underpinning colonization-related immune genetic change, providing contextualization from anthropological studies, paleomicrobiological evidence of contrasting host-pathogen coevolutionary histories, and the timings of disease emergence. We further summarize current studies examining genetic signals reflecting post-contact Indigenous population bottlenecks, admixture with European and other populations, and the putative effects of natural selection, with a focus on ancient DNA studies and immunity-related findings. Considering current genetic evidence, together with a population genetics theoretical approach, we show that post-contact Indigenous immune adaptation, possibly influenced by selection exerted by introduced pathogens, is highly complex and likely to be affected by multifactorial causes. Disentangling putative adaptive signals from those of genetic drift thus rem</w:t>
      </w:r>
    </w:p>
    <w:p>
      <w:pPr/>
      <w:r>
        <w:rPr>
          <w:b/>
        </w:rPr>
        <w:t>POSSIBLE 2021:</w:t>
      </w:r>
      <w:r>
        <w:t xml:space="preserve"> The Evolutionarily Mismatched Impact of Urbanization on Insomnia Symptoms: a Short Review of the Recent Literature — https://doi.org/10.1007/s11920-021-01239-7</w:t>
      </w:r>
    </w:p>
    <w:p>
      <w:pPr/>
      <w:r>
        <w:rPr>
          <w:b/>
        </w:rPr>
        <w:t>Shared claim-specific concepts:</w:t>
      </w:r>
      <w:r>
        <w:t xml:space="preserve"> recent, literature, majority; EU scope not established. This is a provisional connection, not an outcome finding.</w:t>
      </w:r>
    </w:p>
    <w:p>
      <w:pPr>
        <w:pStyle w:val="SourceNote"/>
      </w:pPr>
      <w:r>
        <w:rPr>
          <w:b/>
        </w:rPr>
        <w:t>Available abstract (not full text):</w:t>
      </w:r>
      <w:r>
        <w:t xml:space="preserve">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pPr/>
      <w:r>
        <w:rPr>
          <w:b/>
        </w:rPr>
        <w:t>POSSIBLE 2020:</w:t>
      </w:r>
      <w:r>
        <w:t xml:space="preserve"> Migrants’ and refugees’ health status and healthcare in Europe: a scoping literature review — https://doi.org/10.1186/s12889-020-08749-8</w:t>
      </w:r>
    </w:p>
    <w:p>
      <w:pPr/>
      <w:r>
        <w:rPr>
          <w:b/>
        </w:rPr>
        <w:t>Shared claim-specific concepts:</w:t>
      </w:r>
      <w:r>
        <w:t xml:space="preserve"> literature, difficult, population; EU scope visible. This is a provisional connection, not an outcome finding.</w:t>
      </w:r>
    </w:p>
    <w:p>
      <w:pPr>
        <w:pStyle w:val="SourceNote"/>
      </w:pPr>
      <w:r>
        <w:rPr>
          <w:b/>
        </w:rPr>
        <w:t>Available abstract (not full text):</w:t>
      </w:r>
      <w:r>
        <w:t xml:space="preserve"> BACKGROUND: There is increasing attention paid to the arrival of migrants from outwith the EU region to the European countries. Healthcare that is universally and equably accessible needs to be provided for these migrants throughout the range of national contexts and in response to complex and evolving individual needs. It is important to look at the evidence available on provision and access to healthcare for migrants to identify barriers to accessing healthcare and better plan necessary changes. METHODS: This review scoped 77 papers from nine European countries (Austria, Cyprus, France, Germany, Greece, Italy, Malta, Spain, and Sweden) in English and in country-specific languages in order to provide an overview of migrants' access to healthcare. The review aims at identifying what is known about access to healthcare as well as healthcare use of migrants and refugees in the EU member states. The evidence included documents from 2011 onwards. RESULTS: The literature reviewed confirms that despite the aspiration to ensure equality of access to healthcare, there is evidence of persistent inequalities between migrants and non-migrants in access to healthcare services. The evidence shows unmet healthcare needs, especially when it comes to mental and dental health as well as the existence of legal barriers in accessing healthcare. Language and communication barriers, overuse of emer</w:t>
      </w:r>
    </w:p>
    <w:p>
      <w:pPr>
        <w:pStyle w:val="Heading2"/>
      </w:pPr>
      <w:r>
        <w:t>991.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2025:</w:t>
      </w:r>
      <w:r>
        <w:t xml:space="preserve"> Many Plant Species in Europe Have Limited Capacity to Track Climate Change — https://doi.org/10.1111/ddi.70115</w:t>
      </w:r>
    </w:p>
    <w:p>
      <w:pPr/>
      <w:r>
        <w:rPr>
          <w:b/>
        </w:rPr>
        <w:t>Shared claim-specific concepts:</w:t>
      </w:r>
      <w:r>
        <w:t xml:space="preserve"> abstract, aim, species, climate, conditions, three;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2024:</w:t>
      </w:r>
      <w:r>
        <w:t xml:space="preserve"> Evaluating the expansion of African species into Europe driven by climate change — https://doi.org/10.1111/ddi.13840</w:t>
      </w:r>
    </w:p>
    <w:p>
      <w:pPr/>
      <w:r>
        <w:rPr>
          <w:b/>
        </w:rPr>
        <w:t>Shared claim-specific concepts:</w:t>
      </w:r>
      <w:r>
        <w:t xml:space="preserve"> abstract, aim, species, ranges, climate, migration; EU scope visible. This is a provisional connection, not an outcome finding.</w:t>
      </w:r>
    </w:p>
    <w:p>
      <w:pPr>
        <w:pStyle w:val="SourceNote"/>
      </w:pPr>
      <w:r>
        <w:rPr>
          <w:b/>
        </w:rPr>
        <w:t>Available abstract (not full text):</w:t>
      </w:r>
      <w:r>
        <w:t xml:space="preserve"> Abstract Aim Ongoing climate change is presently influencing the distribution ranges of numerous species, with both range expansions and latitudinal shifts being observed. In southern Europe, a biogeographical border that separates African and European biota, while at the same time acting as a migration bridge for many species, these changes are of particular relevance. This study aimed to analyse the responses of nine typically African birds to climate change to provide information on the ongoing and future occupation of Europe by these species. Location Western Palearctic and surrounding areas. Methods To this end, the distributions of the species in their native ranges were modelled, both in the present and in future climate scenarios, using their current breeding ranges and a set of topographic and climatic variables. The climatic favourability for the nine species was then combined using fuzzy logic. Results The results showed that southern Europe is highly favourable for our set of African birds, except for Rüppell's Vulture, and future forecasts indicated that this favourability would increase further north, again excluding the African Vulture. Main conclusions If the climate continues to warm, further arrivals of individuals are to be expected, increasing the possibility that self‐sustaining populations may become established in southern Europe. Furthermore, new African</w:t>
      </w:r>
    </w:p>
    <w:p>
      <w:pPr/>
      <w:r>
        <w:rPr>
          <w:b/>
        </w:rPr>
        <w:t>POSSIBLE 2024:</w:t>
      </w:r>
      <w:r>
        <w:t xml:space="preserve"> Rewilding through inappropriate species introduction: The case of European bison in Spain — https://doi.org/10.1111/csp2.13221</w:t>
      </w:r>
    </w:p>
    <w:p>
      <w:pPr/>
      <w:r>
        <w:rPr>
          <w:b/>
        </w:rPr>
        <w:t>Shared claim-specific concepts:</w:t>
      </w:r>
      <w:r>
        <w:t xml:space="preserve"> abstract, species; EU scope visible. This is a provisional connection, not an outcome finding.</w:t>
      </w:r>
    </w:p>
    <w:p>
      <w:pPr>
        <w:pStyle w:val="SourceNote"/>
      </w:pPr>
      <w:r>
        <w:rPr>
          <w:b/>
        </w:rPr>
        <w:t>Available abstract (not full text):</w:t>
      </w:r>
      <w:r>
        <w:t xml:space="preserve"> Abstract Most European rewilding initiatives are based on the recovery of large herbivores, particularly European bison Bison bonasus , aiming at restoring ecosystem processes and increase trophic complexity. The growing support for the release of bison as a wild species, and change its legal status, in Spain, as an ecological analogue of the extinct steppe bison Bison priscus , makes it an excellent example to reflect the limits of a rewilding biogeographically advisable. We discuss if this initiative could be justified from ecological, biogeographical, ethical, and legal reasons. Besides remarkable taxonomic and functional differences between both bison species, the Mediterranean environment, under the present and future climatic scenarios, does not suit the European bison. Furthermore, there is no evidence to support the presumption that the European bison was ever present in the Iberian Peninsula, with legal implications. We expect that our approach will be inspirational for similar assessments on rewilding initiatives globally.</w:t>
      </w:r>
    </w:p>
    <w:p>
      <w:pPr/>
      <w:r>
        <w:rPr>
          <w:b/>
        </w:rPr>
        <w:t>POSSIBLE 2024:</w:t>
      </w:r>
      <w:r>
        <w:t xml:space="preserve"> Monitoring spatiotemporal patterns in the genetic diversity of a European butterfly species — https://doi.org/10.1111/icad.12786</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The importance of genetic diversity has been recognised by the Convention on Biological Diversity but attempts at monitoring or improving the genetic diversity of populations have been minimal. Here, we investigate changes over time in the genetic diversity of a wild insect species, Maniola jurtina (Lepidoptera: Nymphalidae) and present a large‐scale investigation into contemporary spatial genetic diversity. Using microsatellite markers, we calculate multiple measures of genetic diversity and divergence for M. jurtina populations over 8 years in the UK and compare these findings with long‐term abundance trends. We also conduct a large‐scale spatial analysis into the genetic diversity and population structuring of M. jurtina across Europe. All UK populations sampled have high levels of gene flow and genetic diversity, with genetic diversity stable over time. Across Europe, we find some population structuring between populations in the UK and the European mainland, suggesting restricted geneflow between the two regions. The monitoring of a wild species' genetic diversity is an achievable aim, and one that could be carried out for many species, particularly Lepidoptera. Future approaches may aim to develop higher resolution genetic markers and cover a wider range of species. The use of abundance data offers additional insight, and we find that concurrent, dedicated geneti</w:t>
      </w:r>
    </w:p>
    <w:p>
      <w:pPr/>
      <w:r>
        <w:rPr>
          <w:b/>
        </w:rPr>
        <w:t>POSSIBLE 2023:</w:t>
      </w:r>
      <w:r>
        <w:t xml:space="preserve"> 6th European Conference on Permafrost: Book of Abstracts — https://doi.org/10.52381/eucop6.abstracts.1</w:t>
      </w:r>
    </w:p>
    <w:p>
      <w:pPr/>
      <w:r>
        <w:rPr>
          <w:b/>
        </w:rPr>
        <w:t>Shared claim-specific concepts:</w:t>
      </w:r>
      <w:r>
        <w:t xml:space="preserve"> climate, conditions; EU scope visible. This is a provisional connection, not an outcome finding.</w:t>
      </w:r>
    </w:p>
    <w:p>
      <w:pPr>
        <w:pStyle w:val="SourceNote"/>
      </w:pPr>
      <w:r>
        <w:rPr>
          <w:b/>
        </w:rPr>
        <w:t>Available abstract (not full text):</w:t>
      </w:r>
      <w:r>
        <w:t xml:space="preserve"> Session 1 / Modeling of permafrost-climate feedbacks in future scenarios 37 • Thaw depths and carbon release in adaptive emission driven MPI-ESM simulations, Goran Georgievski [et al.] 38 • Representation of Arctic hydrology in a global land surface model, Tobias Stacke [et al.] 39 • Experimental and numerical evaluation of thermal properties of moss, lichen, and peat from a permafrost-dominated wetland., Simon Cazaurang [et al.] 40 • Modelling the effects of climate change on groundwater-surface water interactions in permafrost dominated regions, Radhakrishna Bangalore Lakshmiprasad [et al.] 41 • Modeling permafrost landscape evolution and greenhouse gas emissions from rapid thawing of ground ice with a new subgrid permafrost representation in CLM5, Esther Bender [et al.] 42 • Modeling influence of methane seeping on the water column carbonate system in the Laptev Sea Shelf, Evgeniy Yakushev [et al.] 43 • Climate response to improved permafrost hydro-thermodynamics in historical and scenario simulations, Félix García-Pereira [et al.] 44 • Surface-based temperature inversion impact on surface air temperatures and implications for permafrost distribution in Northwestern Canada, Nick Noad and Philip Bonnaventure 45 • Modelling the impact of surface lapse rate changes on mountain permafrost distribution in four dissimilar valleys in Yukon, Canada, Madeleine Garibaldi and Philip Bo</w:t>
      </w:r>
    </w:p>
    <w:p>
      <w:pPr/>
      <w:r>
        <w:rPr>
          <w:b/>
        </w:rPr>
        <w:t>POSSIBLE 2023:</w:t>
      </w:r>
      <w:r>
        <w:t xml:space="preserve"> European Habitats Directive has fostered monitoring but not prevented species declines — https://doi.org/10.1111/conl.12948</w:t>
      </w:r>
    </w:p>
    <w:p>
      <w:pPr/>
      <w:r>
        <w:rPr>
          <w:b/>
        </w:rPr>
        <w:t>Shared claim-specific concepts:</w:t>
      </w:r>
      <w:r>
        <w:t xml:space="preserve"> abstract, species, but; EU scope visible. This is a provisional connection, not an outcome finding.</w:t>
      </w:r>
    </w:p>
    <w:p>
      <w:pPr>
        <w:pStyle w:val="SourceNote"/>
      </w:pPr>
      <w:r>
        <w:rPr>
          <w:b/>
        </w:rPr>
        <w:t>Available abstract (not full text):</w:t>
      </w:r>
      <w:r>
        <w:t xml:space="preserve"> Abstract Strong biodiversity declines have been reported across the European Union, especially in insects, despite conservation policy such as the Habitats Directive that aims to halt biodiversity loss. Using 50 years of observational data, we examined indicators for the goals of the Directive in terms of improving monitoring efforts and occupancy trends of butterfly and dragonfly annex species in a central European region. We quantified annual monitoring effort and used occupancy‐detection models to compare species trends for 18 years before and after legal implementation of the Directive. Monitoring efforts increased after implementation, while occupancy trends both improved and deteriorated. Contrary to its main goal, the European Habitats Directive did not prevent a worsening of all annex species’ occupancy trends in the studied region. While the increased monitoring efforts aid biodiversity assessments, more serious broad‐scale conservation measures are needed to halt biodiversity loss across Europe.</w:t>
      </w:r>
    </w:p>
    <w:p>
      <w:pPr/>
      <w:r>
        <w:rPr>
          <w:b/>
        </w:rPr>
        <w:t>POSSIBLE 2023:</w:t>
      </w:r>
      <w:r>
        <w:t xml:space="preserve"> Diversity of cranial shape in European Woodpecker species (Picidae) — https://doi.org/10.2478/orhu-2023-0007</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The woodpecker family (Picidae) includes numerous species that vary in size and plumage colouration, but which share many easily recognisable external features. These birds possess pronounced anatomical adaptions that enable them to exploit arboreal habitats and live in niches that are inaccessible to most other birds. The aim of this study was to increase our knowledge on the relationships between skull shape, habitat preference, pecking abilities and foraging habits of 10 European woodpecker species. A geometric morphometric approach was used to analyse two-dimensional cranial landmarks. We used principal component (PC) analyses on those measurements that may be related to habitat preference and foraging habits. The PCs resulted in descriptions of the relative length and width of the bill, variation in its relative size, orientation of the nostrils variation in the elongation of the neurocranium, the relative size and position of the palatine bone, length of the rostrum , and the thickness of the mandible bone. The analysis showed and confirmed the presence of some cranial elements that are strongly associated with habitat preference, pecking behaviour and excavation abilities.</w:t>
      </w:r>
    </w:p>
    <w:p>
      <w:pPr/>
      <w:r>
        <w:rPr>
          <w:b/>
        </w:rPr>
        <w:t>POSSIBLE 2022:</w:t>
      </w:r>
      <w:r>
        <w:t xml:space="preserve"> Ellenberg‐type indicator values for European vascular plant species — https://doi.org/10.1111/jvs.13168</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Mechanised Harvesting of Broadleaved Tree Species in Europe — https://doi.org/10.1007/s40725-021-00154-7</w:t>
      </w:r>
    </w:p>
    <w:p>
      <w:pPr/>
      <w:r>
        <w:rPr>
          <w:b/>
        </w:rPr>
        <w:t>Shared claim-specific concepts:</w:t>
      </w:r>
      <w:r>
        <w:t xml:space="preserve"> abstract, aim, species, but, recent; EU scope visible. This is a provisional connection, not an outcome finding.</w:t>
      </w:r>
    </w:p>
    <w:p>
      <w:pPr>
        <w:pStyle w:val="SourceNote"/>
      </w:pPr>
      <w:r>
        <w:rPr>
          <w:b/>
        </w:rPr>
        <w:t>Available abstract (not full text):</w:t>
      </w:r>
      <w:r>
        <w:t xml:space="preserve"> Abstract Purpose of the Review The application of cut-to-length (CTL) technology for harvesting and processing timber from broadleaved tree species is a challenging process, due to thick branches, stem sweep, forks and high wood density. The objective of this review was to describe the current state of harvester use and characterise the effectiveness of mechanised forest operations for broadleaved and mixed forest stands in Europe, paying particular attention to productivity and product quality aspects. An additional aim was to identify the greatest difficulties associated with harvesting broadleaved tree species today and to indicate future challenges and areas for improvement. Recent Findings An interest in wider harvester use for broadleaved tree species started after the storm Lothar in France in 1999. Early experiences demonstrated that lower productivity is common when harvesting broadleaved tree species, due to limitations in delimbing and the high frequency of sweep. Initially, modifications were made to harvester heads, while a newly designed head (CTL 40 HW) was later developed within a European project in 2005–2007. Using various heads, very high productivity was achieved in some cases, but log recovery was unsatisfactory, with large tree tops left without delimbing. The delimbing was of lower quality and log length inaccuracy was observed, as well as economic losses</w:t>
      </w:r>
    </w:p>
    <w:p>
      <w:pPr/>
      <w:r>
        <w:rPr>
          <w:b/>
        </w:rPr>
        <w:t>POSSIBLE 2022:</w:t>
      </w:r>
      <w:r>
        <w:t xml:space="preserve"> Depression and anxiety among children and adolescents during the COVID-19 pandemic in Europe: A systematic review protocol — https://doi.org/10.21203/rs.3.rs-1638547/v1</w:t>
      </w:r>
    </w:p>
    <w:p>
      <w:pPr/>
      <w:r>
        <w:rPr>
          <w:b/>
        </w:rPr>
        <w:t>Shared claim-specific concepts:</w:t>
      </w:r>
      <w:r>
        <w:t xml:space="preserve"> abstract, adapted, during; EU scope visible. This is a provisional connection, not an outcome finding.</w:t>
      </w:r>
    </w:p>
    <w:p>
      <w:pPr>
        <w:pStyle w:val="SourceNote"/>
      </w:pPr>
      <w:r>
        <w:rPr>
          <w:b/>
        </w:rPr>
        <w:t>Available abstract (not full text):</w:t>
      </w:r>
      <w:r>
        <w:t xml:space="preserve"> Abstract Some studies point to a high mental health burden among children and adolescents (CA) during the COVID-19 pandemic, particularly concerning depression and anxiety (DA). However, the quality of existing studies and some results are heterogeneous. Research gaps exist regarding (1) a high-quality summarizing overview on studies with (2) a pre-pandemic baseline on the impact of the COVID-19 pandemic on DA among CA in Europe. Therefore, the planned systematic review (SR) aims to close these gaps. SR was registered in the Prospective Register of Systematic Reviews (PROSPERO) and the protocol was prepared in accordance to the Preferred Reporting Items for Systematic review and Meta-Analysis Protocols (PRISMA-P) statement. Search strategy was peer reviewed. Systematic search was conducted in six databases (MEDLINE, EMBASE, PsycINFO, Cochrane Central Register of Controlled Trials, Web of Science and WHO COVID-19 database). Risk of bias (RoB) will be assessed using the RoB instrument for non-randomized studies of exposures. Certainty of evidence will be evaluated by using the GRADE approach adapted to the use of non-randomized studies. Also, subgroup analysis, sensitivity analysis, and publication bias will be performed.Results of this SR could contribute to determine the actual overall prevalence of DA among CA in European countries with an expert opinion on the clinical releva</w:t>
      </w:r>
    </w:p>
    <w:p>
      <w:pPr/>
      <w:r>
        <w:rPr>
          <w:b/>
        </w:rPr>
        <w:t>POSSIBLE 2022:</w:t>
      </w:r>
      <w:r>
        <w:t xml:space="preserve"> Depression and anxiety among children and adolescents during the COVID-19 pandemic in Europe: A systematic review protocol — https://doi.org/10.21203/rs.3.rs-1638547/v2</w:t>
      </w:r>
    </w:p>
    <w:p>
      <w:pPr/>
      <w:r>
        <w:rPr>
          <w:b/>
        </w:rPr>
        <w:t>Shared claim-specific concepts:</w:t>
      </w:r>
      <w:r>
        <w:t xml:space="preserve"> abstract, adapted, during; EU scope visible. This is a provisional connection, not an outcome finding.</w:t>
      </w:r>
    </w:p>
    <w:p>
      <w:pPr>
        <w:pStyle w:val="SourceNote"/>
      </w:pPr>
      <w:r>
        <w:rPr>
          <w:b/>
        </w:rPr>
        <w:t>Available abstract (not full text):</w:t>
      </w:r>
      <w:r>
        <w:t xml:space="preserve"> Abstract Background: A growing number of studies point to a high mental health burden among children and adolescents during the COVID-19 pandemic, particularly concerning depression and anxiety. However, the study quality and effect direction are heterogeneous in the existing studies with a lacking overview for the European continent. Therefore, research gaps exist particular regarding (1) the impact of the COVID-19 pandemic on depression and anxiety among children and adolescents in European countries with (2) a methodologically high-quality summarizing review of studies. Therefore, the planned systematic review aims to close these gaps. Methods: The systematic review was registered in the Prospective Register of Systematic Reviews (PROSPERO) and the protocol was prepared in accordance to the Preferred Reporting Items for Systematic review and Meta-Analysis Protocols (PRISMA-P) statement. Search strategy was peer reviewed according to the evidence-based checklist Peer Review of Electronic Search Strategies (PRESS). Systematic search was conducted in six databases (MEDLINE, EMBASE, PsycINFO, Cochrane Central Register of Controlled Trials, Web of Science and WHO COVID-19 database). Literature screening will be conducted independent by two authors, disagreement will be solved by a third author. Risk of bias (RoB) will be assessed using the RoB instrument for non-randomized studie</w:t>
      </w:r>
    </w:p>
    <w:p>
      <w:pPr>
        <w:pStyle w:val="Heading2"/>
      </w:pPr>
      <w:r>
        <w:t>992.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2026:</w:t>
      </w:r>
      <w:r>
        <w:t xml:space="preserve"> Digital integration for sustainable competitiveness: the role of BPM, process mining and ERP in accounting automation — https://doi.org/10.52326/csd2025.38</w:t>
      </w:r>
    </w:p>
    <w:p>
      <w:pPr/>
      <w:r>
        <w:rPr>
          <w:b/>
        </w:rPr>
        <w:t>Shared claim-specific concepts:</w:t>
      </w:r>
      <w:r>
        <w:t xml:space="preserve"> bpm, annual, systems; EU scope visible. This is a provisional connection, not an outcome finding.</w:t>
      </w:r>
    </w:p>
    <w:p>
      <w:pPr>
        <w:pStyle w:val="SourceNote"/>
      </w:pPr>
      <w:r>
        <w:rPr>
          <w:b/>
        </w:rPr>
        <w:t>Available abstract (not full text):</w:t>
      </w:r>
      <w:r>
        <w:t xml:space="preserve"> This paper examines how integrating Business Process Management (BPM), Process Mining, and Enterprise Resource Planning (ERP) systems enhances sustainable competitiveness and accounting automation efficiency. Using OMV Petrom SA, Romania's largest energy company, as a case study, the research analyzes the digital transformation program S4Strive, which unified 170 legal entities under a single SAP S/4HANA platform. The implementation combined BPM frameworks for process standardization, Process Mining analytics for identifying bottlenecks and deviations, and Robotic Process Automation (RPA) for repetitive financial tasks. The results revealed a 50% reduction in invoice-to-payment cycle times, annual savings of over 225,000 labor hours, and cost reductions exceeding €8 million. Beyond efficiency and cost improvements, the integration strengthened transparency, compliance, and data accuracy, while supporting environmental and social responsibility through optimized resource utilization. By comparing these outcomes with international accounts payable process-mining cases, the paper highlights how data-driven process integration enhances not only financial performance but also long-term organizational sustainability and resilience in the digital economy.</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2025:</w:t>
      </w:r>
      <w:r>
        <w:t xml:space="preserve"> Process Automation with BPM and Emerging Technologies for Service and Industrial Process Optimization: Systematic Mapping — https://doi.org/10.5753/sbsi.2025.246014</w:t>
      </w:r>
    </w:p>
    <w:p>
      <w:pPr/>
      <w:r>
        <w:rPr>
          <w:b/>
        </w:rPr>
        <w:t>Shared claim-specific concepts:</w:t>
      </w:r>
      <w:r>
        <w:t xml:space="preserve"> article, bpm, conducted, information, systems; EU scope not established. This is a provisional connection, not an outcome finding.</w:t>
      </w:r>
    </w:p>
    <w:p>
      <w:pPr>
        <w:pStyle w:val="SourceNote"/>
      </w:pPr>
      <w:r>
        <w:rPr>
          <w:b/>
        </w:rPr>
        <w:t>Available abstract (not full text):</w:t>
      </w:r>
      <w:r>
        <w:t xml:space="preserve"> Context: The adoption of emerging technologies such as Artificial Intelligence (AI), Machine Learning (ML), Robotic Process Automation (RPA), and Process Mining (PM) is transforming business process management (BPM) and mainly its automation process, enhancing operational efficiency in services and industrial processes, and promoting innovation. Problem: The integration of emerging technologies with BPM faces organizational and technical challenges, including workforce adaptation, resistance to change and high costs, limiting its potential to increase efficiency and productivity. Solution: This article aims to investigate and analyze the approaches and structures that enable the integration of emerging technologies with BPM, addressing key questions of interest regarding their impact, implementation, and effectiveness in organizational settings. Information Systems Theory: This research was based on the aegis of the Diffusion of Innovations Theory, exploring how emerging technologies drive innovations in BPM, transforming organizational processes, accelerating automation and promoting operational efficiency and workforce reorganization. Method: We conducted a systematic mapping of studies published between 2019 and 2024, with a quantitative analysis of the selected studies. Summary of Results: The analysis highlighted AI, RPA, and Process Mining as the most cited technologies i</w:t>
      </w:r>
    </w:p>
    <w:p>
      <w:pPr/>
      <w:r>
        <w:rPr>
          <w:b/>
        </w:rPr>
        <w:t>POSSIBLE 2025:</w:t>
      </w:r>
      <w:r>
        <w:t xml:space="preserve"> AI implementation and organizational ambidexterity in the context of BPM: Polish service sector experience — https://doi.org/10.33119/jmfs.2024.52.4</w:t>
      </w:r>
    </w:p>
    <w:p>
      <w:pPr/>
      <w:r>
        <w:rPr>
          <w:b/>
        </w:rPr>
        <w:t>Shared claim-specific concepts:</w:t>
      </w:r>
      <w:r>
        <w:t xml:space="preserve"> bpm, conducted, information; EU scope visible. This is a provisional connection, not an outcome finding.</w:t>
      </w:r>
    </w:p>
    <w:p>
      <w:pPr>
        <w:pStyle w:val="SourceNote"/>
      </w:pPr>
      <w:r>
        <w:rPr>
          <w:b/>
        </w:rPr>
        <w:t>Available abstract (not full text):</w:t>
      </w:r>
      <w:r>
        <w:t xml:space="preserve"> The development of modern organizations is determined by the generation of a system state in which they will leverage the advancement of modern information and communication technologies (ICT). Artificial Intelligence (AI) stands out as a game changer in this regard. Concurrently, organizations striving for market dominance tend towards ambidexterity, i.e. balancing activities related to exploitation (genotypic operations) and the exploration of innovative areas generating added value. Therefore, a research challenge arises, aimed primarily at increasing the knowledge of ambidexterity and its various forms of achievement through the perspective on leveraging AI potential in the Business Process Management (BPM) context. This paper presents the results of a study conducted among 340 large and medium-sized service enterprises in Poland. The main objective of this research is to identify the characteristics of service enterprises associated with the maturity level of AI implementation, including examining the importance of the ambidexterity approach. The study indicates the potential of implementing the ambidexterity concept balancing exploitative and explorative BPM in association with the level of AI implementation. Research methods include literature review, survey, and statistical analyses (correlation analysis, classification tree). The enterprises surveyed varied greatly in </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r>
        <w:rPr>
          <w:b/>
        </w:rPr>
        <w:t>POSSIBLE 2023:</w:t>
      </w:r>
      <w:r>
        <w:t xml:space="preserve"> 10.M. Workshop: Community Health Practice and Research in Europe: Up front and centre! — https://doi.org/10.1093/eurpub/ckad160.674</w:t>
      </w:r>
    </w:p>
    <w:p>
      <w:pPr/>
      <w:r>
        <w:rPr>
          <w:b/>
        </w:rPr>
        <w:t>Shared claim-specific concepts:</w:t>
      </w:r>
      <w:r>
        <w:t xml:space="preserve"> workshop, researchers, countries, systems; EU scope visible. This is a provisional connection, not an outcome finding.</w:t>
      </w:r>
    </w:p>
    <w:p>
      <w:pPr>
        <w:pStyle w:val="SourceNote"/>
      </w:pPr>
      <w:r>
        <w:rPr>
          <w:b/>
        </w:rPr>
        <w:t>Available abstract (not full text):</w:t>
      </w:r>
      <w:r>
        <w:t xml:space="preserve">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pPr/>
      <w:r>
        <w:rPr>
          <w:b/>
        </w:rPr>
        <w:t>POSSIBLE 2023:</w:t>
      </w:r>
      <w:r>
        <w:t xml:space="preserve"> Application of the BPM-Kraljic Model to Improve Supply Management in an Agroindustrial MSE — https://doi.org/10.46254/na07.20220457</w:t>
      </w:r>
    </w:p>
    <w:p>
      <w:pPr/>
      <w:r>
        <w:rPr>
          <w:b/>
        </w:rPr>
        <w:t>Shared claim-specific concepts:</w:t>
      </w:r>
      <w:r>
        <w:t xml:space="preserve"> article, bpm, information; EU scope not established. This is a provisional connection, not an outcome finding.</w:t>
      </w:r>
    </w:p>
    <w:p>
      <w:pPr>
        <w:pStyle w:val="SourceNote"/>
      </w:pPr>
      <w:r>
        <w:rPr>
          <w:b/>
        </w:rPr>
        <w:t>Available abstract (not full text):</w:t>
      </w:r>
      <w:r>
        <w:t xml:space="preserve"> Studies present insufficient information on working models within the purchasing area using the BPM tool for agroindustrial companies, especially in Latin America, which aim to improve performance and optimize the processes of an organization.For this reason, the need for this research arises.This scientific article presents a model to improve supply management.The BPM methodology was proposed to standardize internal processes and the Kraljic matrix, a tool used in purchasing management to classify materials and optimize purchase planning.The level of compliance within the purchasing area did not satisfy the established policies, reaching only 55.96% and generating a gap in the savings goal of approximately S/.500,000.This causes an imbalance at the administrative and operational level due to a lack of general standardization of the processes.This triggered problems at the macro level, such as lack of communication between areas, inefficient operations, and economic losses.The proposal that was carried out covers different areas, such as a harmonization within the administrative processes to reduce time variability and logistics focused on the efficient management of purchases and classification of materials.It was possible to prove the hypothesis; it is feasible to reach 85% of the target scope by restructuring the areas and generating strategies.The simulation could prove the</w:t>
      </w:r>
    </w:p>
    <w:p>
      <w:pPr>
        <w:pStyle w:val="Heading2"/>
      </w:pPr>
      <w:r>
        <w:t>993.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2025:</w:t>
      </w:r>
      <w:r>
        <w:t xml:space="preserve"> Modelling Eurasian lynx populations in Western Europe: What prospects for the next 50 years? — https://doi.org/10.24072/pcjournal.543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inbreedin</w:t>
      </w:r>
    </w:p>
    <w:p>
      <w:pPr/>
      <w:r>
        <w:rPr>
          <w:b/>
        </w:rPr>
        <w:t>POSSIBLE 2024:</w:t>
      </w:r>
      <w:r>
        <w:t xml:space="preserve"> A sentinel watching over inter-tidal seagrass phenology across Western Europe and North Africa — https://doi.org/10.1038/s43247-024-01543-z</w:t>
      </w:r>
    </w:p>
    <w:p>
      <w:pPr/>
      <w:r>
        <w:rPr>
          <w:b/>
        </w:rPr>
        <w:t>Shared claim-specific concepts:</w:t>
      </w:r>
      <w:r>
        <w:t xml:space="preserve"> over, many, western; EU scope visible. This is a provisional connection, not an outcome finding.</w:t>
      </w:r>
    </w:p>
    <w:p>
      <w:pPr>
        <w:pStyle w:val="SourceNote"/>
      </w:pPr>
      <w:r>
        <w:rPr>
          <w:b/>
        </w:rPr>
        <w:t>Available abstract (not full text):</w:t>
      </w:r>
      <w:r>
        <w:t xml:space="preserve"> Abstract Seagrasses are marine flowering plants that form extensive meadows from the inter-tidal zone up to ~50 m depth. As biological and ecological Essential Biodiversity Variables, seagrass cover and composition provide a wide range of ecosystem services. Inter-tidal seagrass meadows provide services to many ecosystems, so monitoring their occurrence, extent, condition and diversity can be used to indicate the biodiversity and health of local ecosystems. Current global estimates of seagrass extent and recent reviews either do not mention inter-tidal seagrasses and their seasonal variation, or combine them with sub-tidal seagrasses. Here, using high-spatial and high-temporal resolution satellite data (Sentinel-2), we demonstrate a method for consistently mapping inter-tidal seagrass meadows and their phenology at a continental scale. We were able to highlight varying seasonal patterns that are observable across a 23° latitudinal range. Timings of peaks in seagrass extent varied by up to 5 months, rather than the previously assumed marginal to non-existent variation in peak timing. These results will aid management by providing high-resolution spatio-temporal monitoring data to better inform seagrass conservation and restoration. They also highlight the high level of seasonal variability in inter-tidal seagrass, meaning combination with sub-tidal seagrass for global assessment</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2023:</w:t>
      </w:r>
      <w:r>
        <w:t xml:space="preserve"> Climate change on extreme winds already affects off-shore wind power availability in Europe — https://doi.org/10.1088/1748-9326/acbdb2</w:t>
      </w:r>
    </w:p>
    <w:p>
      <w:pPr/>
      <w:r>
        <w:rPr>
          <w:b/>
        </w:rPr>
        <w:t>Shared claim-specific concepts:</w:t>
      </w:r>
      <w:r>
        <w:t xml:space="preserve"> over, next, few, decades; EU scope visible. This is a provisional connection, not an outcome finding.</w:t>
      </w:r>
    </w:p>
    <w:p>
      <w:pPr>
        <w:pStyle w:val="SourceNote"/>
      </w:pPr>
      <w:r>
        <w:rPr>
          <w:b/>
        </w:rPr>
        <w:t>Available abstract (not full text):</w:t>
      </w:r>
      <w:r>
        <w:t xml:space="preserve"> Abstract Off-shore wind energy in Europe plays a key role in the transition to renewable energy, and its usage is expected to increase in the next few decades. According to the working regimes of a wind turbine, wind energy production can be disrupted by extreme atmospheric events related to low wind speed below the cut-in wind speed and high wind speed above the cut-out wind speed. The purpose of this work is to estimate the behavior of extreme winds on the European panorama, over the period 1950–2020, in order to investigate the large-scale weather regimes related to them and their impact on off-shore wind energy availability. We detected significant changes in the frequency of high and low extreme wind events, proving that climate change or long-term internal climate variability have already affected the off-shore wind power output. Moreover, the analysis of weather regimes showed that high and low extreme wind events can occur simultaneously over Europe. Our results suggest the necessity to implement efficient European energy management policies, to minimize the deficit in wind power supply.</w:t>
      </w:r>
    </w:p>
    <w:p>
      <w:pPr/>
      <w:r>
        <w:rPr>
          <w:b/>
        </w:rPr>
        <w:t>POSSIBLE 2023:</w:t>
      </w:r>
      <w:r>
        <w:t xml:space="preserve"> Market Scene of China’s Cultured Meat Market Over the Next Five Years — https://doi.org/10.54691/bcpbm.v38i.4189</w:t>
      </w:r>
    </w:p>
    <w:p>
      <w:pPr/>
      <w:r>
        <w:rPr>
          <w:b/>
        </w:rPr>
        <w:t>Shared claim-specific concepts:</w:t>
      </w:r>
      <w:r>
        <w:t xml:space="preserve"> over, next, few, many, countries; EU scope visible. This is a provisional connection, not an outcome finding.</w:t>
      </w:r>
    </w:p>
    <w:p>
      <w:pPr>
        <w:pStyle w:val="SourceNote"/>
      </w:pPr>
      <w:r>
        <w:rPr>
          <w:b/>
        </w:rPr>
        <w:t>Available abstract (not full text):</w:t>
      </w:r>
      <w:r>
        <w:t xml:space="preserve"> In recent years, cultured meat has blown a craze all over the world and has become popular in many European and American countries. China is also vigorously developing the cultured meat industry and has also achieved initial results. The goal of this research was to look at the Chinese cultured meat business over the next few years. To figure out the Chinese cultured meat market, this paper mainly applied the marketing mix theory and SWOT analysis tool to comprehensively analyze the internal and external factors of cultured meat from the perspective of consumers. This research concluded that the future development of cultured meat in China is still objective, but a lot of promotion needed to be done in the induction stage of the cultured meat product life cycle to improve the acceptance of consumers. More importantly, let the cultured meat technology mature as soon as possible since this is the main factor affecting the acceptance of consumers.</w:t>
      </w:r>
    </w:p>
    <w:p>
      <w:pPr/>
      <w:r>
        <w:rPr>
          <w:b/>
        </w:rPr>
        <w:t>POSSIBLE 2022:</w:t>
      </w:r>
      <w:r>
        <w:t xml:space="preserve"> Changes in temperature–precipitation correlations over Europe: are climate models reliable? — https://doi.org/10.1007/s00382-022-06436-5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pPr/>
      <w:r>
        <w:rPr>
          <w:b/>
        </w:rPr>
        <w:t>POSSIBLE 2021:</w:t>
      </w:r>
      <w:r>
        <w:t xml:space="preserve"> Compound precipitation and wind extremes over Europe and their relationship to extratropical cyclones — https://doi.org/10.1016/j.wace.2021.100342</w:t>
      </w:r>
    </w:p>
    <w:p>
      <w:pPr/>
      <w:r>
        <w:rPr>
          <w:b/>
        </w:rPr>
        <w:t>Shared claim-specific concepts:</w:t>
      </w:r>
      <w:r>
        <w:t xml:space="preserve"> over, few, many, western, large, increases; EU scope visible. This is a provisional connection, not an outcome finding.</w:t>
      </w:r>
    </w:p>
    <w:p>
      <w:pPr>
        <w:pStyle w:val="SourceNote"/>
      </w:pPr>
      <w:r>
        <w:rPr>
          <w:b/>
        </w:rPr>
        <w:t>Available abstract (not full text):</w:t>
      </w:r>
      <w:r>
        <w:t xml:space="preserve">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pPr/>
      <w:r>
        <w:rPr>
          <w:b/>
        </w:rPr>
        <w:t>POSSIBLE 2021:</w:t>
      </w:r>
      <w:r>
        <w:t xml:space="preserve"> Modelling Eurasian lynx populations in Western Europe: What prospects for the next 50 years? — https://doi.org/10.1101/2021.10.22.465393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Abstract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over, many, increases;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r>
        <w:rPr>
          <w:b/>
        </w:rPr>
        <w:t>POSSIBLE 2020:</w:t>
      </w:r>
      <w:r>
        <w:t xml:space="preserve"> An annotated checklist of bryophytes of Europe, Macaronesia and Cyprus — https://doi.org/10.1080/03736687.2019.1694329</w:t>
      </w:r>
    </w:p>
    <w:p>
      <w:pPr/>
      <w:r>
        <w:rPr>
          <w:b/>
        </w:rPr>
        <w:t>Shared claim-specific concepts:</w:t>
      </w:r>
      <w:r>
        <w:t xml:space="preserve"> over, next, few, many; EU scope visible. This is a provisional connection, not an outcome finding.</w:t>
      </w:r>
    </w:p>
    <w:p>
      <w:pPr>
        <w:pStyle w:val="SourceNote"/>
      </w:pPr>
      <w:r>
        <w:rPr>
          <w:b/>
        </w:rPr>
        <w:t>Available abstract (not full text):</w:t>
      </w:r>
      <w:r>
        <w:t xml:space="preserve"> Introduction.Following on from work on the European bryophyte Red List, the taxonomically and nomenclaturally updated spreadsheets used for that project have been expanded into a new checklist for the bryophytes of Europe.Methods.A steering group of ten European bryologists was convened, and over the course of a year, the spreadsheets were compared with previous European checklists, and all changes noted.Recent literature was searched extensively.A taxonomic system was agreed, and the advice and expertise of many European bryologists sought.Key results.A new European checklist of bryophytes, comprising hornworts, liverworts and mosses, is presented.Fifteen new combinations are proposed.Conclusions.This checklist provides a snapshot of the current European bryophyte flora in 2019.It will already be out-of-date on publication, and further research, particularly molecular work, can be expected to result in many more changes over the next few years.</w:t>
      </w:r>
    </w:p>
    <w:p>
      <w:pPr/>
      <w:r>
        <w:rPr>
          <w:b/>
        </w:rPr>
        <w:t>POSSIBLE 2020:</w:t>
      </w:r>
      <w:r>
        <w:t xml:space="preserve"> Diverging hydrological drought traits over Europe with global warming — https://doi.org/10.5194/hess-24-5919-2020</w:t>
      </w:r>
    </w:p>
    <w:p>
      <w:pPr/>
      <w:r>
        <w:rPr>
          <w:b/>
        </w:rPr>
        <w:t>Shared claim-specific concepts:</w:t>
      </w:r>
      <w:r>
        <w:t xml:space="preserve"> over, many, large; EU scope visible. This is a provisional connection, not an outcome finding.</w:t>
      </w:r>
    </w:p>
    <w:p>
      <w:pPr>
        <w:pStyle w:val="SourceNote"/>
      </w:pPr>
      <w:r>
        <w:rPr>
          <w:b/>
        </w:rPr>
        <w:t>Available abstract (not full text):</w:t>
      </w:r>
      <w:r>
        <w:t xml:space="preserve">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pPr>
        <w:pStyle w:val="Heading2"/>
      </w:pPr>
      <w:r>
        <w:t>994.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2025:</w:t>
      </w:r>
      <w:r>
        <w:t xml:space="preserve"> Comparing GHG Emissions of Residue‐Based BECCS to Alternative Biomass Uses — https://doi.org/10.1111/gcbb.70089</w:t>
      </w:r>
    </w:p>
    <w:p>
      <w:pPr/>
      <w:r>
        <w:rPr>
          <w:b/>
        </w:rPr>
        <w:t>Shared claim-specific concepts:</w:t>
      </w:r>
      <w:r>
        <w:t xml:space="preserve"> ghg, emissions, compared, energy; EU scope visible. This is a provisional connection, not an outcome finding.</w:t>
      </w:r>
    </w:p>
    <w:p>
      <w:pPr>
        <w:pStyle w:val="SourceNote"/>
      </w:pPr>
      <w:r>
        <w:rPr>
          <w:b/>
        </w:rPr>
        <w:t>Available abstract (not full text):</w:t>
      </w:r>
      <w:r>
        <w:t xml:space="preserve"> ABSTRACT Bioenergy with carbon capture and storage (BECCS) holds promise for achieving negative greenhouse gas (GHG) emissions while generating electricity. When using forestry or agricultural residues as feedstock, BECCS may also avoid or reduce land‐use based impacts compared to dedicated energy crops. It is, however, unclear how negative emissions from residue‐based BECCS compare to alternative uses (bioenergy with no CCS, 2G ethanol, paper and boards, animal feed and decomposition) and how quickly BECCS can achieve climate benefits compared to these other uses. In this study, we used life‐cycle assessment (LCA) to quantify supply chain emissions of BECCS for two power plants in the Netherlands, using residue‐based wood pellets from Louisiana, USA, and sugarcane bagasse pellets from Louisiana and São Paulo, Brazil, as feedstock. Using an attributional LCA approach, we showed that the two BECCS plants combined use 7.5 Mt of biomass dry per year. This system generates between 10.3 and 11.1 TWh of electricity and provides 11.0 and 11.3 Mt CO 2 ‐eq. of negative emissions annually, for wood or bagasse, respectively. This results in a footprint of −0.63 (wood) and −0.65 (bagasse) t CO 2 ‐eq./t wet biomass . Following a consequential approach, we contrasted the GHG emissions per tonne of biomass residue used for BECCS with those associated with alternative uses, accounting for the </w:t>
      </w:r>
    </w:p>
    <w:p>
      <w:pPr/>
      <w:r>
        <w:rPr>
          <w:b/>
        </w:rPr>
        <w:t>POSSIBLE 2023:</w:t>
      </w:r>
      <w:r>
        <w:t xml:space="preserve"> GHG emissions of semiconductor manufacturing in 2021 — https://openalex.org/W4386614028</w:t>
      </w:r>
    </w:p>
    <w:p>
      <w:pPr/>
      <w:r>
        <w:rPr>
          <w:b/>
        </w:rPr>
        <w:t>Shared claim-specific concepts:</w:t>
      </w:r>
      <w:r>
        <w:t xml:space="preserve"> ghg, emissions, energy, systems; EU scope not established. This is a provisional connection, not an outcome finding.</w:t>
      </w:r>
    </w:p>
    <w:p>
      <w:pPr>
        <w:pStyle w:val="SourceNote"/>
      </w:pPr>
      <w:r>
        <w:rPr>
          <w:b/>
        </w:rPr>
        <w:t>Available abstract (not full text):</w:t>
      </w:r>
      <w:r>
        <w:t xml:space="preserve"> The greenhouse gas (GHG) emissions of semiconductor manufacturing represent an important share of the embodied carbon footprint of electronics systems. Manufacturing emissions are disclosed in the sustainability reports of semiconductor companies. This paper proposes a study of global semiconductor manufacturing carbon emissions, focusing on Scope 1 (direct emissions) and Scope 2 (emissions induced by consuming energy). The fifteen companies on the semiconductor market with highest 2021 revenues are considered, as well as the four main merchant foundries, over the years 2020 and 2021. As a large scale evaluation of carbon impacts, the resulting numbers compile heterogeneous figures and require a comprehensive discussion on the strengths and limitations of the evaluation. Most of the efforts on this paper are thus allocated to this discussion. The 2021 carbon emissions for the semiconductor industry worldwide are estimated at 76.5M tons of CO2 equivalent, breaking down into 30.6M tons CO2e of Scope 1 emissions (direct emissions), and 45.9M tons CO2e of scope 2 emissions (emissions induced by the energy consumption of manufacturing). These numbers do not include the Scope 3 impacts, neither downwards (usage of the products) nor upwards (constructing fabrication facilities, building fabrication machines, extracting raw materials, smelting and refining materials). Between 2020 and </w:t>
      </w:r>
    </w:p>
    <w:p>
      <w:pPr/>
      <w:r>
        <w:rPr>
          <w:b/>
        </w:rPr>
        <w:t>POSSIBLE 2023:</w:t>
      </w:r>
      <w:r>
        <w:t xml:space="preserve"> The drivers of GHG emissions: A novel approach to estimate emissions using nonparametric analysis — https://doi.org/10.1016/j.gr.2023.10.004</w:t>
      </w:r>
    </w:p>
    <w:p>
      <w:pPr/>
      <w:r>
        <w:rPr>
          <w:b/>
        </w:rPr>
        <w:t>Shared claim-specific concepts:</w:t>
      </w:r>
      <w:r>
        <w:t xml:space="preserve"> ghg, emissions, period; EU scope not established. This is a provisional connection, not an outcome finding.</w:t>
      </w:r>
    </w:p>
    <w:p>
      <w:pPr>
        <w:pStyle w:val="SourceNote"/>
      </w:pPr>
      <w:r>
        <w:rPr>
          <w:b/>
        </w:rPr>
        <w:t>Available abstract (not full text):</w:t>
      </w:r>
      <w:r>
        <w:t xml:space="preserve">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pPr/>
      <w:r>
        <w:rPr>
          <w:b/>
        </w:rPr>
        <w:t>POSSIBLE 2023:</w:t>
      </w:r>
      <w:r>
        <w:t xml:space="preserve"> Quantifying Green House Gas (GHG) Emissions for Small Businesses in the US: Effective Policies to Reduce GHG — https://openalex.org/W7112710684</w:t>
      </w:r>
    </w:p>
    <w:p>
      <w:pPr/>
      <w:r>
        <w:rPr>
          <w:b/>
        </w:rPr>
        <w:t>Shared claim-specific concepts:</w:t>
      </w:r>
      <w:r>
        <w:t xml:space="preserve"> ghg, emissions, energy, systems; EU scope visible. This is a provisional connection, not an outcome finding.</w:t>
      </w:r>
    </w:p>
    <w:p>
      <w:pPr>
        <w:pStyle w:val="SourceNote"/>
      </w:pPr>
      <w:r>
        <w:rPr>
          <w:b/>
        </w:rPr>
        <w:t>Available abstract (not full text):</w:t>
      </w:r>
      <w:r>
        <w:t xml:space="preserve"> Small to medium sized enterprises (SMEs) make up 99% of businesses in the United States (US) and account for almost half of GDP. Collectively, SMEs play a large role in the economy and should play a large role in sustainability as well. SMEs might consume more energy than corporations and have the potential to reduce more greenhouse gases. Even though there has been growing pressure on corporations to reduce greenhouse gas (GHG) emissions, SMEs have not been included in the sustainability conversation, perhaps because it’s been difficult to include them, or due to the perception of their irrelevance. Governments and investors have instead put pressure on corporations, which also have multiple reporting tools, tax breaks and incentives to help urge them to participate. It’s hard for SMEs to engage in sustainability initiatives because they can be costly and require time and human resources. Because few small businesses are engaged in sustainability efforts, there is little information on how they contribute to climate change. This research aimed to quantify GHG emissions from SMEs in the US and evaluate future GHG emissions and reductions based on a variety of scenarios by addressing four main questions: What percentage of GHG emissions can be attributed to SMEs in the US? If every SME incrementally reduced GHG emissions, how much change would be seen? How much GHG can be avoide</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The GHGs Evolution of LULUCF Sector at the European Union (EU-27 + UK): Romania Case Study — https://doi.org/10.3390/atmos13101638</w:t>
      </w:r>
    </w:p>
    <w:p>
      <w:pPr/>
      <w:r>
        <w:rPr>
          <w:b/>
        </w:rPr>
        <w:t>Shared claim-specific concepts:</w:t>
      </w:r>
      <w:r>
        <w:t xml:space="preserve"> ghg, emissions, compared, reference, period; EU scope visible. This is a provisional connection, not an outcome finding.</w:t>
      </w:r>
    </w:p>
    <w:p>
      <w:pPr>
        <w:pStyle w:val="SourceNote"/>
      </w:pPr>
      <w:r>
        <w:rPr>
          <w:b/>
        </w:rPr>
        <w:t>Available abstract (not full text):</w:t>
      </w:r>
      <w:r>
        <w:t xml:space="preserve"> Mitigating climate change is a challenge that urgently needs to be addressed, as it has an increasing impact on the planet. According to the latest reports, global CO2 emissions must be neutralized by 2050 in order to limit the rise in temperature to 1.5 °C. This work presents the evolution of Land Use, Land Use Change and Forestry (LULUCF) greenhouse gas (GHG) emissions/removals at the EU-27 + UK level for the 1990–2019 time period, as well as LULUCF emissions/removals forecasts for Romania up to 2040. The results revealed a 23% reduction in GHG emissions for the EU-27 + UK in 2019 compared to 1990. Romania’s yearly average of GHG emissions/removals was 28,000 kt CO2 eq., representing roughly 9.7% of the EU’s annual average. In terms of projections for Romania, the only scenario that will not be in the target set by the new LULUCF Regulation is WEM (Reference Scenario/With Existing Measures), in which net GHG removals will be reduced by approximately 218 kt CO2 eq., or 0.9 percent, in 2030 compared to the reference year; in 2040 compared to 1989, the trend will be accentuated both in absolute values, with a decrease of over 3000 kt CO2 eq., and in relative values of 12%.</w:t>
      </w:r>
    </w:p>
    <w:p>
      <w:pPr/>
      <w:r>
        <w:rPr>
          <w:b/>
        </w:rPr>
        <w:t>POSSIBLE 2022:</w:t>
      </w:r>
      <w:r>
        <w:t xml:space="preserve"> GHG emissions and firm performance: The role of CEO gender socialization — https://doi.org/10.1016/j.jbankfin.2022.106721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this paper, I examine the effect of corporate greenhouse gas emissions (GHG) on profitability. I use the gender composition of the CEOs' children as an identification strategy to investigate the impact of GHG emissions on profits. CEOs who father a daughter are associated with a 10% reduction in GHG emissions. The reduction in emissions, in turn, improves profitability. A one standard deviation decrease in GHG emissions leads to a 0.14 standard deviations increase in profitability. Examining the channels, I show that CEOs with daughters are more likely to adopt a climate-integrated business strategy and set emission-reduction targets. Emission reduction affects profitability through both information advantage (protection from negative industry shocks, and lower cost of capital), and operational efficiency (lower operating costs and energy consumption) channels.</w:t>
      </w:r>
    </w:p>
    <w:p>
      <w:pPr>
        <w:pStyle w:val="Heading2"/>
      </w:pPr>
      <w:r>
        <w:t>995.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2025:</w:t>
      </w:r>
      <w:r>
        <w:t xml:space="preserve"> Three kinds of suspended belief — https://doi.org/10.1093/pq/pqaf109</w:t>
      </w:r>
    </w:p>
    <w:p>
      <w:pPr/>
      <w:r>
        <w:rPr>
          <w:b/>
        </w:rPr>
        <w:t>Shared claim-specific concepts:</w:t>
      </w:r>
      <w:r>
        <w:t xml:space="preserve"> three, kinds, third; EU scope not established. This is a provisional connection, not an outcome finding.</w:t>
      </w:r>
    </w:p>
    <w:p>
      <w:pPr>
        <w:pStyle w:val="SourceNote"/>
      </w:pPr>
      <w:r>
        <w:rPr>
          <w:b/>
        </w:rPr>
        <w:t>Available abstract (not full text):</w:t>
      </w:r>
      <w:r>
        <w:t xml:space="preserve"> Abstract This paper argues for a third kind of suspended belief. Two that have already been distinguished in the literature are positive suspension and negative suspension. The third kind that we describe is (what we call) aporetic suspension. All of these kinds of suspension count as suspended beliefs in the sense that they each share the same fundamental features of suspended belief—they are all a kind of neutral doxastic attitude. Yet, they are also unique in some important respects. Positive and negative suspension can be distinguished along evidential lines. Positive suspension arises when one has (more or less) equally balanced evidence for a proposition; while negative suspension arises when one lacks evidence either for or against a proposition. Aporetic suspension, we argue, can be further distinguished from both positive and negative suspension in three important respects. According to (1) its evidential-input, (2) its functional-output, and (3) its phenomenal character.</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2019:</w:t>
      </w:r>
      <w:r>
        <w:t xml:space="preserve"> Information about Motion in Concepts of Different Ontological Kinds — https://doi.org/10.4324/9781315782362-141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This chapter presents the aims on empirical, theoretical, and analytic work from all areas of interest in cognitive science, such as artificial intelligence, education, linguistics, neuroscience, philosophy, psychology, and anthropology presented in European Cognitive Science Conference. It focuses on interdisciplinary work that is either of interest for more than one of the research areas mentioned or integrates research methods from different fields. With contributions by cognitive scientists from 20 different countries, the chapter reflects the origins of this conference, as well as its international scope. Two studies investigate information about object&amp;s;s motion in adults&amp;s; concepts with a classical paradigm, the feature production task. The aim is to verify which characteristics of motion, such as self-induction, are differentially distributed in the various ontological kinds and sub-kinds of concepts. Overall, three parameters which organize information about object&amp;s;s motion emerge from this study. The most important parameter, is the ability to produce a displacement.</w:t>
      </w:r>
    </w:p>
    <w:p>
      <w:pPr/>
      <w:r>
        <w:rPr>
          <w:b/>
        </w:rPr>
        <w:t>POSSIBLE 2018:</w:t>
      </w:r>
      <w:r>
        <w:t xml:space="preserve"> Regional inequality in Europe: evidence, theory and policy implications — https://doi.org/10.1093/jeg/lby021</w:t>
      </w:r>
    </w:p>
    <w:p>
      <w:pPr/>
      <w:r>
        <w:rPr>
          <w:b/>
        </w:rPr>
        <w:t>Shared claim-specific concepts:</w:t>
      </w:r>
      <w:r>
        <w:t xml:space="preserve"> different, promote;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r>
        <w:rPr>
          <w:b/>
        </w:rPr>
        <w:t>POSSIBLE 2017:</w:t>
      </w:r>
      <w:r>
        <w:t xml:space="preserve"> Stakeholder Participation in European Standardization: A Mapping and an Assessment of Three Categories of Regulation — https://doi.org/10.54648/leie2017021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The continuum of Internal Market regulation comprises various kinds of regulatory measures, including legislation, harmonized and non-harmonized standards, and private ‘self-regulation’ of different origins. Public, as well as private actors, participate in the continuous development of European regulation. The different actors’ competences and roles vary during the processes, but it is evident that both public and private actors obtain a vital position in the collective production of European regulation. This article contributes with a mapping and categorization of the applied regulatory ‘means and measures’ related to Internal Market regulation and an assessment of stakeholder participation in three categories. Firstly, this article provides an outline of contemporary EU regulatory policies applied in the Internal Market regulation, and discusses the concepts of regulatory governance and regulation. Secondly, the different variants of regulation are allocated within three main categories: (1) public legislation; (2) co-regulation, and; (3) private selfregulation. Case examples of the different categories of regulation are explicated to illustrate the variances among the three types and of the ex-ante participatory processes. Finally, the article provides an assessment of stakeholder participation vis-à-vis the three categories of regulation.</w:t>
      </w:r>
    </w:p>
    <w:p>
      <w:pPr/>
      <w:r>
        <w:rPr>
          <w:b/>
        </w:rPr>
        <w:t>POSSIBLE 2016:</w:t>
      </w:r>
      <w:r>
        <w:t xml:space="preserve"> Different antisemitisms: on three distinct forms of antisemitism in contemporary Europe. With special focus on Sweden — https://doi.org/10.30752/nj.67611</w:t>
      </w:r>
    </w:p>
    <w:p>
      <w:pPr/>
      <w:r>
        <w:rPr>
          <w:b/>
        </w:rPr>
        <w:t>Shared claim-specific concepts:</w:t>
      </w:r>
      <w:r>
        <w:t xml:space="preserve"> three, different, kinds, based, country; EU scope visible. This is a provisional connection, not an outcome finding.</w:t>
      </w:r>
    </w:p>
    <w:p>
      <w:pPr>
        <w:pStyle w:val="SourceNote"/>
      </w:pPr>
      <w:r>
        <w:rPr>
          <w:b/>
        </w:rPr>
        <w:t>Available abstract (not full text):</w:t>
      </w:r>
      <w:r>
        <w:t xml:space="preserve"> This article studies eight European countries, investigating how the level of antisemit­ism as registered in national populations relates to the perception of antisemitism by the Jewish population in the same country. Furthermore, the article empirically identifies distinct aspects of antisemitism, deconstructing the concept of antisemitism and breaking it up into three kinds of empirically differently based and composed antisemitisms (note the plural!): classic antisemitism, Israel-derived antisemitism and Enlightenment-based antisemitism. The article also elaborates on some more general implications for the understanding of the character of antisemitism in contemporary Europe, and based on that, presents some perspectives on the development of the three distinct antisemitisms in contemporary Europe.</w:t>
      </w:r>
    </w:p>
    <w:p>
      <w:pPr/>
      <w:r>
        <w:rPr>
          <w:b/>
        </w:rPr>
        <w:t>POSSIBLE 2016:</w:t>
      </w:r>
      <w:r>
        <w:t xml:space="preserve"> Working under pressure: economic recession and third sector development in Europe — https://doi.org/10.1108/ijssp-01-2016-0010</w:t>
      </w:r>
    </w:p>
    <w:p>
      <w:pPr/>
      <w:r>
        <w:rPr>
          <w:b/>
        </w:rPr>
        <w:t>Shared claim-specific concepts:</w:t>
      </w:r>
      <w:r>
        <w:t xml:space="preserve"> three, different, based, third, country; EU scope visible. This is a provisional connection, not an outcome finding.</w:t>
      </w:r>
    </w:p>
    <w:p>
      <w:pPr>
        <w:pStyle w:val="SourceNote"/>
      </w:pPr>
      <w:r>
        <w:rPr>
          <w:b/>
        </w:rPr>
        <w:t>Available abstract (not full text):</w:t>
      </w:r>
      <w:r>
        <w:t xml:space="preserve"> Purpose – The context conditions for third sector organizations (TSOs) in Europe have significantly changed as a result of the global economic crisis, including decreasing levels of public funding and changing modes of relations with the state. The effect of economic recession, however, varies across Europe. The purpose of this paper is to understand why this is the case. It analyses the impact of economic recession and related policy changes on third sector development in Europe. The economic effects on TSOs are thereby placed into a broader context of changing third sector policies and welfare state restructuring. Design/methodology/approach – The paper focusses on two research questions: how has the changing policy environment affected the development of the third sector? And what kind of strategies have TSOs adopted to respond to these changes? The paper first investigates general trends in Europe, based on a conceptual model that focusses on economic recession and austerity policies with regard to the third sector. In a second step of analysis, the paper provides five country case studies that exemplify policy changes and responses from the third sector in France, Germany, the Netherlands, Poland and Spain. Findings – The paper argues that three different development paths can be identified across Europe. In some countries (France and Spain), TSOs face a strong effect of e</w:t>
      </w:r>
    </w:p>
    <w:p>
      <w:pPr>
        <w:pStyle w:val="Heading2"/>
      </w:pPr>
      <w:r>
        <w:t>996.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2024:</w:t>
      </w:r>
      <w:r>
        <w:t xml:space="preserve"> Estimation of an efficient benchmark portfolio for the Eastern European market — https://doi.org/10.51680/ev.37.1.1</w:t>
      </w:r>
    </w:p>
    <w:p>
      <w:pPr/>
      <w:r>
        <w:rPr>
          <w:b/>
        </w:rPr>
        <w:t>Shared claim-specific concepts:</w:t>
      </w:r>
      <w:r>
        <w:t xml:space="preserve"> all, benchmark, order; EU scope visible. This is a provisional connection, not an outcome finding.</w:t>
      </w:r>
    </w:p>
    <w:p>
      <w:pPr>
        <w:pStyle w:val="SourceNote"/>
      </w:pPr>
      <w:r>
        <w:rPr>
          <w:b/>
        </w:rPr>
        <w:t>Available abstract (not full text):</w:t>
      </w:r>
      <w:r>
        <w:t xml:space="preserve"> Purpose: This paper explores the mean-variance inefficiency of cap-weighted indices based on the CECE index as a benchmark. Methodology: For the period from March 2014 to September 2021, several proxies of efficient portfo-lios were estimated: the Global Minimum Variance (GMV) portfolio, the Maximum Sharpe Ratio (MSR) portfolio and the portfolio with equal weights of constituents (EW). Diversification of strategies was also considered by analyzing the performance of a portfolio consisting of GMV and MSR that were weighted equally. Based on monthly data, 90 out-of-sample estimations were made for each strategy in order to com-pare their risk-return characteristics. Furthermore, to confirm the differences in the riskiness and returns of the estimated portfolios, the F-test and the Welch test were performed, respectively. Results: The results show that all analyzed portfolios achieved superior performance compared to the CECE index with the GMV portfolio leading the way. Conclusion: Research findings highlight the importance of market development and liquidity when pursu-ing popular scientific diversification methods.</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2023:</w:t>
      </w:r>
      <w:r>
        <w:t xml:space="preserve"> Optimizing polypharmacy management in the elderly: a comprehensive European benchmarking survey and the development of an innovative online benchmarking application — https://doi.org/10.3389/fphar.2023.1254912</w:t>
      </w:r>
    </w:p>
    <w:p>
      <w:pPr/>
      <w:r>
        <w:rPr>
          <w:b/>
        </w:rPr>
        <w:t>Shared claim-specific concepts:</w:t>
      </w:r>
      <w:r>
        <w:t xml:space="preserve"> all, since, benchmark, national, aim; EU scope visible. This is a provisional connection, not an outcome finding.</w:t>
      </w:r>
    </w:p>
    <w:p>
      <w:pPr>
        <w:pStyle w:val="SourceNote"/>
      </w:pPr>
      <w:r>
        <w:rPr>
          <w:b/>
        </w:rPr>
        <w:t>Available abstract (not full text):</w:t>
      </w:r>
      <w:r>
        <w:t xml:space="preserve"> Background: Polypharmacy, defined as the simultaneous use of multiple medications by a patient, is a worldwide problem of rising prevalence. Paving the way for drug interactions, adverse drug reactions and non-adherence, it leads to negative health outcomes, increased use of healthcare services and rising costs. Since it is closely related to multimorbidity, it peaks in older adults. So far, not many polypharmacy management programs in the elderly have been introduced in practice. However, due to the rapid ageing of European societies, there is an urgent need to implement them more widely. Objective: The aim of this study was to benchmark polypharmacy management programs in the elderly available in Europe and creating a dedicated benchmarking application. Methods: It was a cross-sectional study based on an online survey targeting healthcare professionals and other stakeholders across European countries. Data collected in the survey were reused to design an online benchmarking application. Results: As many as 911 respondents from all but two EU countries took part in this study. Out of the survey participants, 496 (54.4%) reported availability of various activities or formal programs targeting polypharmacy in the elderly that were known to them. These programs had multiple goals, of which improved patient safety was indicated as the most common objective (65.1% of the cases). Th</w:t>
      </w:r>
    </w:p>
    <w:p>
      <w:pPr/>
      <w:r>
        <w:rPr>
          <w:b/>
        </w:rPr>
        <w:t>POSSIBLE 2022:</w:t>
      </w:r>
      <w:r>
        <w:t xml:space="preserve"> RGBT Salient Object Detection: A Large-Scale Dataset and Benchmark — https://doi.org/10.1109/tmm.2022.3171688</w:t>
      </w:r>
    </w:p>
    <w:p>
      <w:pPr/>
      <w:r>
        <w:rPr>
          <w:b/>
        </w:rPr>
        <w:t>Shared claim-specific concepts:</w:t>
      </w:r>
      <w:r>
        <w:t xml:space="preserve"> all, since, benchmark; EU scope not established. This is a provisional connection, not an outcome finding.</w:t>
      </w:r>
    </w:p>
    <w:p>
      <w:pPr>
        <w:pStyle w:val="SourceNote"/>
      </w:pPr>
      <w:r>
        <w:rPr>
          <w:b/>
        </w:rPr>
        <w:t>Available abstract (not full text):</w:t>
      </w:r>
      <w:r>
        <w:t xml:space="preserve"> Salient object detection in complex scenes and environments is a challenging research topic. Most works focus on RGB-based salient object detection, which limits its performance of real-life applications when confronted with adverse conditions such as dark environments and complex backgrounds. Taking advantage of RGB and thermal infrared(RGBT) images becomes a new research direction for detecting salient objects in complex scenes, since the thermal infrared spectrum provides the complementary information and has been used in many computer vision tasks. However, current research for RGBT salient object detection is limited by the lack of a large-scale dataset and comprehensive benchmark. This work contributes such a RGBT image dataset named VT5000, including 5000 spatially aligned RGBT image pairs with ground truth annotations. VT5000 has 11 challenges collected in different scenes and environments for exploring the robustness of algorithms. With this dataset, we propose a powerful baseline approach, which extracts multilevel features of each modality and aggregates these features of all modalities with the attention mechanism for accurate RGBT salient object detection. To further solve the problem of blur boundaries of salient objects, we also use an edge loss to refine the boundaries. Extensive experiments show that the proposed baseline approach outperforms the state-of-the-a</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2020:</w:t>
      </w:r>
      <w:r>
        <w:t xml:space="preserve"> Benchmarking Graph Neural Networks — https://doi.org/10.48550/arxiv.2003.00982</w:t>
      </w:r>
    </w:p>
    <w:p>
      <w:pPr/>
      <w:r>
        <w:rPr>
          <w:b/>
        </w:rPr>
        <w:t>Shared claim-specific concepts:</w:t>
      </w:r>
      <w:r>
        <w:t xml:space="preserve"> since, benchmark, any; EU scope not established. This is a provisional connection, not an outcome finding.</w:t>
      </w:r>
    </w:p>
    <w:p>
      <w:pPr>
        <w:pStyle w:val="SourceNote"/>
      </w:pPr>
      <w:r>
        <w:rPr>
          <w:b/>
        </w:rPr>
        <w:t>Available abstract (not full text):</w:t>
      </w:r>
      <w:r>
        <w:t xml:space="preserve"> In the last few years, graph neural networks (GNNs) have become the standard toolkit for analyzing and learning from data on graphs. This emerging field has witnessed an extensive growth of promising techniques that have been applied with success to computer science, mathematics, biology, physics and chemistry. But for any successful field to become mainstream and reliable, benchmarks must be developed to quantify progress. This led us in March 2020 to release a benchmark framework that i) comprises of a diverse collection of mathematical and real-world graphs, ii) enables fair model comparison with the same parameter budget to identify key architectures, iii) has an open-source, easy-to-use and reproducible code infrastructure, and iv) is flexible for researchers to experiment with new theoretical ideas. As of December 2022, the GitHub repository has reached 2,000 stars and 380 forks, which demonstrates the utility of the proposed open-source framework through the wide usage by the GNN community. In this paper, we present an updated version of our benchmark with a concise presentation of the aforementioned framework characteristics, an additional medium-sized molecular dataset AQSOL, similar to the popular ZINC, but with a real-world measured chemical target, and discuss how this framework can be leveraged to explore new GNN designs and insights. As a proof of value of our ben</w:t>
      </w:r>
    </w:p>
    <w:p>
      <w:pPr/>
      <w:r>
        <w:rPr>
          <w:b/>
        </w:rPr>
        <w:t>POSSIBLE 2019:</w:t>
      </w:r>
      <w:r>
        <w:t xml:space="preserve"> Europe since 1970 — https://doi.org/10.5040/9781474207775.0093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2019:</w:t>
      </w:r>
      <w:r>
        <w:t xml:space="preserve"> The European Union and Democratization in Central and Southeastern Europe since 1989 — https://doi.org/10.1017/9781108752466.021</w:t>
      </w:r>
    </w:p>
    <w:p>
      <w:pPr/>
      <w:r>
        <w:rPr>
          <w:b/>
        </w:rPr>
        <w:t>Shared claim-specific concepts:</w:t>
      </w:r>
      <w:r>
        <w:t xml:space="preserve"> since, governments, credible; EU scope visible. This is a provisional connection, not an outcome finding.</w:t>
      </w:r>
    </w:p>
    <w:p>
      <w:pPr>
        <w:pStyle w:val="SourceNote"/>
      </w:pPr>
      <w:r>
        <w:rPr>
          <w:b/>
        </w:rPr>
        <w:t>Available abstract (not full text):</w:t>
      </w:r>
      <w:r>
        <w:t xml:space="preserve">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pPr/>
      <w:r>
        <w:rPr>
          <w:b/>
        </w:rPr>
        <w:t>POSSIBLE 2018:</w:t>
      </w:r>
      <w:r>
        <w:t xml:space="preserve"> Europe since 1970 — https://doi.org/10.5040/9781474207775.093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2017:</w:t>
      </w:r>
      <w:r>
        <w:t xml:space="preserve"> Benchmarking Framework to Encourage Energy Efficiency Investments in South Europe. The Trust EPC South Approach — https://doi.org/10.1016/j.proenv.2017.03.125</w:t>
      </w:r>
    </w:p>
    <w:p>
      <w:pPr/>
      <w:r>
        <w:rPr>
          <w:b/>
        </w:rPr>
        <w:t>Shared claim-specific concepts:</w:t>
      </w:r>
      <w:r>
        <w:t xml:space="preserve"> all, since, order, national, large; EU scope visible. This is a provisional connection, not an outcome finding.</w:t>
      </w:r>
    </w:p>
    <w:p>
      <w:pPr>
        <w:pStyle w:val="SourceNote"/>
      </w:pPr>
      <w:r>
        <w:rPr>
          <w:b/>
        </w:rPr>
        <w:t>Available abstract (not full text):</w:t>
      </w:r>
      <w:r>
        <w:t xml:space="preserve"> The Energy Performance Contracting (EPC) market is still embryonic in South Europe since there are still many barriers: difficult access to financing, limited investors’ confidence in EPC models, scarcity of flagship projects, lack of certification schemes and financing mechanisms, especially for the tertiary sector (hospitality, tourism, healthcare), which presents a huge potential for Energy Efficiency (EE). The Trust EPC South project, funded by Horizon 2020 Research and Innovation Programme, aims to scale up investments in EE solutions in the private tertiary sector in South Europe, by delivering a robust investment standardization and benchmarking framework and a pipeline of bankable EPC projects in 6 countries (Portugal, Spain, France, Italy, Croatia and Greece); its results will eventually be extended to the Balkan. Tailored capacity building activities will allow an easier access to third-party financing, thus unlocking the large tertiary sector EE and Renewable Energy market potential. Initially, national market analyses took place (EPC providers, beneficiaries-clients, and financial institutions) to identify the market potential. National Discussion Platforms were set up to develop the national roadmaps addressing mechanisms for mitigation of policy, legal, and especially financial barriers. An investment standardization and benchmarking framework, built upon an estab</w:t>
      </w:r>
    </w:p>
    <w:p>
      <w:pPr/>
      <w:r>
        <w:rPr>
          <w:b/>
        </w:rPr>
        <w:t>POSSIBLE 2016:</w:t>
      </w:r>
      <w:r>
        <w:t xml:space="preserve"> Estimating HIV incidence and number of undiagnosed individuals living with HIV in the European Union/European Economic Area, 2015 — https://doi.org/10.2807/1560-7917.es.2016.21.48.30417</w:t>
      </w:r>
    </w:p>
    <w:p>
      <w:pPr/>
      <w:r>
        <w:rPr>
          <w:b/>
        </w:rPr>
        <w:t>Shared claim-specific concepts:</w:t>
      </w:r>
      <w:r>
        <w:t xml:space="preserve"> all, since, appears; EU scope visible. This is a provisional connection, not an outcome finding.</w:t>
      </w:r>
    </w:p>
    <w:p>
      <w:pPr>
        <w:pStyle w:val="SourceNote"/>
      </w:pPr>
      <w:r>
        <w:rPr>
          <w:b/>
        </w:rPr>
        <w:t>Available abstract (not full text):</w:t>
      </w:r>
      <w:r>
        <w:t xml:space="preserve"> Since 2011, human immunodeficiency virus (HIV) incidence appears unchanged in the European Union/European Economic Area with between 29,000 and 33,000 new cases reported annually up to 2015. Despite evidence that HIV diagnosis is occurring earlier post-infection, the estimated number of people living with HIV (PLHIV) who were unaware of being infected in 2015 was 122,000, or 15% of all PLHIV (n=810,000). This is concerning as such individuals cannot benefit from highly effective treatment and may unknowingly sustain transmission.</w:t>
      </w:r>
    </w:p>
    <w:p>
      <w:pPr>
        <w:pStyle w:val="Heading2"/>
      </w:pPr>
      <w:r>
        <w:t>997.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2026:</w:t>
      </w:r>
      <w:r>
        <w:t xml:space="preserve"> Clause Encounters of the Third Kind — https://doi.org/10.1093/9780198945215.003.0252</w:t>
      </w:r>
    </w:p>
    <w:p>
      <w:pPr/>
      <w:r>
        <w:rPr>
          <w:b/>
        </w:rPr>
        <w:t>Shared claim-specific concepts:</w:t>
      </w:r>
      <w:r>
        <w:t xml:space="preserve"> article, kind, capture; EU scope not established. This is a provisional connection, not an outcome finding.</w:t>
      </w:r>
    </w:p>
    <w:p>
      <w:pPr>
        <w:pStyle w:val="SourceNote"/>
      </w:pPr>
      <w:r>
        <w:rPr>
          <w:b/>
        </w:rPr>
        <w:t>Available abstract (not full text):</w:t>
      </w:r>
      <w:r>
        <w:t xml:space="preserve"> Abstract While various organizations now actively encourage large language model use in classrooms, we still lack rigorous, systematic evaluations of how well these models actually perform the fundamental tasks of language pedagogy. This article examines whether state-of-the-art large language models can deliver the kind of corrective feedback and methodological explanations that language learners need. The study tests multiple large language models on their ability to identify, correct, and explain common learner mistakes in English, by systematically varying model parameters to investigate how these technical adjustments affect output quality, pedagogical clarity, and consistency, along with using retrieval-augmented generation to query methodological data. The evaluation employs automated metrics (GLEU, BERTScore) but also human expert judgments to capture dimensions that purely computational measures miss: linguistic nuance, cultural sensitivity, and instructional appropriateness. While models demonstrate impressive surface-level correction abilities, their explanations often lack the terminological and domain knowledge that effective language teaching requires, suggesting that current enthusiasm for AI-assisted language learning may be outpacing our understanding of these systems’ actual pedagogical competence.</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r>
        <w:rPr>
          <w:b/>
        </w:rPr>
        <w:t>POSSIBLE 2019:</w:t>
      </w:r>
      <w:r>
        <w:t xml:space="preserve"> How to Explain Behavior? — https://doi.org/10.1111/tops.12480</w:t>
      </w:r>
    </w:p>
    <w:p>
      <w:pPr/>
      <w:r>
        <w:rPr>
          <w:b/>
        </w:rPr>
        <w:t>Shared claim-specific concepts:</w:t>
      </w:r>
      <w:r>
        <w:t xml:space="preserve"> article, kind, challenge; EU scope not established. This is a provisional connection, not an outcome finding.</w:t>
      </w:r>
    </w:p>
    <w:p>
      <w:pPr>
        <w:pStyle w:val="SourceNote"/>
      </w:pPr>
      <w:r>
        <w:rPr>
          <w:b/>
        </w:rPr>
        <w:t>Available abstract (not full text):</w:t>
      </w:r>
      <w:r>
        <w:t xml:space="preserve"> Unlike behaviorism, cognitive psychology relies on mental concepts to explain behavior. Yet mental processes are not directly observable and multiple explanations are possible, which poses a challenge for finding a useful framework. In this article, I distinguish three new frameworks for explanations that emerged after the cognitive revolution. The first is called tools-to-theories: Psychologists' new tools for data analysis, such as computers and statistics, are turned into theories of mind. The second proposes as-if theories: Expected utility theory and Bayesian statistics are turned into theories of mind, describing an optimal solution of a problem but not its psychological process. The third studies the adaptive toolbox (formal models of heuristics) that describes mental processes in situations of uncertainty where an optimal solution is unknown. Depending on which framework researchers choose, they will model behavior in either situations of risk or of uncertainty, and construct models of cognitive processes or not. The frameworks also determine what questions are asked and what kind of data are generated. What all three frameworks have in common, however, is a clear preference for formal models rather than explanations by general dichotomies or mere verbal concepts. The frameworks have considerable potential to inform each other and to generate points of integration.</w:t>
      </w:r>
    </w:p>
    <w:p>
      <w:pPr/>
      <w:r>
        <w:rPr>
          <w:b/>
        </w:rPr>
        <w:t>POSSIBLE 2012:</w:t>
      </w:r>
      <w:r>
        <w:t xml:space="preserve"> The ecological approach to visual perception and the actor performance captured in the gaming landscape — https://doi.org/10.1386/ap3.2.1-2.137_1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Abstract The use of Performance Capture techniques in the creation of games that involve Motion Capture is a relatively new phenomenon. To date, there is no prescribed methodology that prepares actors for the rigours of this new industry and as such there are many questions to be answered around how actors navigate these environments successfully when all available training and theoretical material is focused on performance for theatre and film. This article proposes that through a deployment of an ecological approach to visual perception we may begin to chart this territory for actors and begin to contend with the demands of performing for the motion captured gaming scenario.</w:t>
      </w:r>
    </w:p>
    <w:p>
      <w:pPr>
        <w:pStyle w:val="Heading2"/>
      </w:pPr>
      <w:r>
        <w:t>998.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r>
        <w:rPr>
          <w:b/>
        </w:rPr>
        <w:t>POSSIBLE 2022:</w:t>
      </w:r>
      <w:r>
        <w:t xml:space="preserve"> Comparison of drug prescribing before and during the COVID ‐19 pandemic: A cross‐national European study — https://doi.org/10.1002/pds.5509</w:t>
      </w:r>
    </w:p>
    <w:p>
      <w:pPr/>
      <w:r>
        <w:rPr>
          <w:b/>
        </w:rPr>
        <w:t>Shared claim-specific concepts:</w:t>
      </w:r>
      <w:r>
        <w:t xml:space="preserve"> purpose, aim, describe, use, five, methods; EU scope visible. This is a provisional connection, not an outcome finding.</w:t>
      </w:r>
    </w:p>
    <w:p>
      <w:pPr>
        <w:pStyle w:val="SourceNote"/>
      </w:pPr>
      <w:r>
        <w:rPr>
          <w:b/>
        </w:rPr>
        <w:t>Available abstract (not full text):</w:t>
      </w:r>
      <w:r>
        <w:t xml:space="preserve"> PURPOSE: The COVID-19 pandemic had an impact on health care, with disruption to routine clinical care. Our aim was to describe changes in prescription drugs dispensing in the primary and outpatient sectors during the first year of the pandemic across Europe. METHODS: We used routine administrative data on dispensed medicines in eight European countries (five whole countries, three represented by one region each) from January 2017 to March 2021 to compare the first year of the COVID-19 pandemic with the preceding 3 years. RESULTS: In the 10 therapeutic subgroups with the highest dispensed volumes across all countries/regions the relative changes between the COVID-19 period and the year before were mostly of a magnitude similar to changes between previous periods. However, for drugs for obstructive airway diseases the changes in the COVID-19 period were stronger in several countries/regions. In all countries/regions a decrease in dispensed DDDs of antibiotics for systemic use (from -39.4% in Romagna to -14.2% in Scotland) and nasal preparations (from -34.4% in Lithuania to -5.7% in Sweden) was observed. We observed a stockpiling effect in the total market in March 2020 in six countries/regions. In Czechia the observed increase was not significant and in Slovenia volumes increased only after the end of the first lockdown. We found an increase in average therapeutic quantity per pa</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purpose, describe, process, methods;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r>
        <w:rPr>
          <w:b/>
        </w:rPr>
        <w:t>POSSIBLE 2021:</w:t>
      </w:r>
      <w:r>
        <w:t xml:space="preserve"> General population normative data for the EQ-5D-3L in the five largest European economies — https://doi.org/10.1007/s10198-021-01326-9</w:t>
      </w:r>
    </w:p>
    <w:p>
      <w:pPr/>
      <w:r>
        <w:rPr>
          <w:b/>
        </w:rPr>
        <w:t>Shared claim-specific concepts:</w:t>
      </w:r>
      <w:r>
        <w:t xml:space="preserve"> aim, five, methods, used; EU scope visible. This is a provisional connection, not an outcome finding.</w:t>
      </w:r>
    </w:p>
    <w:p>
      <w:pPr>
        <w:pStyle w:val="SourceNote"/>
      </w:pPr>
      <w:r>
        <w:rPr>
          <w:b/>
        </w:rPr>
        <w:t>Available abstract (not full text):</w:t>
      </w:r>
      <w:r>
        <w:t xml:space="preserve">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pPr/>
      <w:r>
        <w:rPr>
          <w:b/>
        </w:rPr>
        <w:t>POSSIBLE 2020:</w:t>
      </w:r>
      <w:r>
        <w:t xml:space="preserve"> The Humanistic and Economic Burden of Migraine in Europe: A Cross-Sectional Survey in Five Countries — https://doi.org/10.1007/s40120-020-00196-2</w:t>
      </w:r>
    </w:p>
    <w:p>
      <w:pPr/>
      <w:r>
        <w:rPr>
          <w:b/>
        </w:rPr>
        <w:t>Shared claim-specific concepts:</w:t>
      </w:r>
      <w:r>
        <w:t xml:space="preserve"> aim, five, methods; EU scope visible. This is a provisional connection, not an outcome finding.</w:t>
      </w:r>
    </w:p>
    <w:p>
      <w:pPr>
        <w:pStyle w:val="SourceNote"/>
      </w:pPr>
      <w:r>
        <w:rPr>
          <w:b/>
        </w:rPr>
        <w:t>Available abstract (not full text):</w:t>
      </w:r>
      <w:r>
        <w:t xml:space="preserve"> INTRODUCTION: Prior studies have estimated the burden of migraine in patients suffering from ≥ 4 monthly headache days (MHDs), but the burden experienced by migraineurs suffering from one to three (1-3) MHDs is unknown. The aim of this study was to examine the incremental burden of migraine in terms of health-related quality of life (HRQoL), impairments to work and daily activities, and healthcare resource utilization (HRU) in five European countries (France, Germany, Italy, Spain, and the UK (EU5]), by comparing migraineurs with ≥ 4 MHDs and migraineurs with 1-3 MHDs. METHODS: The sample for this retrospective cross-sectional study was collected from the 2017 National Health and Wellness Survey (N = 62,000). The Short-Form 12-Item Health Survey Instrument, version-2 physical and mental component summary (PCS and MCS) scores, Short-Form 6-dimensions (SF-6D), EuroQoL 5-dimensions (EQ-5D) and EuroQoL visual analog scale (VAS) scores, impairments to work productivity and daily activities (Work Productivity and Activity Impairment [WPAI] Questionnaire) scores, and HRU were compared between migraineur groups with ≥ 4 MHDs (4-7, intermediate-frequency episodic migraine; 8-14, high-frequency episodic migraine; ≥ 15 chronic migraine) and the migraineur subgroup with 1-3 MHDs (low-frequency episodic migraine) using generalized linear modeling after adjusting for covariates. RESULTS: Dat</w:t>
      </w:r>
    </w:p>
    <w:p>
      <w:pPr/>
      <w:r>
        <w:rPr>
          <w:b/>
        </w:rPr>
        <w:t>POSSIBLE 2018:</w:t>
      </w:r>
      <w:r>
        <w:t xml:space="preserve"> European In-Situ Snow Measurements: Practices and Purposes — https://doi.org/10.3390/s18072016</w:t>
      </w:r>
    </w:p>
    <w:p>
      <w:pPr/>
      <w:r>
        <w:rPr>
          <w:b/>
        </w:rPr>
        <w:t>Shared claim-specific concepts:</w:t>
      </w:r>
      <w:r>
        <w:t xml:space="preserve"> describe, methods, range; EU scope visible. This is a provisional connection, not an outcome finding.</w:t>
      </w:r>
    </w:p>
    <w:p>
      <w:pPr>
        <w:pStyle w:val="SourceNote"/>
      </w:pPr>
      <w:r>
        <w:rPr>
          <w:b/>
        </w:rPr>
        <w:t>Available abstract (not full text):</w:t>
      </w:r>
      <w:r>
        <w:t xml:space="preserve"> In-situ snow measurements conducted by European institutions for operational, research, and energy business applications were surveyed in the framework of the European Cooperation in Science and Technology (COST) Action ES1404, called "A European network for a harmonised monitoring of snow for the benefit of climate change scenarios, hydrology, and numerical weather prediction". Here we present the results of this survey, which was answered by 125 participants from 99 operational and research institutions, belonging to 38 European countries. The typologies of environments where the snow measurements are performed range from mountain to low elevated plains, including forests, bogs, tundra, urban areas, glaciers, lake ice, and sea ice. Of the respondents, 93% measure snow macrophysical parameters, such as snow presence, snow depth (HS), snow water equivalent (SWE), and snow density. These describe the bulk characteristics of the whole snowpack or of a snow layer, and they are the primary snow properties that are needed for most operational applications (such as hydrological monitoring, avalanche forecast, and weather forecast). In most cases, these measurements are done with manual methods, although for snow presence, HS, and SWE, automatized methods are also applied by some respondents. Parameters characterizing precipitating and suspended snow (such as the height of new snow, p</w:t>
      </w:r>
    </w:p>
    <w:p>
      <w:pPr/>
      <w:r>
        <w:rPr>
          <w:b/>
        </w:rPr>
        <w:t>POSSIBLE 2018:</w:t>
      </w:r>
      <w:r>
        <w:t xml:space="preserve"> A longitudinal and comparative analysis of competitive balance in five European football leagues — https://doi.org/10.1108/tpm-09-2017-0055</w:t>
      </w:r>
    </w:p>
    <w:p>
      <w:pPr/>
      <w:r>
        <w:rPr>
          <w:b/>
        </w:rPr>
        <w:t>Shared claim-specific concepts:</w:t>
      </w:r>
      <w:r>
        <w:t xml:space="preserve"> purpose, five, design, methodology, approach; EU scope visible. This is a provisional connection, not an outcome finding.</w:t>
      </w:r>
    </w:p>
    <w:p>
      <w:pPr>
        <w:pStyle w:val="SourceNote"/>
      </w:pPr>
      <w:r>
        <w:rPr>
          <w:b/>
        </w:rPr>
        <w:t>Available abstract (not full text):</w:t>
      </w:r>
      <w:r>
        <w:t xml:space="preserve"> Purpose This paper aims to provide empirical evidence on competitive balance in the “big five” European football leagues, namely, the English Premier League, French Ligue 1, German Bundesliga, Italian Serie A and Spanish La Liga. Design/methodology/approach This paper uses recognised measures of competitive balance to measure levels of concentration (within-season competitive balance) and dominance (between-season competitive balance) in the selected leagues over 22 seasons between 1995/96 and 2016/17. Findings French Ligue 1 emerged as the most balanced league in terms of both concentration and dominance measures. The analysis also points to a statistically significant decline in competitive balance in all leagues apart from Serie A (Italy). Originality/value The findings of this study are of concern for the league organisers. Competition intensity is a key component of a sport league, and a league that is dominated by one or a select few clubs is less attractive within the marketplace. This paper presents challenges at the league governance level for the five leagues examined.</w:t>
      </w:r>
    </w:p>
    <w:p>
      <w:pPr/>
      <w:r>
        <w:rPr>
          <w:b/>
        </w:rPr>
        <w:t>POSSIBLE 2018:</w:t>
      </w:r>
      <w:r>
        <w:t xml:space="preserve"> Cereal yield gaps across Europe — https://doi.org/10.1016/j.eja.2018.09.003</w:t>
      </w:r>
    </w:p>
    <w:p>
      <w:pPr/>
      <w:r>
        <w:rPr>
          <w:b/>
        </w:rPr>
        <w:t>Shared claim-specific concepts:</w:t>
      </w:r>
      <w:r>
        <w:t xml:space="preserve"> use, approach, used; EU scope visible. This is a provisional connection, not an outcome finding.</w:t>
      </w:r>
    </w:p>
    <w:p>
      <w:pPr>
        <w:pStyle w:val="SourceNote"/>
      </w:pPr>
      <w:r>
        <w:rPr>
          <w:b/>
        </w:rPr>
        <w:t>Available abstract (not full text):</w:t>
      </w:r>
      <w:r>
        <w:t xml:space="preserve"> Europe accounts for around 20% of the global cereal production and is a net exporter of ca. 15% of that production. Increasing global demand for cereals justifies questions as to where and by how much Europe’s production can be increased to meet future global market demands, and how much additional nitrogen (N) crops would require. The latter is important as environmental concern and legislation are equally important as production aims in Europe. Here, we used a country-by-country, bottom-up approach to establish statistical estimates of actual grain yield, and compare these to modelled estimates of potential yields for either irrigated or rainfed conditions. In this way, we identified the yield gaps and the opportunities for increased cereal production for wheat, barley and maize, which represent 90% of the cereals grown in Europe. The combined mean annual yield gap of wheat, barley, maize was 239 Mt, or 42% of the yield potential. The national yield gaps ranged between 10 and 70%, with small gaps in many north-western European countries, and large gaps in eastern and south-western Europe. Yield gaps for rainfed and irrigated maize were consistently lower than those of wheat and barley. If the yield gaps of maize, wheat and barley would be reduced from 42% to 20% of potential yields, this would increase annual cereal production by 128 Mt (39%). Potential for higher cereal prod</w:t>
      </w:r>
    </w:p>
    <w:p>
      <w:pPr/>
      <w:r>
        <w:rPr>
          <w:b/>
        </w:rPr>
        <w:t>POSSIBLE 2017:</w:t>
      </w:r>
      <w:r>
        <w:t xml:space="preserve"> The search for an appropriate end-of-life formula for the purpose of the European Commission Environmental Footprint initiative — https://doi.org/10.1007/s11367-016-1244-0</w:t>
      </w:r>
    </w:p>
    <w:p>
      <w:pPr/>
      <w:r>
        <w:rPr>
          <w:b/>
        </w:rPr>
        <w:t>Shared claim-specific concepts:</w:t>
      </w:r>
      <w:r>
        <w:t xml:space="preserve"> purpose, aim, methods, approach; EU scope visible. This is a provisional connection, not an outcome finding.</w:t>
      </w:r>
    </w:p>
    <w:p>
      <w:pPr>
        <w:pStyle w:val="SourceNote"/>
      </w:pPr>
      <w:r>
        <w:rPr>
          <w:b/>
        </w:rPr>
        <w:t>Available abstract (not full text):</w:t>
      </w:r>
      <w:r>
        <w:t xml:space="preserve"> This paper explains in details the rationale behind the choice of the end-of-life allocation approach in the European Commission Product Environmental Footprint (PEF) and Organisational Environmental Footprint (OEF) methods. The end-of-life allocation formula in the PEF/OEF methods aims at enabling the assessment of all end-of-life scenarios possible, including recycling, reuse, incineration (with heat recovery) and disposal for both open- and closed-loop systems in a consistent and reproducible way. It presents how the formula builds on existing standards and how and why it deviates from them. Various end-of-life allocation approaches and formulas, mainly taken not only from/based on existing environmental impact assessment methods and/or standards but also one original linearly degressive approach, were analysed against a predetermined set of criteria, reflecting the overall aim of the PEF/OEF methods. This set of criteria is physical realism, distribution of burdens and benefits in a product cascade system and applicability. Besides the qualitative analysis, the various formulas were implemented for several products and for different scenarios regarding recycled content and recyclability to check the robustness of the outcomes, exemplary expressed for the Global Warming Potential impact category. As reaching physical realism was impossible at both the product and overall pro</w:t>
      </w:r>
    </w:p>
    <w:p>
      <w:pPr/>
      <w:r>
        <w:rPr>
          <w:b/>
        </w:rPr>
        <w:t>POSSIBLE 2017:</w:t>
      </w:r>
      <w:r>
        <w:t xml:space="preserve"> Regional differences in insulin therapy regimens in five European countries — https://doi.org/10.5414/cp202906</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AIMS: The purpose of this study was to investigate differences of insulin therapy regimens in five European countries. METHODS: Proportions of basal bolus therapy (intensified insulin therapy (ICT), basal insulin supported oral therapy (BOT), conventional therapy (CT), and short-acting prandial insulin (SIT) among insulin-treated diabetes patients in Germany (n = 64,055), the UK (n = 6,740), and France (n = 4,779) were estimated using representative general medicine practice databases (Disease Analyzer: 2014). Insulin regimens in Hungary (n = 40,769) and Poland (n = 68,136) were analyzed based on nationwide prescription databases (LRx: 2014). RESULTS: ICT was the most frequent insulin regimen (46 - 81%) in all countries except France (BOT &gt; ICT). SIT showed the lowest use, ranging from 2.5% in the UK to 11.2% in Germany. BOT was more frequently used than CT in Germany and Hungary, which was just the opposite in the UK and Poland. The share of insulin analogs among all prescriptions was higher in Germany, the UK, and France (short-acting insulins: 59 - 98%; basal insulins: 70 - 93%) than in Hungary and Poland (short-acting insulins: 41 - 57%; basal insulins: 23 - 46%) (all p &lt; 0.001). CONCLUSIONS: Despite national and international guidelines, insulin regimens differ substantially between European countries. Our results most likely reflect differences in regulations and reimburs</w:t>
      </w:r>
    </w:p>
    <w:p>
      <w:pPr>
        <w:pStyle w:val="Heading2"/>
      </w:pPr>
      <w:r>
        <w:t>999.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2026:</w:t>
      </w:r>
      <w:r>
        <w:t xml:space="preserve"> Developing Wholesome Intention Through the Four Right Efforts (Sammappadhāna) — https://openalex.org/W7220616391</w:t>
      </w:r>
    </w:p>
    <w:p>
      <w:pPr/>
      <w:r>
        <w:rPr>
          <w:b/>
        </w:rPr>
        <w:t>Shared claim-specific concepts:</w:t>
      </w:r>
      <w:r>
        <w:t xml:space="preserve"> findings, four, particular; EU scope not established. This is a provisional connection, not an outcome finding.</w:t>
      </w:r>
    </w:p>
    <w:p>
      <w:pPr>
        <w:pStyle w:val="SourceNote"/>
      </w:pPr>
      <w:r>
        <w:rPr>
          <w:b/>
        </w:rPr>
        <w:t>Available abstract (not full text):</w:t>
      </w:r>
      <w:r>
        <w:t xml:space="preserve"> This mixed-methods action research study examined the development of wholesome intention among student volunteers at the International Buddhist Studies College (IBSC), with particular attention to volunteer fatigue, expectation-related distress, and intention–behavior consistency. The study had three objectives: (1) to identify current challenges affecting wholesome intention among IBSC student volunteers; (2) to develop a structured cultivation process based on the Four Right Efforts (Sammappadhāna); and (3) to evaluate preliminary changes following the intervention. The research proceeded in three phases. First, semi-structured interviews were conducted with 15 expert informants from Buddhist studies, psychology/mindfulness, volunteer management, and field practice. Second, the qualitative findings informed development of a 12-session iDANA training program integrating the Four Right Efforts with selected cognitive-behavioral tools, including the STOP technique and a 4C Response process. Third, 15 IBSC student volunteers completed a single-group pre-test/post-test evaluation using the 12-item Questionnaire-XJ. Qualitative findings highlighted tension between wholesome aspiration (chanda) and rigid, outcome-dependent expectation (taṇhā) as a recurring challenge in volunteer service. Quantitative results showed significant pre–post improvement on several questionnaire items, in</w:t>
      </w:r>
    </w:p>
    <w:p>
      <w:pPr/>
      <w:r>
        <w:rPr>
          <w:b/>
        </w:rPr>
        <w:t>POSSIBLE 2026:</w:t>
      </w:r>
      <w:r>
        <w:t xml:space="preserve"> Developing a Four-Tier Concept Test on the Topic of Matter for Middle School Students — https://doi.org/10.55549/jeseh.885</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In this study, a four-tier concept test was developed to determine the conceptual understanding and misconceptions of 8th-grade middle school students regarding the topic of matter. The Matter Concept Test (MCT) was prepared with 16 items, each consisting of four steps, and applied to 175 eighth-grade students studying in Eskişehir. SPSS, Excel, and Factor statistical programs were used to analyze the data. According to the results of the exploratory factor analysis, the test's KMO value was found to be .652, exhibiting a four-factor structure with eigenvalues above one and explaining 42.4% of the total variance. All factor loadings were above .30, supporting the construct validity of the items. In the reliability analysis, the KR-20 coefficient for the scientific knowledge score was 0.816, and the KR-20 coefficient for the misconception score was 0.743. Both values being above .70 indicate that the test is reliable. Furthermore, the false positive average was calculated to be 5.2%, and the false negative average was calculated to be 3.7%. Both ratios being below the 10% threshold specified in the literature support the validity of the test. When the item difficulty and discrimination indices were examined, it was seen that the test consisted of items of medium difficulty and high discrimination. The findings showed that students had clear misconceptions about pure matters, ato</w:t>
      </w:r>
    </w:p>
    <w:p>
      <w:pPr/>
      <w:r>
        <w:rPr>
          <w:b/>
        </w:rPr>
        <w:t>POSSIBLE 2025:</w:t>
      </w:r>
      <w:r>
        <w:t xml:space="preserve"> The biophysical economic structure of four developed countries: Lessons for decarbonization — https://doi.org/10.1111/jiec.70062</w:t>
      </w:r>
    </w:p>
    <w:p>
      <w:pPr/>
      <w:r>
        <w:rPr>
          <w:b/>
        </w:rPr>
        <w:t>Shared claim-specific concepts:</w:t>
      </w:r>
      <w:r>
        <w:t xml:space="preserve"> findings, four, developed, particular; EU scope visible. This is a provisional connection, not an outcome finding.</w:t>
      </w:r>
    </w:p>
    <w:p>
      <w:pPr>
        <w:pStyle w:val="SourceNote"/>
      </w:pPr>
      <w:r>
        <w:rPr>
          <w:b/>
        </w:rPr>
        <w:t>Available abstract (not full text):</w:t>
      </w:r>
      <w:r>
        <w:t xml:space="preserve"> Abstract This study provides a comparative analysis of the biophysical economic structures of four developed economies—Sweden, the United States, the United Kingdom, and Canada. We draw upon results from input–output models to map and analyze capital, energy, and carbon relationships in each economy. The capital stock of each country is divided into four sectors: (i) energy production and distribution, (ii) production of goods and services for consumption, (iii) residential, and (iv) construction and manufacture of capital. The findings reveal diverse strengths and challenges in decarbonization efforts across the countries. Sweden excels in “energy production and distribution” and “residential” sectors, owing to its commitment to renewable energy and energy efficiency, but requires attention in goods and services production where carbon intensity is high. The United Kingdom stands out for its high greenhouse gas intensity in residential capital stock and in the consumption of goods and services, underscoring the need for targeted low‐carbon investments. The United States and Canada display high GHG intensities across all sectors, necessitating a more robust transition toward renewable and low‐carbon energy solutions. In particular, the United States’ carbon intensity in its energy sector and Canada's industry dominated by fossil fuel extraction offer specific areas for interven</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2024:</w:t>
      </w:r>
      <w:r>
        <w:t xml:space="preserve"> A Comparison Study of Risk-based Auditing in Four Developed Countries — https://doi.org/10.58458/ipnj.v.14.01.02.0100</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2024:</w:t>
      </w:r>
      <w:r>
        <w:t xml:space="preserve"> A Comparison Study of Risk-based Auditing in Four Developed Countries — https://doi.org/10.58458/ipnj.v.14.01.03.0101</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2024:</w:t>
      </w:r>
      <w:r>
        <w:t xml:space="preserve"> A Comparison Study of Risk-based Auditing in Four Developed Countries — https://doi.org/10.58458/ipnj.v.14.03.0101</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2023:</w:t>
      </w:r>
      <w:r>
        <w:t xml:space="preserve"> How to develop four competencies for teacher educators — https://doi.org/10.3389/feduc.2023.1147143</w:t>
      </w:r>
    </w:p>
    <w:p>
      <w:pPr/>
      <w:r>
        <w:rPr>
          <w:b/>
        </w:rPr>
        <w:t>Shared claim-specific concepts:</w:t>
      </w:r>
      <w:r>
        <w:t xml:space="preserve"> findings, four, education; EU scope not established. This is a provisional connection, not an outcome finding.</w:t>
      </w:r>
    </w:p>
    <w:p>
      <w:pPr>
        <w:pStyle w:val="SourceNote"/>
      </w:pPr>
      <w:r>
        <w:rPr>
          <w:b/>
        </w:rPr>
        <w:t>Available abstract (not full text):</w:t>
      </w:r>
      <w:r>
        <w:t xml:space="preserve"> Understanding competencies and the process of acquiring them contributes to a shared set of essential abilities for teacher educators’ professional development. Practical experiences of practitioners expose which competencies the work context requires them to possess and situations in which their learning is conducted. The necessity for essential contextual competency is pressing, particularly for teacher educators working in developing countries where teacher education has undergone reforms to respond to national and international demands. This study explores competencies for teacher educators in Vietnam through in-depth interviews with experienced practitioners and their visual metaphors. Eight participants with working experience ranging from 6 to 26 years were interviewed for 60–180 min during January–April 2021. The results reveal four competency areas of (1) knowledge and skills consisting of (a) teaching skill, (b) subject content, (c) scientific and subject-related information, (d) the reality of education and multidisciplinary knowledge, (e) research procedural knowledge, (f) collaboration with others, and (g) English language; (2) ethical manner; (3) motivation; and (4) self-reflection about personal values. Professional development includes learning from and working with others, learning in organized courses, conducting independent and collaborative research, and oth</w:t>
      </w:r>
    </w:p>
    <w:p>
      <w:pPr/>
      <w:r>
        <w:rPr>
          <w:b/>
        </w:rPr>
        <w:t>POSSIBLE 2023:</w:t>
      </w:r>
      <w:r>
        <w:t xml:space="preserve"> Characterization of four commercial waxy wheats developed in China — https://doi.org/10.1002/cche.10687</w:t>
      </w:r>
    </w:p>
    <w:p>
      <w:pPr/>
      <w:r>
        <w:rPr>
          <w:b/>
        </w:rPr>
        <w:t>Shared claim-specific concepts:</w:t>
      </w:r>
      <w:r>
        <w:t xml:space="preserve"> findings, four, developed, higher; EU scope not established. This is a provisional connection, not an outcome finding.</w:t>
      </w:r>
    </w:p>
    <w:p>
      <w:pPr>
        <w:pStyle w:val="SourceNote"/>
      </w:pPr>
      <w:r>
        <w:rPr>
          <w:b/>
        </w:rPr>
        <w:t>Available abstract (not full text):</w:t>
      </w:r>
      <w:r>
        <w:t xml:space="preserve"> Abstract Background and Objectives As the interest in use of waxy wheat in food applications continues to grow, it is important to fully understand characteristics of waxy wheats. To the best of our knowledge, there was no previous study reporting a complete characterization of commercial waxy wheats developed in China, especially properties of wheat kernels, dough, wet milling, gluten, and starch. To promote the industrial utilization of waxy wheat, four Chinese commercial waxy wheats were collected and characterized. Findings Four commercial waxy wheats commercialized in China were sound medium hard wheats. Care must be taken during harvesting and storage of waxy wheats since the waxy wheat flours were very sensitive to the endogenous α‐amylase even at a very low level of enzyme activity. Rapid viscosity analyzer had a good potential for evaluating the sprout damage of waxy wheat. Dough rheological properties and gluten index showed that the four waxy wheats had weak gluten quality, agreeing with wet‐milling performance. The waxy wheat starches had higher onset, peak, and conclusion gelatinization temperatures than normal wheat starch. While the waxy wheat starches showed lower pasting temperature and higher peak viscosity than normal wheat starch. Conclusions Results suggested that the four commercial waxy wheats varied in kernel characteristics, protein and starch contents,</w:t>
      </w:r>
    </w:p>
    <w:p>
      <w:pPr/>
      <w:r>
        <w:rPr>
          <w:b/>
        </w:rPr>
        <w:t>POSSIBLE 2023:</w:t>
      </w:r>
      <w:r>
        <w:t xml:space="preserve"> Four ways blue foods can help achieve food system ambitions across nations — https://doi.org/10.1038/s41586-023-05737-x</w:t>
      </w:r>
    </w:p>
    <w:p>
      <w:pPr/>
      <w:r>
        <w:rPr>
          <w:b/>
        </w:rPr>
        <w:t>Shared claim-specific concepts:</w:t>
      </w:r>
      <w:r>
        <w:t xml:space="preserve"> findings, four, help, people, south; EU scope not established. This is a provisional connection, not an outcome finding.</w:t>
      </w:r>
    </w:p>
    <w:p>
      <w:pPr>
        <w:pStyle w:val="SourceNote"/>
      </w:pPr>
      <w:r>
        <w:rPr>
          <w:b/>
        </w:rPr>
        <w:t>Available abstract (not full text):</w:t>
      </w:r>
      <w:r>
        <w:t xml:space="preserve"> Abstract Blue foods, sourced in aquatic environments, are important for the economies, livelihoods, nutritional security and cultures of people in many nations. They are often nutrient rich1, generate lower emissions and impacts on land and water than many terrestrial meats2, and contribute to the health3, wellbeing and livelihoods of many rural communities4. The Blue Food Assessment recently evaluated nutritional, environmental, economic and justice dimensions of blue foods globally. Here we integrate these findings and translate them into four policy objectives to help realize the contributions that blue foods can make to national food systems around the world: ensuring supplies of critical nutrients, providing healthy alternatives to terrestrial meat, reducing dietary environmental footprints and safeguarding blue food contributions to nutrition, just economies and livelihoods under a changing climate. To account for how context-specific environmental, socio-economic and cultural aspects affect this contribution, we assess the relevance of each policy objective for individual countries, and examine associated co-benefits and trade-offs at national and international scales. We find that in many African and South American nations, facilitating consumption of culturally relevant blue food, especially among nutritionally vulnerable population segments, could address vitamin B12a</w:t>
      </w:r>
    </w:p>
    <w:p>
      <w:pPr/>
      <w:r>
        <w:rPr>
          <w:b/>
        </w:rPr>
        <w:t>POSSIBLE 2023:</w:t>
      </w:r>
      <w:r>
        <w:t xml:space="preserve"> Current Antibiotic Use Among Hospitals in the sub-Saharan Africa Region; Findings and Implications — https://doi.org/10.2147/idr.s398223</w:t>
      </w:r>
    </w:p>
    <w:p>
      <w:pPr/>
      <w:r>
        <w:rPr>
          <w:b/>
        </w:rPr>
        <w:t>Shared claim-specific concepts:</w:t>
      </w:r>
      <w:r>
        <w:t xml:space="preserve"> findings, region, longer, south; EU scope not established. This is a provisional connection, not an outcome finding.</w:t>
      </w:r>
    </w:p>
    <w:p>
      <w:pPr>
        <w:pStyle w:val="SourceNote"/>
      </w:pPr>
      <w:r>
        <w:rPr>
          <w:b/>
        </w:rPr>
        <w:t>Available abstract (not full text):</w:t>
      </w:r>
      <w:r>
        <w:t xml:space="preserve"> Background: The rapid rise in antimicrobial resistance (AMR) globally, impacting on morbidity, mortality and costs with sub-Saharan African countries reporting the greatest burden is a concern. Instigation of antimicrobial stewardship programs (ASPs) can improve antibiotic use in hospitals and reduce AMR. Implementing ASPs requires knowledge of antibiotic utilization against agreed quality indicators with the data obtained from point prevalence surveys (PPS), hence the need to document antibiotic utilization patterns in sub-Saharan Africa. Methods: A narrative review to document current utilization patterns, challenges, indicators and ASPs across sub-Saharan Africa based on previous reviews by the authors, supplemented by the considerable knowledge and experience of the co-authors. Results: Results from multiple PPS studies showed a high prevalence of antibiotic use among hospitals, mostly over 50%. Prevalence rates ranged from as low as 37.7% in South Africa to as high as 80.1% in Nigeria. There was also considerable prescribing of broad-spectrum antibiotics which could be due to lack of facilities within hospitals, alongside concerns with co-payments to perform microbiological tests, resulting in empiric prescribing. This is a concern alongside lack of guidelines or adherence to guidelines, which was as low as 4% in one study. Another concern was the high rates of extended pr</w:t>
      </w:r>
    </w:p>
    <w:p>
      <w:pPr>
        <w:pStyle w:val="Heading2"/>
      </w:pPr>
      <w:r>
        <w:t>1000.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2023:</w:t>
      </w:r>
      <w:r>
        <w:t xml:space="preserve"> The End of Life of PV Systems: Is Europe Ready for It? — https://doi.org/10.3390/su152316466</w:t>
      </w:r>
    </w:p>
    <w:p>
      <w:pPr/>
      <w:r>
        <w:rPr>
          <w:b/>
        </w:rPr>
        <w:t>Shared claim-specific concepts:</w:t>
      </w:r>
      <w:r>
        <w:t xml:space="preserve"> number, reach, countries; EU scope visible. This is a provisional connection, not an outcome finding.</w:t>
      </w:r>
    </w:p>
    <w:p>
      <w:pPr>
        <w:pStyle w:val="SourceNote"/>
      </w:pPr>
      <w:r>
        <w:rPr>
          <w:b/>
        </w:rPr>
        <w:t>Available abstract (not full text):</w:t>
      </w:r>
      <w:r>
        <w:t xml:space="preserve"> Abstract: Like other plants, every PV power plant will one day reach the end of its service life. Calculations show that 20,400 tons of PV waste will be generated worldwide by 2030 and 60.2 million tons by 2050, not including the mass of the support structure. Such large amounts of waste pose a potential threat to the environment and people if not properly managed. The paper analysed the options for dealing with PV waste, namely reuse, recycling and landfilling. For recycling as the best option in terms of environmental protection and circular economy, an overview of recycling technologies and the percentage of achievable recycling for the materials contained in each PV system component is given. In addition, the current situation of legislation and recycling of PV modules in Europe was examined with special reference to the Balkan countries. There are a small number of factories for recycling PV modules in Europe, but none in the Balkan countries. The main reason for this is the small amount of PV waste in these countries and consequently the economic unprofitability. For this reason, PV modules (after dismantling the aluminum frame and cables) are mostly disposed of as non-hazardous waste in landfills in these countries. Finally, the main barriers to faster implementation of PV module reuse and recycling are listed, along with guidelines for their removal. The cost of recycli</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2020:</w:t>
      </w:r>
      <w:r>
        <w:t xml:space="preserve"> Lead contamination in raptors in Europe: A systematic review and meta-analysis — https://doi.org/10.1016/j.scitotenv.2020.141437</w:t>
      </w:r>
    </w:p>
    <w:p>
      <w:pPr/>
      <w:r>
        <w:rPr>
          <w:b/>
        </w:rPr>
        <w:t>Shared claim-specific concepts:</w:t>
      </w:r>
      <w:r>
        <w:t xml:space="preserve"> number, exposure, countries; EU scope visible. This is a provisional connection, not an outcome finding.</w:t>
      </w:r>
    </w:p>
    <w:p>
      <w:pPr>
        <w:pStyle w:val="SourceNote"/>
      </w:pPr>
      <w:r>
        <w:rPr>
          <w:b/>
        </w:rPr>
        <w:t>Available abstract (not full text):</w:t>
      </w:r>
      <w:r>
        <w:t xml:space="preserve"> Lead contamination is a widely recognised conservation problem for raptors worldwide. There are a number of studies in individual raptor species but those data have not been systematically evaluated to understand raptor-wide lead exposure and effects at a pan-European scale. To critically assess the extent of this problem, we performed a systematic review compiling all published data on lead in raptors (1983-2019) and, through a meta-analysis, determined if there was evidence for differences in exposure across feeding traits, geographical regions, between hunting and non-hunting periods, and changes over time. We also reviewed the impact of lead on raptors and the likely main source of exposure. We examined 114 studies that were unevenly distributed in terms of time of publication and the countries in which studies were performed. Peer-reviewed articles reported data for 39 raptor species but very few species were widely monitored across Europe. Obligate (vultures) and facultative scavengers (golden eagle, common buzzard and white-tailed sea eagle) accumulated the highest lead concentrations in tissues and generally were the species most at risk of lead poisoning. We found no evidence of a spatial or decadal trend in lead residues, but we demonstrated that high lead blood levels relate to hunting season. Exposure at levels associated with both subclinical and lethal effects is </w:t>
      </w:r>
    </w:p>
    <w:p>
      <w:pPr/>
      <w:r>
        <w:rPr>
          <w:b/>
        </w:rPr>
        <w:t>POSSIBLE 2020:</w:t>
      </w:r>
      <w:r>
        <w:t xml:space="preserve"> How might landscapes be better designed to accommodate increasing cremation practices in Europe? — https://doi.org/10.3097/lo.202087</w:t>
      </w:r>
    </w:p>
    <w:p>
      <w:pPr/>
      <w:r>
        <w:rPr>
          <w:b/>
        </w:rPr>
        <w:t>Shared claim-specific concepts:</w:t>
      </w:r>
      <w:r>
        <w:t xml:space="preserve"> countries, italy, slovakia; EU scope visible. This is a provisional connection, not an outcome finding.</w:t>
      </w:r>
    </w:p>
    <w:p>
      <w:pPr>
        <w:pStyle w:val="SourceNote"/>
      </w:pPr>
      <w:r>
        <w:rPr>
          <w:b/>
        </w:rPr>
        <w:t>Available abstract (not full text):</w:t>
      </w:r>
      <w:r>
        <w:t xml:space="preserve"> Death is one of those universal parameters of life, yet very little attention is given to it in neither the work of planning practitioners nor that of landscape research. During the 19th and 20th century’s many Western societies turned to cremation as a more sanitary, less costly and space saving way of human disposal. This paper highlights the cemeteries and crematoria as two types of facilities associated with cremation practices in Poland and in selected European countries. On the basis of analyses of contemporary funerary landscapes for cremation practices from Europe (31 objects from 9 countries) a catalog (‚pattern book‘) of design solutions was developed. Countries were selected on the basis of similarity to Poland in the aspect of the dominant religion (Austria, France, Italy, Slovakia, Slovenia), convergent provisions of cemetery and funeral law (Austria, Denmark, France, Germany, Slovenia, Sweden), and index of average population served by 1 crematorium (Belgium). Moreover, assessment of Polish contemporary places for cremation (39 objects) was developed. To strengthen the multifaceted meaning of funerary landscape and to link it more with the landscape, design considerations and potential outcomes for improved cemetery design accommodating cremation practices and burial was developed. The funerary landscape is defined as a specific type of landscape that focuses on t</w:t>
      </w:r>
    </w:p>
    <w:p>
      <w:pPr/>
      <w:r>
        <w:rPr>
          <w:b/>
        </w:rPr>
        <w:t>POSSIBLE 2019:</w:t>
      </w:r>
      <w:r>
        <w:t xml:space="preserve"> Building and indoor environmental quality assessment of Nigerian primary schools: A pilot study — https://doi.org/10.1111/ina.12547</w:t>
      </w:r>
    </w:p>
    <w:p>
      <w:pPr/>
      <w:r>
        <w:rPr>
          <w:b/>
        </w:rPr>
        <w:t>Shared claim-specific concepts:</w:t>
      </w:r>
      <w:r>
        <w:t xml:space="preserve"> incinerators, moderately, cases; EU scope not established. This is a provisional connection, not an outcome finding.</w:t>
      </w:r>
    </w:p>
    <w:p>
      <w:pPr>
        <w:pStyle w:val="SourceNote"/>
      </w:pPr>
      <w:r>
        <w:rPr>
          <w:b/>
        </w:rPr>
        <w:t>Available abstract (not full text):</w:t>
      </w:r>
      <w:r>
        <w:t xml:space="preserve"> A total of 15 classrooms went through on-site assessments/inspections, including measurements of temperature (T), and concentrations of carbon monoxide (CO) and carbon dioxide (CO2). In addition, the level of surface biocontamination/cleaning effectiveness was assessed by measuring adenosine triphosphate (ATP) levels on students' desks. Based on the data, the quality of facilities in the buildings was low. Classroom occupancy exceeded ASHRAE 50 person/100 m2 standard in all cases indicating overcrowding. However, concentrations of CO2 remained below 1000 ppm in most classrooms. On the other hand, indoor T was above the recommended levels for thermal comfort in all classrooms. Maximum indoor CO was 6 ppm. Median ATP concentrations on the desk tops were moderately high in all schools. The use of open incinerators and power generator sets near classrooms, which was suspected to be the main source of CO, should be discouraged. Improved hygiene could be achieved by providing the students access to functioning bathroom facilities and cafeteria, and by effective cleaning of high contact surfaces such as desks. Although ventilation seems adequate based on CO2 concentrations, thermal comfort was not attained especially in the afternoon during extreme sunlight. Therefore, installing passive and/or mechanical cooling systems should be considered in this regard.</w:t>
      </w:r>
    </w:p>
    <w:p>
      <w:pPr/>
      <w:r>
        <w:rPr>
          <w:b/>
        </w:rPr>
        <w:t>POSSIBLE 2018:</w:t>
      </w:r>
      <w:r>
        <w:t xml:space="preserve"> Automotive trace metal concentrations on the South African national road (N3) and its impact on the environment. — https://openalex.org/W3014058070</w:t>
      </w:r>
    </w:p>
    <w:p>
      <w:pPr/>
      <w:r>
        <w:rPr>
          <w:b/>
        </w:rPr>
        <w:t>Shared claim-specific concepts:</w:t>
      </w:r>
      <w:r>
        <w:t xml:space="preserve"> moderately, due, countries; EU scope not established. This is a provisional connection, not an outcome finding.</w:t>
      </w:r>
    </w:p>
    <w:p>
      <w:pPr>
        <w:pStyle w:val="SourceNote"/>
      </w:pPr>
      <w:r>
        <w:rPr>
          <w:b/>
        </w:rPr>
        <w:t>Available abstract (not full text):</w:t>
      </w:r>
      <w:r>
        <w:t xml:space="preserve"> The environment is currently experiencing the negative effects of globalisation and unsustainable development with environmentally harmful activities increasing at an alarming rate in South Africa and other developing countries. This is due to these countries circumventing the implementation of environmental policies against foreign investors, such as vehicle manufacturers and chemical industries, to allow for a reduction in fiscal austerity by increasing the gross domestic product. The effects of these activities have a greater impact on the environment and population of developing nations than developed ones. Heavy metal contamination is one of the major concerns related to vehicle manufacturers and toxic chemical industries in terms of environmental management. The aim of this research was to assess the impact of vehicle pollution along the South African National Road (N3) between Durban and Hilton as it is one of the major transportation routes from the harbour. The elemental concentrations in the leaves of Bidens pilosa, that are picked and cooked by communities that live along the roadside, were investigated. The concentrations of thirteen elements were selectively investigated to determine the impact of soil quality on elemental uptake by vegetation and to assess for potential metal toxicities. Soil was evaluated for metal pollution by calculation of geo-accumulation ind</w:t>
      </w:r>
    </w:p>
    <w:p>
      <w:pPr/>
      <w:r>
        <w:rPr>
          <w:b/>
        </w:rPr>
        <w:t>POSSIBLE 2015:</w:t>
      </w:r>
      <w:r>
        <w:t xml:space="preserve"> Modelling the Potential Biogas Productivity Range from a MSW Landfill for Its Sustainable Exploitation — https://doi.org/10.3390/su7010482</w:t>
      </w:r>
    </w:p>
    <w:p>
      <w:pPr/>
      <w:r>
        <w:rPr>
          <w:b/>
        </w:rPr>
        <w:t>Shared claim-specific concepts:</w:t>
      </w:r>
      <w:r>
        <w:t xml:space="preserve"> then, countries, italy; EU scope visible. This is a provisional connection, not an outcome finding.</w:t>
      </w:r>
    </w:p>
    <w:p>
      <w:pPr>
        <w:pStyle w:val="SourceNote"/>
      </w:pPr>
      <w:r>
        <w:rPr>
          <w:b/>
        </w:rPr>
        <w:t>Available abstract (not full text):</w:t>
      </w:r>
      <w:r>
        <w:t xml:space="preserve"> A model of biogas generation was modified and applied to the case of a sanitary landfill in Italy. The modifications considered the role of the temperature field normally established within each layer of waste. It must be pointed out the temperature affects the anaerobic biodegradation kinetics. In order to assess the effect of moisture on the waste biodegradation rate, on the bacteria process and then on the methane production, the model was compared with the LandGEM one. Information on the initial water content came from data concerning waste composition. No additional information about the hydrological balance was available. Thus, nine sets of kinetic constants, derived by literature, were adopted for the simulations. Results showed a significant variability of the maximal hourly biogas flows on a yearly basis, with consequences for the collectable amount during the operating period of a hypothetical engine. The approach is a useful tool to assess the lowest and highest biogas productivity in order to analyze the viability of biogas exploitation for energy purposes. This is useful also in countries that must plan for biogas exploitation from old and new landfills, as a consequence of developments in the waste sector.</w:t>
      </w:r>
    </w:p>
    <w:p>
      <w:pPr/>
      <w:r>
        <w:rPr>
          <w:b/>
        </w:rPr>
        <w:t>POSSIBLE 2013:</w:t>
      </w:r>
      <w:r>
        <w:t xml:space="preserve"> Maintenance strategies and local impact of MSW incinerators — https://doi.org/10.2495/esus130201</w:t>
      </w:r>
    </w:p>
    <w:p>
      <w:pPr/>
      <w:r>
        <w:rPr>
          <w:b/>
        </w:rPr>
        <w:t>Shared claim-specific concepts:</w:t>
      </w:r>
      <w:r>
        <w:t xml:space="preserve"> incinerators, italy; EU scope visible. This is a provisional connection, not an outcome finding.</w:t>
      </w:r>
    </w:p>
    <w:p>
      <w:pPr>
        <w:pStyle w:val="SourceNote"/>
      </w:pPr>
      <w:r>
        <w:rPr>
          <w:b/>
        </w:rPr>
        <w:t>Available abstract (not full text):</w:t>
      </w:r>
      <w:r>
        <w:t xml:space="preserve"> The present paper gives a contribution to the understanding of the effects of variations in maintenance scheduling on the environmental impact of municipal solid waste incinerators.The proposed approach allows a vision of their impact beyond the conventional balances.The characteristics of a selected case study were put forward and discussed.A plant proposed for a region in the North East of Italy was chosen for the scheduling effects analysis because of the long period of non-operation of each waste treatment line: 3 months per year as requested from the local environmental protection agency.The following effects were discussed on a yearly basis: maintenance stop fractionation, maintenance stop lasting, maintenance stop seasonal scheduling; the last aspect was discussed also at device level.The extreme scenario of seasonal stop gave the opportunity of assessing the highest reduction of yearly average impact from the stack, varying the season of maintenance: a reduction up to 23% could be obtained for the pollutants concentration contribution at ground level in the area of highest impact, comparing the worst case with the best case by a diffusive model.In the case of more common periods of stops for maintenance the reduction would be lower.The role of district heating must be taken into account too.</w:t>
      </w:r>
    </w:p>
    <w:p>
      <w:pPr/>
      <w:r>
        <w:rPr>
          <w:b/>
        </w:rPr>
        <w:t>POSSIBLE 2013:</w:t>
      </w:r>
      <w:r>
        <w:t xml:space="preserve"> The ultimate sacrifice : a comparative study of self-immolation as a tactic of political protest in India and South Korea. — https://doi.org/10.18297/etd/508</w:t>
      </w:r>
    </w:p>
    <w:p>
      <w:pPr/>
      <w:r>
        <w:rPr>
          <w:b/>
        </w:rPr>
        <w:t>Shared claim-specific concepts:</w:t>
      </w:r>
      <w:r>
        <w:t xml:space="preserve"> moderately, three; EU scope not established. This is a provisional connection, not an outcome finding.</w:t>
      </w:r>
    </w:p>
    <w:p>
      <w:pPr>
        <w:pStyle w:val="SourceNote"/>
      </w:pPr>
      <w:r>
        <w:rPr>
          <w:b/>
        </w:rPr>
        <w:t>Available abstract (not full text):</w:t>
      </w:r>
      <w:r>
        <w:t xml:space="preserve"> In recent years, self-immolation has become a pervasive tactic of political protest. To this point, however, it has been unclear why self-immolation has become so widely employed, calling into question the social and political efficacy of the tactic. The purpose of this thesis is to determine self-immolation's impact on three target groups: the core, the periphery, and the political system. In doing so, I conduct a comparative study of India's anti-reservation movement and South Korea's pro-democracy movement, both of which experienced high frequencies of self-immolation. I demonstrate that while self-immolation was ineffective at mobilizing the core and only moderately effective at mobilizing the periphery and initiating political change, in South Korea, self-immolation was highly effective on all three groups. I argue that the differences in efficacy can be attributed to variations in social structure, political culture, issue diffusion, and institutional access to the political system.</w:t>
      </w:r>
    </w:p>
    <w:p>
      <w:pPr>
        <w:pStyle w:val="Heading2"/>
      </w:pPr>
      <w:r>
        <w:t>1001.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2024:</w:t>
      </w:r>
      <w:r>
        <w:t xml:space="preserve"> An Informative Review of Radiomics Studies on Cancer Imaging: The Main Findings, Challenges and Limitations of the Methodologies — https://doi.org/10.3390/curroncol31010027</w:t>
      </w:r>
    </w:p>
    <w:p>
      <w:pPr/>
      <w:r>
        <w:rPr>
          <w:b/>
        </w:rPr>
        <w:t>Shared claim-specific concepts:</w:t>
      </w:r>
      <w:r>
        <w:t xml:space="preserve"> findings, several, methodologies, well; EU scope not established. This is a provisional connection, not an outcome finding.</w:t>
      </w:r>
    </w:p>
    <w:p>
      <w:pPr>
        <w:pStyle w:val="SourceNote"/>
      </w:pPr>
      <w:r>
        <w:rPr>
          <w:b/>
        </w:rPr>
        <w:t>Available abstract (not full text):</w:t>
      </w:r>
      <w:r>
        <w:t xml:space="preserve"> The aim of this informative review was to investigate the application of radiomics in cancer imaging and to summarize the results of recent studies to support oncological imaging with particular attention to breast cancer, rectal cancer and primitive and secondary liver cancer. This review also aims to provide the main findings, challenges and limitations of the current methodologies. Clinical studies published in the last four years (2019-2022) were included in this review. Among the 19 studies analyzed, none assessed the differences between scanners and vendor-dependent characteristics, collected images of individuals at additional points in time, performed calibration statistics, represented a prospective study performed and registered in a study database, conducted a cost-effectiveness analysis, reported on the cost-effectiveness of the clinical application, or performed multivariable analysis with also non-radiomics features. Seven studies reached a high radiomic quality score (RQS), and seventeen earned additional points by using validation steps considering two datasets from two distinct institutes and open science and data domains (radiomics features calculated on a set of representative ROIs are open source). The potential of radiomics is increasingly establishing itself, even if there are still several aspects to be evaluated before the passage of radiomics into routi</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2022:</w:t>
      </w:r>
      <w:r>
        <w:t xml:space="preserve"> Neuroimaging in schizophrenia: an overview of findings and their implications for synaptic changes — https://doi.org/10.1038/s41386-022-01426-x</w:t>
      </w:r>
    </w:p>
    <w:p>
      <w:pPr/>
      <w:r>
        <w:rPr>
          <w:b/>
        </w:rPr>
        <w:t>Shared claim-specific concepts:</w:t>
      </w:r>
      <w:r>
        <w:t xml:space="preserve"> findings, several, identified, here, people; EU scope not established. This is a provisional connection, not an outcome finding.</w:t>
      </w:r>
    </w:p>
    <w:p>
      <w:pPr>
        <w:pStyle w:val="SourceNote"/>
      </w:pPr>
      <w:r>
        <w:rPr>
          <w:b/>
        </w:rPr>
        <w:t>Available abstract (not full text):</w:t>
      </w:r>
      <w:r>
        <w:t xml:space="preserve">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pPr/>
      <w:r>
        <w:rPr>
          <w:b/>
        </w:rPr>
        <w:t>POSSIBLE 2022:</w:t>
      </w:r>
      <w:r>
        <w:t xml:space="preserve"> Vocabulary changes in adulthood: Main findings and methodological considerations — https://doi.org/10.1111/1460-6984.12820</w:t>
      </w:r>
    </w:p>
    <w:p>
      <w:pPr/>
      <w:r>
        <w:rPr>
          <w:b/>
        </w:rPr>
        <w:t>Shared claim-specific concepts:</w:t>
      </w:r>
      <w:r>
        <w:t xml:space="preserve"> findings, methodologies, well; EU scope not established. This is a provisional connection, not an outcome finding.</w:t>
      </w:r>
    </w:p>
    <w:p>
      <w:pPr>
        <w:pStyle w:val="SourceNote"/>
      </w:pPr>
      <w:r>
        <w:rPr>
          <w:b/>
        </w:rPr>
        <w:t>Available abstract (not full text):</w:t>
      </w:r>
      <w:r>
        <w:t xml:space="preserve"> BACKGROUND: Vocabulary scores increase until approximately age 65 years and then remain stable or decrease slightly, unlike scores on tests of other cognitive abilities that decline significantly with age. AIMS: To review the findings on ageing-related changes in vocabulary, and to discuss four methodological issues: research design; test type; measurement; and vocabulary ability as a proxy for general intelligence. MAIN CONTRIBUTION: A discussion of cross-sectional and longitudinal research designs shows that cohort membership accounts for some but not all ageing-related changes in vocabulary, and that drop-out and test-retest effects do not alter conclusions regarding these changes. Test type affects age trends in vocabulary, and if researchers use only one test, they should choose a multiple-choice synonym test. While some authors suggest that vocabulary tests do not measure the same underlying ability in younger and older adults, more research of this suggestion is needed. A brief examination of the use of vocabulary ability as a proxy for general intelligence in healthy ageing and for premorbid abilities in dementia indicates that such practice is often questionable. CONCLUSIONS: Vocabulary knowledge increases through the mid-60s regardless of measurement method. However, there is little information on how word knowledge serves other verbal skills in old age, how and when </w:t>
      </w:r>
    </w:p>
    <w:p>
      <w:pPr/>
      <w:r>
        <w:rPr>
          <w:b/>
        </w:rPr>
        <w:t>POSSIBLE 2022:</w:t>
      </w:r>
      <w:r>
        <w:t xml:space="preserve"> Adjusting the social footprint methodology based on findings of subjective wellbeing research — https://doi.org/10.21203/rs.3.rs-1369858/v2</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Abstract Purpose Following some years of practical application, some weaknesses has been identified in the original 2018 version of the ‘social footprint’ methodology, where wellbeing was seen as exclusively related to consumption activities and as inseparably linked to production through the budget constraint, implying that the value of wellbeing was limited to be a mirror of the value of production. Several improvements in both methodology and data are presented here. Methods The theoretical improvements are inspired by the suggestion of Juster et al. (1981) that wellbeing can be seen as the sum of the value added generated from work and the intrinsic activity benefits, i.e., the positive affect from performing or taking part in specific work or leisure activities. This implies a relatively low preference for income relative to intrinsic activity benefits, which is confirmed by recent findings of subjective wellbeing research. Results and discussion Other findings of subjective wellbeing research provide a constraint on the conversion factor between Disability-Adjusted Life-Years (DALY) and Quality-Adjusted person-Life-Years (QALY), leading to a surprising 0.3 QALY/DALY, against the more intuitive 1 QALY/DALY. These theoretical improvements, combined with the availability of more recent country-specific data on impacts on wellbeing, allows to calculate a global potential leve</w:t>
      </w:r>
    </w:p>
    <w:p>
      <w:pPr/>
      <w:r>
        <w:rPr>
          <w:b/>
        </w:rPr>
        <w:t>POSSIBLE 2021:</w:t>
      </w:r>
      <w:r>
        <w:t xml:space="preserve"> Sentiment analysis in hospitality and tourism: a thematic and methodological review — https://doi.org/10.1108/ijchm-02-2021-0132</w:t>
      </w:r>
    </w:p>
    <w:p>
      <w:pPr/>
      <w:r>
        <w:rPr>
          <w:b/>
        </w:rPr>
        <w:t>Shared claim-specific concepts:</w:t>
      </w:r>
      <w:r>
        <w:t xml:space="preserve"> findings, several, methodologies, identified; EU scope not established. This is a provisional connection, not an outcome finding.</w:t>
      </w:r>
    </w:p>
    <w:p>
      <w:pPr>
        <w:pStyle w:val="SourceNote"/>
      </w:pPr>
      <w:r>
        <w:rPr>
          <w:b/>
        </w:rPr>
        <w:t>Available abstract (not full text):</w:t>
      </w:r>
      <w:r>
        <w:t xml:space="preserve"> Purpose This study aims to conduct a systematic review and critically analyze the sentiment analysis literature in hospitality and tourism from methodological (data sets and analyzes) and thematic (topics, theories, key constructs and their relationships) perspectives. Design/methodology/approach Qualitative thematic review and quantitative systematic review were performed on 70 papers obtained from hospitality and tourism categories of two databases, namely, Web of Science and Scopus. Findings A total of 5 topics and 27 sub-topics were identified and the major theme is market intelligence. Sentiment variables were investigated not only as independent but also as dependent variables. The customer rating is the most investigated dependent variable, whereas moderators and mediators were rarely tested. Most reviewed studies did not use theory. The findings from the methodological review show that analysis of big data was rare. Moreover, testing the performance of sentiment analyzes was uncommon, and only one paper tested the performance of aspect/feature extraction. Research limitations/implications This study extends prior review studies by providing a comprehensive view of how knowledge and methodologies of sentiment analysis have developed. The identified themes and key constructs serve as a solid base for future knowledge advancement. Future research directions on sentiment an</w:t>
      </w:r>
    </w:p>
    <w:p>
      <w:pPr/>
      <w:r>
        <w:rPr>
          <w:b/>
        </w:rPr>
        <w:t>POSSIBLE 2020:</w:t>
      </w:r>
      <w:r>
        <w:t xml:space="preserve"> Broadsides as Sources: A Methodological Discussion and Overview of Key Findings — https://doi.org/10.1057/978-1-137-59789-2_2</w:t>
      </w:r>
    </w:p>
    <w:p>
      <w:pPr/>
      <w:r>
        <w:rPr>
          <w:b/>
        </w:rPr>
        <w:t>Shared claim-specific concepts:</w:t>
      </w:r>
      <w:r>
        <w:t xml:space="preserve"> findings, several, people; EU scope not established. This is a provisional connection, not an outcome finding.</w:t>
      </w:r>
    </w:p>
    <w:p>
      <w:pPr>
        <w:pStyle w:val="SourceNote"/>
      </w:pPr>
      <w:r>
        <w:rPr>
          <w:b/>
        </w:rPr>
        <w:t>Available abstract (not full text):</w:t>
      </w:r>
      <w:r>
        <w:t xml:space="preserve"> This chapter includes a methodological discussion and justification of the discourse analysis used and presents the quantitative findings from 650 broadsides, illustrated by statistical figures, tables and maps. This detailed method of analysis produced a wealth of information from the broadside content and revealed factual details relating to the crimes, punishments, criminals and victims they depicted. For example, several conclusions can be made, namely that: broadsides, far from being mere entertainment, actually include a substantial amount of factual information regarding crime in the early nineteenth century; broadsides were evidently an important source of information regarding crime and criminality for those who chose to read them; nineteenth-century broadside production was motivated to a large extent by the reporting of actual crimes and they responded to real fluctuations in crime rates; the people to feature most prominently in broadsides are those of the poorer and lower classes, whether they are criminals, victims or witnesses.</w:t>
      </w:r>
    </w:p>
    <w:p>
      <w:pPr/>
      <w:r>
        <w:rPr>
          <w:b/>
        </w:rPr>
        <w:t>POSSIBLE 2020:</w:t>
      </w:r>
      <w:r>
        <w:t xml:space="preserve"> Cloud Migration Methodologies Preliminary Findings — https://openalex.org/W3019771303</w:t>
      </w:r>
    </w:p>
    <w:p>
      <w:pPr/>
      <w:r>
        <w:rPr>
          <w:b/>
        </w:rPr>
        <w:t>Shared claim-specific concepts:</w:t>
      </w:r>
      <w:r>
        <w:t xml:space="preserve"> findings, several, methodologies; EU scope not established. This is a provisional connection, not an outcome finding.</w:t>
      </w:r>
    </w:p>
    <w:p>
      <w:pPr>
        <w:pStyle w:val="SourceNote"/>
      </w:pPr>
      <w:r>
        <w:rPr>
          <w:b/>
        </w:rPr>
        <w:t>Available abstract (not full text):</w:t>
      </w:r>
      <w:r>
        <w:t xml:space="preserve"> Research around cloud computing has largely been dedicated to ad-dressing technical aspects associated with utilizing cloud services, surveying critical success factors for the cloud adoption, and opinions about its impact on IT functions. Nevertheless, the aspect of process models for the cloud migration has been slow in pace. Several methodologies have been proposed by both aca-demia and industry for moving legacy applications to the cloud. This paper pre-sents a criteria-based appraisal of such existing methodologies. The results of the analysis highlight the strengths and weaknesses of these methodologies and can be used by cloud service consumers for comparing and selecting the most appropriate ones that fit specific migration scenarios. The paper also suggests research opportunities to improve the status quo. </w:t>
        <w:br/>
        <w:br/>
        <w:t>Keywords Cloud Migration; Legacy Applications; Cloud Migration Method-ology, Evaluation Framework</w:t>
      </w:r>
    </w:p>
    <w:p>
      <w:pPr/>
      <w:r>
        <w:rPr>
          <w:b/>
        </w:rPr>
        <w:t>POSSIBLE 2019:</w:t>
      </w:r>
      <w:r>
        <w:t xml:space="preserve"> Transcriptome-wide association study of attention deficit hyperactivity disorder identifies associated genes and phenotypes — https://doi.org/10.1038/s41467-019-12450-9</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Abstract Attention deficit/hyperactivity disorder (ADHD) is one of the most common neurodevelopmental psychiatric disorders. Previous studies have shown that the disorder is highly heritable and associated with several different risk-taking behaviors. Additionally, brain-imaging studies have identified various brain regions such as the cerebellum and frontal cortex to be altered in ADHD. Large genome-wide association studies (GWAS) have identified several loci associated with ADHD. However, understanding the biological relevance of these genetic loci has proven to be difficult. Here, we conducted the largest ADHD transcriptome-wide association study (TWAS) to date consisting of 19,099 cases and 34,194 controls and identified 9 transcriptome-wide significant hits. We successfully demonstrate that several previous GWAS hits can be largely explained by expression. Probabilistic causal fine-mapping of TWAS signals prioritized KAT2B with a posterior probability of 0.467 in the dorsolateral prefrontal cortex and TMEM161B with a posterior probability of 0.838 in the amygdala. Furthermore, pathway enrichments identified dopaminergic and norepinephrine pathways, which are highly relevant for ADHD. Finally, we used the top eQTLs associated with the TWAS genes to identify phenotypes relevant to ADHD and found an inverse genetic correlation with educational attainment and a positive correl</w:t>
      </w:r>
    </w:p>
    <w:p>
      <w:pPr/>
      <w:r>
        <w:rPr>
          <w:b/>
        </w:rPr>
        <w:t>POSSIBLE 2018:</w:t>
      </w:r>
      <w:r>
        <w:t xml:space="preserve"> A methodological synthesis of self-paced reading in second language research — https://doi.org/10.1017/s0142716418000036</w:t>
      </w:r>
    </w:p>
    <w:p>
      <w:pPr/>
      <w:r>
        <w:rPr>
          <w:b/>
        </w:rPr>
        <w:t>Shared claim-specific concepts:</w:t>
      </w:r>
      <w:r>
        <w:t xml:space="preserve"> findings, several, well; EU scope not established. This is a provisional connection, not an outcome finding.</w:t>
      </w:r>
    </w:p>
    <w:p>
      <w:pPr>
        <w:pStyle w:val="SourceNote"/>
      </w:pPr>
      <w:r>
        <w:rPr>
          <w:b/>
        </w:rPr>
        <w:t>Available abstract (not full text):</w:t>
      </w:r>
      <w:r>
        <w:t xml:space="preserve"> ABSTRACT Self-paced reading tests (SPRs) are being increasingly adopted by second language (L2) researchers. Using SPR with L2 populations presents specific challenges, and its use is still evolving in L2 research (as well as in first language research, in many respects). Although the topic of several narrative overviews (Keating &amp; Jegerski, 2015; Roberts, 2016), we do not have a comprehensive picture of its usage in L2 research. Building on the growing body of systematic reviews of research practices in applied linguistics (e.g., Liu &amp; Brown, 2015; Plonsky, 2013), we report a methodological synthesis of the rationales, study contexts, and methodological decision making in L2 SPR research. Our comprehensive search yielded 74 SPRs used in L2 research. Each instrument was coded along 121 parameters, including: reported rationales and study characteristics, indicating the scope and nature of L2 SPR research agendas; design and analysis features and reporting practices, determining instrument validity and reliability; and materials transparency, affecting reproducibility and systematicity of agendas. Our findings indicate an urgent need to standardize the use and reporting of this technique, requiring empirical investigation to inform methodological decision making. We also identify several areas (e.g., study design, sample demographics, instrument construction, data analysis, and </w:t>
      </w:r>
    </w:p>
    <w:p>
      <w:pPr>
        <w:pStyle w:val="Heading2"/>
      </w:pPr>
      <w:r>
        <w:t>1002.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2016:</w:t>
      </w:r>
      <w:r>
        <w:t xml:space="preserve"> Muscle Synergies Facilitate Computational Prediction of Subject-Specific Walking Motions — https://doi.org/10.3389/fbioe.2016.00077</w:t>
      </w:r>
    </w:p>
    <w:p>
      <w:pPr/>
      <w:r>
        <w:rPr>
          <w:b/>
        </w:rPr>
        <w:t>Shared claim-specific concepts:</w:t>
      </w:r>
      <w:r>
        <w:t xml:space="preserve"> predictions, subject, simulation, predicted; EU scope not established. This is a provisional connection, not an outcome finding.</w:t>
      </w:r>
    </w:p>
    <w:p>
      <w:pPr>
        <w:pStyle w:val="SourceNote"/>
      </w:pPr>
      <w:r>
        <w:rPr>
          <w:b/>
        </w:rPr>
        <w:t>Available abstract (not full text):</w:t>
      </w:r>
      <w:r>
        <w:t xml:space="preserve">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pPr/>
      <w:r>
        <w:rPr>
          <w:b/>
        </w:rPr>
        <w:t>POSSIBLE 2016:</w:t>
      </w:r>
      <w:r>
        <w:t xml:space="preserve"> APPROPRIATE VERTICAL RANGE TO AVERAGE LUMINANCE FOR PREDICTION OF PERCEIVED SPATIAL BRIGHTNESS IN OFFICE — https://doi.org/10.3130/aije.81.421</w:t>
      </w:r>
    </w:p>
    <w:p>
      <w:pPr/>
      <w:r>
        <w:rPr>
          <w:b/>
        </w:rPr>
        <w:t>Shared claim-specific concepts:</w:t>
      </w:r>
      <w:r>
        <w:t xml:space="preserve"> range, usual, predicted; EU scope not established. This is a provisional connection, not an outcome finding.</w:t>
      </w:r>
    </w:p>
    <w:p>
      <w:pPr>
        <w:pStyle w:val="SourceNote"/>
      </w:pPr>
      <w:r>
        <w:rPr>
          <w:b/>
        </w:rPr>
        <w:t>Available abstract (not full text):</w:t>
      </w:r>
      <w:r>
        <w:t xml:space="preserve"> It is effective for power-saving of office lighting to set working plane illuminance lower than usual, but without consideration of room appearance this tends to lead to gloomy impression. To avoid this negative effect, some methods to predict brightness impression are used for office lighting design, but they have not been well examined from the view point of applicability to office lighting. It is apparent that the average luminance of office perspective image is important but the value changes in accordance of view range. This study, as a basic research, examined appropriate vertical range for prediction of perceived spatial brightness. The authors set 48 different luminance distribution conditions in a 1/6 scale model of office environment, and asked the subjects to evaluate spatial brightness with magnitude estimation technique. The luminance distribution from the subjects' evaluation point was measured by a digital camera with 180 degree fish-eye lens and average luminance was examined. As the result, the authors obtained followings; 1) When sitting on a desk seat, spatial brightness can be predicted by mean luminance ranging from 0 to 20 degrees on the luminance image in vertical, with exclusion of objects just around the desk like partitions, but in the case of short room depth or including windows, the mean should be ranging from 0 to 40 degrees. 2) Vertical range to a</w:t>
      </w:r>
    </w:p>
    <w:p>
      <w:pPr/>
      <w:r>
        <w:rPr>
          <w:b/>
        </w:rPr>
        <w:t>POSSIBLE 2013:</w:t>
      </w:r>
      <w:r>
        <w:t xml:space="preserve"> The experience of agency: an interplay between prediction and postdiction — https://doi.org/10.3389/fpsyg.2013.00127</w:t>
      </w:r>
    </w:p>
    <w:p>
      <w:pPr/>
      <w:r>
        <w:rPr>
          <w:b/>
        </w:rPr>
        <w:t>Shared claim-specific concepts:</w:t>
      </w:r>
      <w:r>
        <w:t xml:space="preserve"> predictions, subject, range, given, same; EU scope not established. This is a provisional connection, not an outcome finding.</w:t>
      </w:r>
    </w:p>
    <w:p>
      <w:pPr>
        <w:pStyle w:val="SourceNote"/>
      </w:pPr>
      <w:r>
        <w:rPr>
          <w:b/>
        </w:rPr>
        <w:t>Available abstract (not full text):</w:t>
      </w:r>
      <w:r>
        <w:t xml:space="preserve">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r>
        <w:rPr>
          <w:b/>
        </w:rPr>
        <w:t>POSSIBLE 2013:</w:t>
      </w:r>
      <w:r>
        <w:t xml:space="preserve"> Simultaneous calibration of ensemble river flow predictions over an entire range of lead times — https://doi.org/10.1002/wrcr.20542</w:t>
      </w:r>
    </w:p>
    <w:p>
      <w:pPr/>
      <w:r>
        <w:rPr>
          <w:b/>
        </w:rPr>
        <w:t>Shared claim-specific concepts:</w:t>
      </w:r>
      <w:r>
        <w:t xml:space="preserve"> predictions, subject, range; EU scope not established. This is a provisional connection, not an outcome finding.</w:t>
      </w:r>
    </w:p>
    <w:p>
      <w:pPr>
        <w:pStyle w:val="SourceNote"/>
      </w:pPr>
      <w:r>
        <w:rPr>
          <w:b/>
        </w:rPr>
        <w:t>Available abstract (not full text):</w:t>
      </w:r>
      <w:r>
        <w:t xml:space="preserve"> Probabilistic estimates of future water levels and river discharge are usually simulated with hydrologic models using ensemble weather forecasts as main inputs. As hydrologic models are imperfect and the meteorological ensembles tend to be biased and underdispersed, the ensemble forecasts for river runoff typically are biased and underdispersed, too. Thus, in order to achieve both reliable and sharp predictions statistical postprocessing is required. In this work Bayesian model averaging (BMA) is applied to statistically postprocess ensemble runoff raw forecasts for a catchment in Switzerland, at lead times ranging from 1 to 240 h. The raw forecasts have been obtained using deterministic and ensemble forcing meteorological models with different forecast lead time ranges. First, BMA is applied based on mixtures of univariate normal distributions, subject to the assumption of independence between distinct lead times. Then, the independence assumption is relaxed in order to estimate multivariate runoff forecasts over the entire range of lead times simultaneously, based on a BMA version that uses multivariate normal distributions. Since river runoff is a highly skewed variable, Box-Cox transformations are applied in order to achieve approximate normality. Both univariate and multivariate BMA approaches are able to generate well calibrated probabilistic forecasts that are considerab</w:t>
      </w:r>
    </w:p>
    <w:p>
      <w:pPr>
        <w:pStyle w:val="Heading2"/>
      </w:pPr>
      <w:r>
        <w:t>1003.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r>
        <w:rPr>
          <w:b/>
        </w:rPr>
        <w:t>POSSIBLE 2022:</w:t>
      </w:r>
      <w:r>
        <w:t xml:space="preserve"> Modelling of the long-term evolution and performance of engineered barrier system — https://doi.org/10.1051/epjn/2022038</w:t>
      </w:r>
    </w:p>
    <w:p>
      <w:pPr/>
      <w:r>
        <w:rPr>
          <w:b/>
        </w:rPr>
        <w:t>Shared claim-specific concepts:</w:t>
      </w:r>
      <w:r>
        <w:t xml:space="preserve"> long-term, tools, against, safety; EU scope visible. This is a provisional connection, not an outcome finding.</w:t>
      </w:r>
    </w:p>
    <w:p>
      <w:pPr>
        <w:pStyle w:val="SourceNote"/>
      </w:pPr>
      <w:r>
        <w:rPr>
          <w:b/>
        </w:rPr>
        <w:t>Available abstract (not full text):</w:t>
      </w:r>
      <w:r>
        <w:t xml:space="preserve">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pPr/>
      <w:r>
        <w:rPr>
          <w:b/>
        </w:rPr>
        <w:t>POSSIBLE 2022:</w:t>
      </w:r>
      <w:r>
        <w:t xml:space="preserve"> Long-term Air Pollution Exposure and Pneumonia-related Mortality in a Large Pooled European Cohort — https://doi.org/10.1164/rccm.202106-1484oc</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Abstract Rationale Ambient air pollution exposure has been linked to mortality from chronic cardiorespiratory diseases, while evidence on respiratory infections remains more limited. Objectives We examined the association between long-term exposure to air pollution and pneumonia-related mortality in adults in a pool of eight European cohorts. Methods Within the multicenter project ELAPSE (Effects of Low-Level Air Pollution: A Study in Europe), we pooled data from eight cohorts among six European countries. Annual mean residential concentrations in 2010 for fine particulate matter, nitrogen dioxide (NO2), black carbon (BC), and ozone were estimated using Europe-wide hybrid land-use regression models. We applied stratified Cox proportional hazard models to investigate the associations between air pollution and pneumonia, influenza, and acute lower respiratory infections (ALRI) mortality. Measurements and Main Results Of 325,367 participants, 712 died from pneumonia and influenza combined, 682 from pneumonia, and 695 from ALRI during a mean follow-up of 19.5 years. NO2 and BC were associated with 10–12% increases in pneumonia and influenza combined mortality, but 95% confidence intervals included unity (hazard ratios, 1.12 [0.99–1.26] per 10 μg/m3 for NO2; 1.10 [0.97–1.24] per 0.5 10−5m−1 for BC). Associations with pneumonia and ALRI mortality were almost identical. We detected ef</w:t>
      </w:r>
    </w:p>
    <w:p>
      <w:pPr/>
      <w:r>
        <w:rPr>
          <w:b/>
        </w:rPr>
        <w:t>POSSIBLE 2021:</w:t>
      </w:r>
      <w:r>
        <w:t xml:space="preserve"> A model of long-term value creation — https://doi.org/10.1080/20430795.2021.1920231</w:t>
      </w:r>
    </w:p>
    <w:p>
      <w:pPr/>
      <w:r>
        <w:rPr>
          <w:b/>
        </w:rPr>
        <w:t>Shared claim-specific concepts:</w:t>
      </w:r>
      <w:r>
        <w:t xml:space="preserve"> long-term, currently, they; EU scope not established. This is a provisional connection, not an outcome finding.</w:t>
      </w:r>
    </w:p>
    <w:p>
      <w:pPr>
        <w:pStyle w:val="SourceNote"/>
      </w:pPr>
      <w:r>
        <w:rPr>
          <w:b/>
        </w:rPr>
        <w:t>Available abstract (not full text):</w:t>
      </w:r>
      <w:r>
        <w:t xml:space="preserve"> Companies need to rethink the way they create value and grow their business to thrive in tomorrow’s volatile and uncertain business environment. Companies in virtually every industry are impacted by new disruptive societal trends, such as climate change, energy transition and social inequality. At the same time, companies are increasingly evaluated on their sustainability performance.Still, only a few companies have begun to invent new strategic directions, pioneering strategies focused on creating long-term value, not just for shareholders but for all stakeholders. A playbook on how to create long-term value is currently lacking, making it difficult for companies to capture the opportunities and mitigate the risks created by these societal trends.This paper develops a model of long-term value creation that supports companies in creating long-term value and setting their strategies accordingly. Financial institutions can draw on the model to assess how future proof their investment and/or lending portfolios are.</w:t>
      </w:r>
    </w:p>
    <w:p>
      <w:pPr/>
      <w:r>
        <w:rPr>
          <w:b/>
        </w:rPr>
        <w:t>POSSIBLE 2021:</w:t>
      </w:r>
      <w:r>
        <w:t xml:space="preserve"> On models of long-term behavior of concrete — https://doi.org/10.21136/panm.2020.02</w:t>
      </w:r>
    </w:p>
    <w:p>
      <w:pPr/>
      <w:r>
        <w:rPr>
          <w:b/>
        </w:rPr>
        <w:t>Shared claim-specific concepts:</w:t>
      </w:r>
      <w:r>
        <w:t xml:space="preserve"> long-term, tools, other; EU scope not established. This is a provisional connection, not an outcome finding.</w:t>
      </w:r>
    </w:p>
    <w:p>
      <w:pPr>
        <w:pStyle w:val="SourceNote"/>
      </w:pPr>
      <w:r>
        <w:rPr>
          <w:b/>
        </w:rPr>
        <w:t>Available abstract (not full text):</w:t>
      </w:r>
      <w:r>
        <w:t xml:space="preserve"> Long-term behavior of concrete is modeled by several widely accepted models, such as B3, \emph{fib} MC 2010, or ACI 209 whose input parameters and output values are not identical to each other. Moreover, the input and, consequently, the output values are uncertain. In this paper, fuzzy input parameters are considered in uncertainty quantification of each model response and, finally, the sets of responses are analyzed by elementary tools of evidence theory. That is, belief and plausibility functions are proposed to combine evidence from different models.</w:t>
      </w:r>
    </w:p>
    <w:p>
      <w:pPr/>
      <w:r>
        <w:rPr>
          <w:b/>
        </w:rPr>
        <w:t>POSSIBLE 2020:</w:t>
      </w:r>
      <w:r>
        <w:t xml:space="preserve"> Short-term solar and wind variability in long-term energy system models - A European case study — https://doi.org/10.1016/j.energy.2020.118377</w:t>
      </w:r>
    </w:p>
    <w:p>
      <w:pPr/>
      <w:r>
        <w:rPr>
          <w:b/>
        </w:rPr>
        <w:t>Shared claim-specific concepts:</w:t>
      </w:r>
      <w:r>
        <w:t xml:space="preserve"> long-term, important; EU scope visible. This is a provisional connection, not an outcome finding.</w:t>
      </w:r>
    </w:p>
    <w:p>
      <w:pPr>
        <w:pStyle w:val="SourceNote"/>
      </w:pPr>
      <w:r>
        <w:rPr>
          <w:b/>
        </w:rPr>
        <w:t>Available abstract (not full text):</w:t>
      </w:r>
      <w:r>
        <w:t xml:space="preserve"> Integration of variable renewables such as solar and wind has grown at an unprecedented pace in Europe over the past two decades. As the share of solar and wind rises, it becomes increasingly important for long-term energy system models to adequately represent their short-term variability. This paper uses a long-term TIMES model of the European power and district heat sectors towards 2050 to explore how stochastic modelling of short-term solar and wind variability as well as different temporal resolutions influence the model performance. Using a stochastic model with 48 time-slices as benchmark, the results show that deterministic models with low temporal resolution give a 15–20% underestimation of annual costs, an overestimation of the contribution of variable renewables (13–15% of total electricity generation) and a lack of system flexibility. The results of the deterministic models converge towards the stochastic solution when the temporal resolution is increased, but even with 2016 time-slices, the need for flexibility is underestimated. In addition, the deterministic model with 2016 time-slices takes 30 times longer to solve than the stochastic model with 48 time-slices. Based on these findings, a stochastic approach is recommended for long-term studies of energy systems with large shares of variable renewable energy sources.</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civil, because, they, guide, safety;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2020:</w:t>
      </w:r>
      <w:r>
        <w:t xml:space="preserve"> Long-term low-level ambient air pollution exposure and risk of lung cancer – A pooled analysis of 7 European cohorts — https://doi.org/10.1016/j.envint.2020.106249</w:t>
      </w:r>
    </w:p>
    <w:p>
      <w:pPr/>
      <w:r>
        <w:rPr>
          <w:b/>
        </w:rPr>
        <w:t>Shared claim-specific concepts:</w:t>
      </w:r>
      <w:r>
        <w:t xml:space="preserve"> long-term, other; EU scope visible. This is a provisional connection, not an outcome finding.</w:t>
      </w:r>
    </w:p>
    <w:p>
      <w:pPr>
        <w:pStyle w:val="SourceNote"/>
      </w:pPr>
      <w:r>
        <w:rPr>
          <w:b/>
        </w:rPr>
        <w:t>Available abstract (not full text):</w:t>
      </w:r>
      <w:r>
        <w:t xml:space="preserve"> Ambient air pollution has been associated with lung cancer, but the shape of the exposure-response function - especially at low exposure levels - is not well described. The aim of this study was to address the relationship between long-term low-level air pollution exposure and lung cancer incidence. The “Effects of Low-level Air Pollution: a Study in Europe” (ELAPSE) collaboration pools seven cohorts from across Europe. We developed hybrid models combining air pollution monitoring, land use data, satellite observations, and dispersion model estimates for nitrogen dioxide (NO2), fine particulate matter (PM2.5), black carbon (BC), and ozone (O3) to assign exposure to cohort participants’ residential addresses in 100 m by 100 m grids. We applied stratified Cox proportional hazards models, adjusting for potential confounders (age, sex, calendar year, marital status, smoking, body mass index, employment status, and neighborhood-level socio-economic status). We fitted linear models, linear models in subsets, Shape-Constrained Health Impact Functions (SCHIF), and natural cubic spline models to assess the shape of the association between air pollution and lung cancer at concentrations below existing standards and guidelines. The analyses included 307,550 cohort participants. During a mean follow-up of 18.1 years, 3956 incident lung cancer cases occurred. Median (Q1, Q3) annual (2010) e</w:t>
      </w:r>
    </w:p>
    <w:p>
      <w:pPr>
        <w:pStyle w:val="Heading2"/>
      </w:pPr>
      <w:r>
        <w:t>1004.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2025:</w:t>
      </w:r>
      <w:r>
        <w:t xml:space="preserve"> Impact of the online climate-chemistry in regional climate simulations in meteorological variables over Europe — https://doi.org/10.5194/ems2025-270</w:t>
      </w:r>
    </w:p>
    <w:p>
      <w:pPr/>
      <w:r>
        <w:rPr>
          <w:b/>
        </w:rPr>
        <w:t>Shared claim-specific concepts:</w:t>
      </w:r>
      <w:r>
        <w:t xml:space="preserve"> climate, land, cover, precipitation, temperature, chemical; EU scope visible. This is a provisional connection, not an outcome finding.</w:t>
      </w:r>
    </w:p>
    <w:p>
      <w:pPr>
        <w:pStyle w:val="SourceNote"/>
      </w:pPr>
      <w:r>
        <w:rPr>
          <w:b/>
        </w:rPr>
        <w:t>Available abstract (not full text):</w:t>
      </w:r>
      <w:r>
        <w:t xml:space="preserve"> Work Package 4 of the FOCI project (“Non-CO2 Forcers and their Climate, Weather, Air Quality and Health Impacts”; https://www.project-foci.eu/wp/) is tasked with tuning, testing, and conducting long-term simulations to validate various regional models in downscaling of reanalysis and global climate models for historical period. The long-term simulations are performed by RegCM5-Chem and WRF-Chem, both of which are coupled with chemistry over the European domain. A notable aspect of this work is the use of RegCM5-Chem for long-term simulations, which is a novel approach within the community. Besides that, the land cover is dynamic, derived from the Land Use and Climate Across Scales flagship pilot study of the EURO-CORDEX initiative. The initial and boundary conditions for the atmospheric variables and chemical composition were created from the European Centre for Medium-Range Weather Forecasts (ECMWF) reanalysis version 5 (ERA5) and Atmospheric Composition Reanalysis 4 (EAC4) datasets. Emissions of atmospheric pollutants and greenhouse gases are obtained from the Copernicus Atmosphere Monitoring Service (CAMS) high-resolution European emission inventory for air quality modeling. E-OBS is utilized for validating the outputs. Sensitivity tests have shown that coupled chemistry impacts surface meteorological variables, such as temperature and shortwave radiation. In this study, we </w:t>
      </w:r>
    </w:p>
    <w:p>
      <w:pPr/>
      <w:r>
        <w:rPr>
          <w:b/>
        </w:rPr>
        <w:t>POSSIBLE 2025:</w:t>
      </w:r>
      <w:r>
        <w:t xml:space="preserve"> GCAM Europe 7.2.0: Enhancing Policy Relevant Climate Modelling Through Spatial and Sectoral Detail — https://doi.org/10.5281/zenodo.17493381</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Abstract:GCAM-Europe is an enhanced version of the Global Change Analysis Model (GCAM) that provides detailed, country-level modelling of Europe’s energy, economic, land use, and climate systems. Unlike the core GCAM model, which aggregates Europe into five regions, GCAM-Europe disaggregates all European countries to support more precise analysis of national climate and energy policies. It incorporates high-quality, country-specific data from Eurostat and other sources to improve accuracy, especially in the residential and electricity sectors. The model introduces several innovations, including detailed representations of electricity grid regions aligned with ENTSO-E’s TYNDP scenarios, a refined trade structure for the European Economic Area, and the integration of consumer heterogeneity based on real-world survey data. Also, the model maintains the integration of energy, land, water and climate systems as in the global version, but without a higher resolution of land regions. These features enable realistic simulations of cross-border electricity flows, energy and climate policy impacts, and distributional effects of policy measures. By significantly improving spatial, sectoral, and socio-economic detail, GCAM-Europe offers a powerful tool for assessing climate mitigation strategies across Europe. It enables policymakers and researchers to explore scenarios for efficient decar</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land, precipitation, temperature, over;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Land-use- and climate-mediated variations in soil bacterial and fungal biomass across Europe and their driving factors — https://doi.org/10.1016/j.geoderma.2023.116474</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Elucidating contents and drivers of soil bacterial and fungal biomass in contrasting land uses and climates at European scale is useful to define appropriate policies for the conservation of the ecosystem services that soil microorganisms provide. Here, we aimed to (i) quantify and compare bacterial and fungal biomass in 513 European soils collected from three different land uses (forests, grasslands, and croplands) and climates (arid, temperate, and cold) through analysis of fatty acid methyl esters; (ii) model the factors controlling soil bacterial and fungal biomass; and (iii) investigating levels of bacterial and fungal biomass in cropland soils cultivated with three important crop types in Europe: cereals, oil-producing crops, and orchards. Bacterial biomass decreased with land use in the following order: grasslands &gt; croplands &gt; forests and was found to be the highest in temperate environments. Similar patterns were found for biomass of Gram-positive and Gram-negative bacteria and Actinobacteria. Soil fungal biomass was greater in forests than in croplands and grasslands and was favoured by colder environments. The fungi to bacteria ratio (F/B) decreased as follows: forests &gt; croplands &gt; grasslands, with soils in colder climates showing greater F/B ratios in croplands and forests. Soil texture, soil organic carbon, and nitrogen were shown to directly drive bacterial and f</w:t>
      </w:r>
    </w:p>
    <w:p>
      <w:pPr/>
      <w:r>
        <w:rPr>
          <w:b/>
        </w:rPr>
        <w:t>POSSIBLE 2022:</w:t>
      </w:r>
      <w:r>
        <w:t xml:space="preserve"> Land–climate interactions — https://doi.org/10.1017/9781009157988.004</w:t>
      </w:r>
    </w:p>
    <w:p>
      <w:pPr/>
      <w:r>
        <w:rPr>
          <w:b/>
        </w:rPr>
        <w:t>Shared claim-specific concepts:</w:t>
      </w:r>
      <w:r>
        <w:t xml:space="preserve"> climate, land; EU scope not established. This is a provisional connection, not an outcome finding.</w:t>
      </w:r>
    </w:p>
    <w:p>
      <w:pPr>
        <w:pStyle w:val="SourceNote"/>
      </w:pPr>
      <w:r>
        <w:rPr>
          <w:b/>
        </w:rPr>
        <w:t>Available abstract (not full text):</w:t>
      </w:r>
      <w:r>
        <w:t xml:space="preserve"> responses to warming and changes in soil moisture ......</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21st Century alpine climate change — https://doi.org/10.1007/s00382-022-06303-3</w:t>
      </w:r>
    </w:p>
    <w:p>
      <w:pPr/>
      <w:r>
        <w:rPr>
          <w:b/>
        </w:rPr>
        <w:t>Shared claim-specific concepts:</w:t>
      </w:r>
      <w:r>
        <w:t xml:space="preserve"> climate, cover, precipitation, temperature, over, main;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climate, land, cover, over;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2021:</w:t>
      </w:r>
      <w:r>
        <w:t xml:space="preserve"> The role of land cover in the climate of glacial Europe — https://doi.org/10.5194/cp-17-1161-2021</w:t>
      </w:r>
    </w:p>
    <w:p>
      <w:pPr/>
      <w:r>
        <w:rPr>
          <w:b/>
        </w:rPr>
        <w:t>Shared claim-specific concepts:</w:t>
      </w:r>
      <w:r>
        <w:t xml:space="preserve"> climate, land, cover, vegetation, used, over; EU scope visible. This is a provisional connection, not an outcome finding.</w:t>
      </w:r>
    </w:p>
    <w:p>
      <w:pPr>
        <w:pStyle w:val="SourceNote"/>
      </w:pPr>
      <w:r>
        <w:rPr>
          <w:b/>
        </w:rPr>
        <w:t>Available abstract (not full text):</w:t>
      </w:r>
      <w:r>
        <w:t xml:space="preserve"> Abstract. Earth system models show wide disagreement when simulating the climate of the continents at the Last Glacial Maximum (LGM). This disagreement may be related to a variety of factors, including model resolution and an incomplete representation of Earth system processes. To assess the importance of resolution and land-atmosphere feedbacks on the climate of Europe, we performed an iterative, asynchronously coupled land-atmosphere modelling experiment that combined a global climate model, a regional climate model, and a dynamic vegetation model. The regional climate and land cover models were run at high (18 km) resolution over a domain covering the ice-free regions of Europe. Asynchronous coupling between the regional climate model and the vegetation model showed that the land-atmosphere coupling achieves quasi-equilibrium after four iterations. Modelled climate and land cover agree reasonably well with independent reconstructions based on pollen and other paleoenvironmental proxies. To assess the importance of land cover on the LGM climate of Europe, we performed a sensitivity test where we used LGM climate but present day land cover as boundary conditions. These simulations show that the LGM land-atmosphere feedback leads to colder and drier conditions around the Alps and a warmer and drier climate in southeastern Europe. Even in mid-latitude Europe where the land-atmos</w:t>
      </w:r>
    </w:p>
    <w:p>
      <w:pPr>
        <w:pStyle w:val="Heading2"/>
      </w:pPr>
      <w:r>
        <w:t>1005.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r>
        <w:rPr>
          <w:b/>
        </w:rPr>
        <w:t>POSSIBLE 2024:</w:t>
      </w:r>
      <w:r>
        <w:t xml:space="preserve"> Scientific opinion on the tolerable upper intake level for iron — https://doi.org/10.2903/j.efsa.2024.8819</w:t>
      </w:r>
    </w:p>
    <w:p>
      <w:pPr/>
      <w:r>
        <w:rPr>
          <w:b/>
        </w:rPr>
        <w:t>Shared claim-specific concepts:</w:t>
      </w:r>
      <w:r>
        <w:t xml:space="preserve"> tolerable, intake, levels, not, level; EU scope visible. This is a provisional connection, not an outcome finding.</w:t>
      </w:r>
    </w:p>
    <w:p>
      <w:pPr>
        <w:pStyle w:val="SourceNote"/>
      </w:pPr>
      <w:r>
        <w:rPr>
          <w:b/>
        </w:rPr>
        <w:t>Available abstract (not full text):</w:t>
      </w:r>
      <w:r>
        <w:t xml:space="preserve"> Abstract Following a request from the European Commission, the EFSA Panel on Nutrition, Novel Foods and Food Allergens (NDA) was asked to deliver a scientific opinion on the tolerable upper intake level (UL) for iron. Systematic reviews were conducted to identify evidence regarding high iron intakes and risk of chronic diseases, adverse gastrointestinal effects and adverse effects of iron supplementation in infancy, young childhood and pregnancy. It is established that systemic iron overload leads to organ toxicity, but no UL could be established. The only indicator for which a dose–response could be established was black stools, which reflect the presence of large amounts of unabsorbed iron in the gut. This is a conservative endpoint among the chain of events that may lead to systemic iron overload but is not adverse per se. Based on interventions in which black stools did not occur at supplemental iron intakes of 20–25 mg/day (added to a background intake of 15 mg/day), a safe level of intake for iron of 40 mg/day for adults (including pregnant and lactating women) was established. Using allometric scaling (body weight0.75), this value was scaled down to children and adolescents and safe levels of intakes between 10 mg/day (1–3 years) and 35 mg/day (15–17 years) were derived. For infants 7–11 months of age who have a higher iron requirement than young children, allometric sca</w:t>
      </w:r>
    </w:p>
    <w:p>
      <w:pPr/>
      <w:r>
        <w:rPr>
          <w:b/>
        </w:rPr>
        <w:t>POSSIBLE 2022:</w:t>
      </w:r>
      <w:r>
        <w:t xml:space="preserve"> Exposure modelling in Europe: how to pave the road for the future as part of the European Exposure Science Strategy 2020–2030 — https://doi.org/10.1038/s41370-022-00455-4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Exposure models are essential in almost all relevant contexts for exposure science. To address the numerous challenges and gaps that exist, exposure modelling is one of the priority areas of the European Exposure Science Strategy developed by the European Chapter of the International Society of Exposure Science (ISES Europe). A strategy was developed for the priority area of exposure modelling in Europe with four strategic objectives. These objectives are (1) improvement of models and tools, (2) development of new methodologies and support for understudied fields, (3) improvement of model use and (4) regulatory needs for modelling. In a bottom-up approach, exposure modellers from different European countries and institutions who are active in the fields of occupational, population and environmental exposure science pooled their expertise under the umbrella of the ISES Europe Working Group on exposure models. This working group assessed the state-of-the-art of exposure modelling in Europe by developing an inventory of exposure models used in Europe and reviewing the existing literature on pitfalls for exposure modelling, in order to identify crucial modelling-related strategy elements. Decisive actions were defined for ISES Europe stakeholders, including collecting available models and accompanying information in a living document curated and published by ISES Europe, as well as</w:t>
      </w:r>
    </w:p>
    <w:p>
      <w:pPr/>
      <w:r>
        <w:rPr>
          <w:b/>
        </w:rPr>
        <w:t>POSSIBLE 2022:</w:t>
      </w:r>
      <w:r>
        <w:t xml:space="preserve"> European Regulatory and Insurance Aspects of Carbon Capture and Storage — https://doi.org/10.54648/eelr2022024</w:t>
      </w:r>
    </w:p>
    <w:p>
      <w:pPr/>
      <w:r>
        <w:rPr>
          <w:b/>
        </w:rPr>
        <w:t>Shared claim-specific concepts:</w:t>
      </w:r>
      <w:r>
        <w:t xml:space="preserve"> regulatory, not, any, use, however; EU scope visible. This is a provisional connection, not an outcome finding.</w:t>
      </w:r>
    </w:p>
    <w:p>
      <w:pPr>
        <w:pStyle w:val="SourceNote"/>
      </w:pPr>
      <w:r>
        <w:rPr>
          <w:b/>
        </w:rPr>
        <w:t>Available abstract (not full text):</w:t>
      </w:r>
      <w:r>
        <w:t xml:space="preserve"> Carbon capture, use and storage (CCUS) has the potential to significantly reduce carbon emissions, however, because CCUS technology almost exclusively aims for carbon mitigation without co-benefits, this expensive technology has not been widely adopted. In order to make this technology viable, a robust regulatory and legal regime is required both internationally and within the European Union (EU). A comprehensive insurance system is also required to ensure that efficient running of CCUS. With this understanding in mind, this article analyses the regulatory regime governing CCUS both internationally and in the EU and also the law governing insurance of this technology. It argues that whilst European regulation has improved with respect to filling regulatory gaps, a number of gaps are identified which still need to be closed. In addition, the article will argue that special insurance coverage for specialized risks must be in place to diminish any environmental impact and hazard, including cyber-related risks that need to be identified and insured to be properly handled and adequately covered to allow for the successful deployment of CCUS. Carbon capture, use and storage; climate change; climate change mitigation; environmental insurance; cyber insurance; EU environmental law</w:t>
      </w:r>
    </w:p>
    <w:p>
      <w:pPr/>
      <w:r>
        <w:rPr>
          <w:b/>
        </w:rPr>
        <w:t>POSSIBLE 2022:</w:t>
      </w:r>
      <w:r>
        <w:t xml:space="preserve"> Electromagnetic Fields Exposure Assessment in Europe Utilizing Publicly Available Data — https://doi.org/10.3390/s22218481</w:t>
      </w:r>
    </w:p>
    <w:p>
      <w:pPr/>
      <w:r>
        <w:rPr>
          <w:b/>
        </w:rPr>
        <w:t>Shared claim-specific concepts:</w:t>
      </w:r>
      <w:r>
        <w:t xml:space="preserve"> exposure, limits, levels, use; EU scope visible. This is a provisional connection, not an outcome finding.</w:t>
      </w:r>
    </w:p>
    <w:p>
      <w:pPr>
        <w:pStyle w:val="SourceNote"/>
      </w:pPr>
      <w:r>
        <w:rPr>
          <w:b/>
        </w:rPr>
        <w:t>Available abstract (not full text):</w:t>
      </w:r>
      <w:r>
        <w:t xml:space="preserve"> The ever-increasing use of wireless communication systems during the last few decades has raised concerns about the potential health effects of electromagnetic fields (EMFs) on humans. Safety limits and exposure assessment methods were developed and are regularly updated to mitigate health risks. Continuous radiofrequency EMF monitoring networks and in situ measurement campaigns provide useful information about environmental EMF levels and their variations over time and in different microenvironments. In this study, published data from the five largest monitoring networks and from two extensive in situ measurement campaigns in different European countries were gathered and processed. Median electric field values for monitoring networks across different countries lay in the interval of 0.67-1.51 V/m. The median electric field value across different microenvironments, as evaluated from in situ measurements, varied from 0.10 V/m to 1.42 V/m. The differences between networks were identified and mainly attributed to variations in population density. No significant trends in the temporal evolution of EMF levels were observed. The influences of parameters such as population density, type of microenvironment, and height of measurement on EMF levels were investigated.</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exposure, levels, not, use, yet, however;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r>
        <w:rPr>
          <w:b/>
        </w:rPr>
        <w:t>POSSIBLE 2021:</w:t>
      </w:r>
      <w:r>
        <w:t xml:space="preserve"> Enhancing the use of exposure science across EU chemical policies as part of the European Exposure Science Strategy 2020–2030 — https://doi.org/10.1038/s41370-021-00388-4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BACKGROUND: A scientific framework on exposure science will boost the multiuse of exposure knowledge across EU chemicals-related policies and improve risk assessment, risk management and communication across EU safety, security and sustainability domains. OBJECTIVE: To stimulate public and private actors to align and strengthen the cross-policy adoption of exposure assessment data, methods and tools across EU legislation. METHODS: By mapping and analysing the EU regulatory landscape making use of exposure information, policy and research challenges and key areas of action are identified and translated into opportunities enhancing policy and scientific efficiency. RESULTS: Identified key areas of actions are to develop a common scientific exposure assessment framework, supported by baseline acceptance criteria and a shared knowledge base enhancing exchangeability and acceptability of exposure knowledge within and across EU chemicals-related policies. Furthermore, such framework will improve communication and management across EU chemical safety, security and sustainability policies comprising sourcing, manufacturing and global trade of goods and waste management. In support of building such a common framework and its effective use in policy and industry, exposure science innovation needs to be better embedded along the whole policymaking cycle, and be integrated into companies' </w:t>
      </w:r>
    </w:p>
    <w:p>
      <w:pPr/>
      <w:r>
        <w:rPr>
          <w:b/>
        </w:rPr>
        <w:t>POSSIBLE 2020:</w:t>
      </w:r>
      <w:r>
        <w:t xml:space="preserve"> Safety and tolerability of topical polyhexamethylene biguanide: a randomised clinical trial in healthy adult volunteers — https://doi.org/10.1136/bjophthalmol-2020-317848</w:t>
      </w:r>
    </w:p>
    <w:p>
      <w:pPr/>
      <w:r>
        <w:rPr>
          <w:b/>
        </w:rPr>
        <w:t>Shared claim-specific concepts:</w:t>
      </w:r>
      <w:r>
        <w:t xml:space="preserve"> daily, levels, not, any, use; EU scope not established. This is a provisional connection, not an outcome finding.</w:t>
      </w:r>
    </w:p>
    <w:p>
      <w:pPr>
        <w:pStyle w:val="SourceNote"/>
      </w:pPr>
      <w:r>
        <w:rPr>
          <w:b/>
        </w:rPr>
        <w:t>Available abstract (not full text):</w:t>
      </w:r>
      <w:r>
        <w:t xml:space="preserve"> BACKGROUND AND AIMS: keratitis (AK), is unlicensed with no formal safety assessment. This study evaluated its safety and tolerability. METHODS: A prospective, randomised, double-masked controlled trial in 90 healthy volunteers. Subjects were treated with topical 0.04%, 0.06%, 0.08% PHMB or placebo (vehicle) 12× daily for 7 days, then 6× daily for 7 days. The rates of dose-limiting adverse events (DLAEs) leading to interruption of dosing, mild adverse events (AEs) (not dose limiting) and incidental AEs (unrelated to treatment) were compared. The primary outcome was the difference between treatments for DLAE rates. RESULTS: 5/90 subjects developed DLAE within &lt;1-4 days of starting treatment; 2/5 using PHMB 0.06% and 3/5 PHMB 0.08%. These resolved within 1-15 days. There were no significant differences in DLAE between treatment groups. Mild AEs occurred in 48/90 subjects (including placebo). There was no trend for an increased incidence of any AE with increasing concentrations of PHMB, except for corneal punctate keratopathy with PHMB 0.08%, which fully resolved within 7-14 days. CONCLUSION: These findings are reassuring for PHMB 0.02% users. They also suggest that higher PHMB concentrations may show acceptable levels of tolerance and toxicity in AK subjects, whose susceptibility to AE may be greater than for the normal eyes in this study. Given the potential benefits of higher PH</w:t>
      </w:r>
    </w:p>
    <w:p>
      <w:pPr>
        <w:pStyle w:val="Heading2"/>
      </w:pPr>
      <w:r>
        <w:t>1006.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2025:</w:t>
      </w:r>
      <w:r>
        <w:t xml:space="preserve"> DECONSTRUCTING SDG PERFORMANCE FOR STRATEGIC INSIGHT: QUANTITATIVE INSIGHTS FROM TÜRKİYE AND EUROPEAN COUNTRIES — https://doi.org/10.15544/mts.2025.29</w:t>
      </w:r>
    </w:p>
    <w:p>
      <w:pPr/>
      <w:r>
        <w:rPr>
          <w:b/>
        </w:rPr>
        <w:t>Shared claim-specific concepts:</w:t>
      </w:r>
      <w:r>
        <w:t xml:space="preserve"> insights, strategic, particularly; EU scope visible. This is a provisional connection, not an outcome finding.</w:t>
      </w:r>
    </w:p>
    <w:p>
      <w:pPr>
        <w:pStyle w:val="SourceNote"/>
      </w:pPr>
      <w:r>
        <w:rPr>
          <w:b/>
        </w:rPr>
        <w:t>Available abstract (not full text):</w:t>
      </w:r>
      <w:r>
        <w:t xml:space="preserve">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pPr/>
      <w:r>
        <w:rPr>
          <w:b/>
        </w:rPr>
        <w:t>POSSIBLE 2025:</w:t>
      </w:r>
      <w:r>
        <w:t xml:space="preserve"> Korea in Strategic Competition: A European Perspective — https://openalex.org/W7119569940</w:t>
      </w:r>
    </w:p>
    <w:p>
      <w:pPr/>
      <w:r>
        <w:rPr>
          <w:b/>
        </w:rPr>
        <w:t>Shared claim-specific concepts:</w:t>
      </w:r>
      <w:r>
        <w:t xml:space="preserve"> insights, strategic, key; EU scope visible. This is a provisional connection, not an outcome finding.</w:t>
      </w:r>
    </w:p>
    <w:p>
      <w:pPr>
        <w:pStyle w:val="SourceNote"/>
      </w:pPr>
      <w:r>
        <w:rPr>
          <w:b/>
        </w:rPr>
        <w:t>Available abstract (not full text):</w:t>
      </w:r>
      <w:r>
        <w:t xml:space="preserve">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insights, drivers;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2025:</w:t>
      </w:r>
      <w:r>
        <w:t xml:space="preserve"> Advancing interoperability of data exchange in Europe: Insights from Estonia’s experience for the common European data spaces — https://doi.org/10.1016/j.dib.2025.112361</w:t>
      </w:r>
    </w:p>
    <w:p>
      <w:pPr/>
      <w:r>
        <w:rPr>
          <w:b/>
        </w:rPr>
        <w:t>Shared claim-specific concepts:</w:t>
      </w:r>
      <w:r>
        <w:t xml:space="preserve"> insights, strategic, particularly, key; EU scope visible. This is a provisional connection, not an outcome finding.</w:t>
      </w:r>
    </w:p>
    <w:p>
      <w:pPr>
        <w:pStyle w:val="SourceNote"/>
      </w:pPr>
      <w:r>
        <w:rPr>
          <w:b/>
        </w:rPr>
        <w:t>Available abstract (not full text):</w:t>
      </w:r>
      <w:r>
        <w:t xml:space="preserve"> Interoperability is one of the most critical enablers for the success of the Common European Data Spaces (CEDS). The entry into force of the Interoperable Europe Act in April 2024 marked a pivotal moment in formalising a legal framework to support this vision. Among the emerging data spaces, the European Data Space for Smart Communities (DS4SSCC) has attracted particular attention for its ambition to act as a "connector data space," linking stakeholders, platforms, and technologies across local, regional, and national levels, as well as domains, with a focus on community-level challenges and needs. This paper offers a novel contribution by bridging real-world national and cross-border interoperability practices - particularly Estonia's operational experience with X-Road - with the strategic development of European-level data space initiatives. Unlike prior studies that focus predominantly on technical frameworks or high-level policy design, this paper provides grounded, practical insights from Estonia's long-standing implementation and institutionalisation of data exchange interoperability, translating them into actionable recommendations for DS4SSCC and other CEDS. We argue that the primary obstacles to data exchange interoperability are typically associated with organisational, political, and legal aspects, rather than purely technological ones. Accordingly, effective data go</w:t>
      </w:r>
    </w:p>
    <w:p>
      <w:pPr/>
      <w:r>
        <w:rPr>
          <w:b/>
        </w:rPr>
        <w:t>POSSIBLE 2025:</w:t>
      </w:r>
      <w:r>
        <w:t xml:space="preserve"> THE EUROPEAN POLITICAL COMMUNITY: REIMAGINING EUROPE AS GEOPOLITICAL — https://doi.org/10.24193/ojmne.2025.49.02</w:t>
      </w:r>
    </w:p>
    <w:p>
      <w:pPr/>
      <w:r>
        <w:rPr>
          <w:b/>
        </w:rPr>
        <w:t>Shared claim-specific concepts:</w:t>
      </w:r>
      <w:r>
        <w:t xml:space="preserve"> argues, insights, strategic; EU scope visible. This is a provisional connection, not an outcome finding.</w:t>
      </w:r>
    </w:p>
    <w:p>
      <w:pPr>
        <w:pStyle w:val="SourceNote"/>
      </w:pPr>
      <w:r>
        <w:rPr>
          <w:b/>
        </w:rPr>
        <w:t>Available abstract (not full text):</w:t>
      </w:r>
      <w:r>
        <w:t xml:space="preserve"> The European Political Community (EPC), proposed by French President Emmanuel Macron, represents an ap proach of reshaping the political and strategic landscape of Europe. Emphasizing the “geopolitical” in Europe, the EPC seeks to foster cooperation among European states on shared values of democracy, stability and security. This paper frames the EPC as a geopolitical construction, analysing its potential to create a more inclusive and pragmatic form of political unity in response to contemporary challenges and geopolitical shifts. The paper gives a theoretical and conceptual review of the EPC, addressing its potential to reshape Europe’s borders, identity, and geopolitical role, and evaluates its capacity to deliver tangible results in areas such as security cooperation, energy security, and humanitarian efforts. Drawing on the theoretical frameworks of critical geo politics, the paper argues that the EPC provides a model of political cooperation that transcends traditional notions of territoriality and expands Europe’s strategic influence. By examining the EPC through both practical and theoretical lenses, the paper offers insights into how it could evolve into a tangible and impactful entity in the future of European geopolitics.</w:t>
      </w:r>
    </w:p>
    <w:p>
      <w:pPr/>
      <w:r>
        <w:rPr>
          <w:b/>
        </w:rPr>
        <w:t>POSSIBLE 2023:</w:t>
      </w:r>
      <w:r>
        <w:t xml:space="preserve"> Arguing — https://doi.org/10.1093/oso/9780198866053.003.0008</w:t>
      </w:r>
    </w:p>
    <w:p>
      <w:pPr/>
      <w:r>
        <w:rPr>
          <w:b/>
        </w:rPr>
        <w:t>Shared claim-specific concepts:</w:t>
      </w:r>
      <w:r>
        <w:t xml:space="preserve"> insights, particularly, suited; EU scope visible. This is a provisional connection, not an outcome finding.</w:t>
      </w:r>
    </w:p>
    <w:p>
      <w:pPr>
        <w:pStyle w:val="SourceNote"/>
      </w:pPr>
      <w:r>
        <w:rPr>
          <w:b/>
        </w:rPr>
        <w:t>Available abstract (not full text):</w:t>
      </w:r>
      <w:r>
        <w:t xml:space="preserve"> Abstract This chapter discusses three genres concerned with argumentative advocacy of or against certain positions. The dialogue, a genre with deep ancient roots, was by its very nature suitable for the discussion of controversial subjects. The dissertation, an extremely prolific genre in Central and Northern Europe, was originally the basis of a disputatio, an academic exercise in scholarly argumentation; from the eighteenth century, it began to evolve into the proof of a candidate’s scientific capacity which it is today. Dissertations were avidly collected by some because of the novelty of their contents. Innovativeness was also a hallmark of the monograph, the focused treatment of a single, coherent topic, which rose to new prominence in early modern times. Medium-sized, neatly structured, and thoroughly argued, this type of book was particularly well suited to the presentation of new insights and theories.</w:t>
      </w:r>
    </w:p>
    <w:p>
      <w:pPr/>
      <w:r>
        <w:rPr>
          <w:b/>
        </w:rPr>
        <w:t>POSSIBLE 2022:</w:t>
      </w:r>
      <w:r>
        <w:t xml:space="preserve"> Strategic partnerships and China’s diplomacy in Europe: Insights from Italy — https://doi.org/10.1177/13691481221127571</w:t>
      </w:r>
    </w:p>
    <w:p>
      <w:pPr/>
      <w:r>
        <w:rPr>
          <w:b/>
        </w:rPr>
        <w:t>Shared claim-specific concepts:</w:t>
      </w:r>
      <w:r>
        <w:t xml:space="preserve"> insights, strategic, ideational; EU scope visible. This is a provisional connection, not an outcome finding.</w:t>
      </w:r>
    </w:p>
    <w:p>
      <w:pPr>
        <w:pStyle w:val="SourceNote"/>
      </w:pPr>
      <w:r>
        <w:rPr>
          <w:b/>
        </w:rPr>
        <w:t>Available abstract (not full text):</w:t>
      </w:r>
      <w:r>
        <w:t xml:space="preserve"> As discussions of a ‘new cold war’ between China and the West intensify, it has never been more important to understand how China engages internationally. Crucially, as of 2022, China has established 110 ‘strategic partnerships’, without stipulating any formal treaty of alliance, but we know little about strategic partnerships and how China uses them, despite their centrality as a foreign policy tool. Departing from the assumption of the state as a unitary and monolithic actor in international affairs, this article proposes a new framework of strategic partnerships which incorporates sub-state entities as well as an ideational component, highlighting the image-building purpose that these partnerships serve. Empirically, the analysis focuses on the evolution of the Sino-Italian strategic partnership, drawing on a critical discourse analysis of 1294 news articles published as part of the agreement between the Chinese and Italian news agencies Xinhua and ANSA.</w:t>
      </w:r>
    </w:p>
    <w:p>
      <w:pPr>
        <w:pStyle w:val="Heading2"/>
      </w:pPr>
      <w:r>
        <w:t>1007.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2025:</w:t>
      </w:r>
      <w:r>
        <w:t xml:space="preserve"> Artificial Intelligence-Empowered Radiology—Current Status and Critical Review — https://doi.org/10.3390/diagnostics15030282</w:t>
      </w:r>
    </w:p>
    <w:p>
      <w:pPr/>
      <w:r>
        <w:rPr>
          <w:b/>
        </w:rPr>
        <w:t>Shared claim-specific concepts:</w:t>
      </w:r>
      <w:r>
        <w:t xml:space="preserve"> critical, current, particularly; EU scope not established. This is a provisional connection, not an outcome finding.</w:t>
      </w:r>
    </w:p>
    <w:p>
      <w:pPr>
        <w:pStyle w:val="SourceNote"/>
      </w:pPr>
      <w:r>
        <w:rPr>
          <w:b/>
        </w:rPr>
        <w:t>Available abstract (not full text):</w:t>
      </w:r>
      <w:r>
        <w:t xml:space="preserve"> Humanity stands at a pivotal moment of technological revolution, with artificial intelligence (AI) reshaping fields traditionally reliant on human cognitive abilities. This transition, driven by advancements in artificial neural networks, has transformed data processing and evaluation, creating opportunities for addressing complex and time-consuming tasks with AI solutions. Convolutional networks (CNNs) and the adoption of GPU technology have already revolutionized image recognition by enhancing computational efficiency and accuracy. In radiology, AI applications are particularly valuable for tasks involving pattern detection and classification; for example, AI tools have enhanced diagnostic accuracy and efficiency in detecting abnormalities across imaging modalities through automated feature extraction. Our analysis reveals that neuroimaging and chest imaging, as well as CT and MRI modalities, are the primary focus areas for AI products, reflecting their high clinical demand and complexity. AI tools are also used to target high-prevalence diseases, such as lung cancer, stroke, and breast cancer, underscoring AI's alignment with impactful diagnostic needs. The regulatory landscape is a critical factor in AI product development, with the majority of products certified under the Medical Device Directive (MDD) and Medical Device Regulation (MDR) in Class IIa or Class I categories,</w:t>
      </w:r>
    </w:p>
    <w:p>
      <w:pPr/>
      <w:r>
        <w:rPr>
          <w:b/>
        </w:rPr>
        <w:t>POSSIBLE 2024:</w:t>
      </w:r>
      <w:r>
        <w:t xml:space="preserve"> Lithium: critical, or not so critical? — https://doi.org/10.1144/geoenergy2023-045</w:t>
      </w:r>
    </w:p>
    <w:p>
      <w:pPr/>
      <w:r>
        <w:rPr>
          <w:b/>
        </w:rPr>
        <w:t>Shared claim-specific concepts:</w:t>
      </w:r>
      <w:r>
        <w:t xml:space="preserve"> critical, current, overall; EU scope not established. This is a provisional connection, not an outcome finding.</w:t>
      </w:r>
    </w:p>
    <w:p>
      <w:pPr>
        <w:pStyle w:val="SourceNote"/>
      </w:pPr>
      <w:r>
        <w:rPr>
          <w:b/>
        </w:rPr>
        <w:t>Available abstract (not full text):</w:t>
      </w:r>
      <w:r>
        <w:t xml:space="preserve">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pPr/>
      <w:r>
        <w:rPr>
          <w:b/>
        </w:rPr>
        <w:t>POSSIBLE 2024:</w:t>
      </w:r>
      <w:r>
        <w:t xml:space="preserve"> Critical Disposition Towards the Uncertainty of Events – Aspirations, Endeavour and Plans of Future Teachers — https://doi.org/10.17951/j.2023.36.4.19-35</w:t>
      </w:r>
    </w:p>
    <w:p>
      <w:pPr/>
      <w:r>
        <w:rPr>
          <w:b/>
        </w:rPr>
        <w:t>Shared claim-specific concepts:</w:t>
      </w:r>
      <w:r>
        <w:t xml:space="preserve"> so-called, critical; EU scope not established. This is a provisional connection, not an outcome finding.</w:t>
      </w:r>
    </w:p>
    <w:p>
      <w:pPr>
        <w:pStyle w:val="SourceNote"/>
      </w:pPr>
      <w:r>
        <w:rPr>
          <w:b/>
        </w:rPr>
        <w:t>Available abstract (not full text):</w:t>
      </w:r>
      <w:r>
        <w:t xml:space="preserve">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pPr/>
      <w:r>
        <w:rPr>
          <w:b/>
        </w:rPr>
        <w:t>POSSIBLE 2024:</w:t>
      </w:r>
      <w:r>
        <w:t xml:space="preserve"> The So-Called Creative PhD — https://doi.org/10.31182/cubic.2024.7.75</w:t>
      </w:r>
    </w:p>
    <w:p>
      <w:pPr/>
      <w:r>
        <w:rPr>
          <w:b/>
        </w:rPr>
        <w:t>Shared claim-specific concepts:</w:t>
      </w:r>
      <w:r>
        <w:t xml:space="preserve"> so-called, concern, particularly; EU scope not established. This is a provisional connection, not an outcome finding.</w:t>
      </w:r>
    </w:p>
    <w:p>
      <w:pPr>
        <w:pStyle w:val="SourceNote"/>
      </w:pPr>
      <w:r>
        <w:rPr>
          <w:b/>
        </w:rPr>
        <w:t>Available abstract (not full text):</w:t>
      </w:r>
      <w:r>
        <w:t xml:space="preserve">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pPr/>
      <w:r>
        <w:rPr>
          <w:b/>
        </w:rPr>
        <w:t>POSSIBLE 2024:</w:t>
      </w:r>
      <w:r>
        <w:t xml:space="preserve"> Uncertainty quantification for overshoots of tipping thresholds — https://doi.org/10.5194/egusphere-egu24-8618</w:t>
      </w:r>
    </w:p>
    <w:p>
      <w:pPr/>
      <w:r>
        <w:rPr>
          <w:b/>
        </w:rPr>
        <w:t>Shared claim-specific concepts:</w:t>
      </w:r>
      <w:r>
        <w:t xml:space="preserve"> so-called, critical, uncertainties, found, current, climate; EU scope not established. This is a provisional connection, not an outcome finding.</w:t>
      </w:r>
    </w:p>
    <w:p>
      <w:pPr>
        <w:pStyle w:val="SourceNote"/>
      </w:pPr>
      <w:r>
        <w:rPr>
          <w:b/>
        </w:rPr>
        <w:t>Available abstract (not full text):</w:t>
      </w:r>
      <w:r>
        <w:t xml:space="preserve"> To tip or not to tip?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and driving a nonlinear system beyond a critical threshold that signifies self-amplifying feedbacks inducing tipping. However, previous work has shown that it is possible to briefly overshoot a critical threshold and avoid tipping. Specifically, the peak distance of an overshoot and the time a system can spend beyond a threshold are governed by an inverse square law relationship. In the real world or complex models, critical thresholds and other system features determining the permitted overshoot are highly uncertain. In this presentation, we look at how such uncertainties affect the probability of tipping from the perspective of uncertainty quantification. We show the importance of constraining uncertainty in the location of the critical threshold and the linear restoring rate to the stable state to reduce the uncertainty in the probability of tipping. Using a simple box model for the Atlantic Meridional Overturning Circulation, we highlight the need to constrain the high un</w:t>
      </w:r>
    </w:p>
    <w:p>
      <w:pPr/>
      <w:r>
        <w:rPr>
          <w:b/>
        </w:rPr>
        <w:t>POSSIBLE 2023:</w:t>
      </w:r>
      <w:r>
        <w:t xml:space="preserve"> A Critical Comment on T.S. Kuhn’s Views about the So-called Copernican Revolution and Several Current Prejudices – Barriers in Scientific Communities — https://doi.org/10.4467/2543702xshs.23.004.17695</w:t>
      </w:r>
    </w:p>
    <w:p>
      <w:pPr/>
      <w:r>
        <w:rPr>
          <w:b/>
        </w:rPr>
        <w:t>Shared claim-specific concepts:</w:t>
      </w:r>
      <w:r>
        <w:t xml:space="preserve"> so-called, critical, current, about; EU scope not established. This is a provisional connection, not an outcome finding.</w:t>
      </w:r>
    </w:p>
    <w:p>
      <w:pPr>
        <w:pStyle w:val="SourceNote"/>
      </w:pPr>
      <w:r>
        <w:rPr>
          <w:b/>
        </w:rPr>
        <w:t>Available abstract (not full text):</w:t>
      </w:r>
      <w:r>
        <w:t xml:space="preserve">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pPr/>
      <w:r>
        <w:rPr>
          <w:b/>
        </w:rPr>
        <w:t>POSSIBLE 2023:</w:t>
      </w:r>
      <w:r>
        <w:t xml:space="preserve"> Knowledge, Integration and Scope of Deepfakes in Arts Education: The Development of Critical Thinking in Postgraduate Students in Primary Education and Master’s Degree in Secondary Education — https://doi.org/10.3390/educsci13111073</w:t>
      </w:r>
    </w:p>
    <w:p>
      <w:pPr/>
      <w:r>
        <w:rPr>
          <w:b/>
        </w:rPr>
        <w:t>Shared claim-specific concepts:</w:t>
      </w:r>
      <w:r>
        <w:t xml:space="preserve"> so-called, critical, current; EU scope not established. This is a provisional connection, not an outcome finding.</w:t>
      </w:r>
    </w:p>
    <w:p>
      <w:pPr>
        <w:pStyle w:val="SourceNote"/>
      </w:pPr>
      <w:r>
        <w:rPr>
          <w:b/>
        </w:rPr>
        <w:t>Available abstract (not full text):</w:t>
      </w:r>
      <w:r>
        <w:t xml:space="preserve">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pPr/>
      <w:r>
        <w:rPr>
          <w:b/>
        </w:rPr>
        <w:t>POSSIBLE 2023:</w:t>
      </w:r>
      <w:r>
        <w:t xml:space="preserve"> Solar radiation modification is risky, but so is rejecting it: a call for balanced research — https://doi.org/10.1093/oxfclm/kgad002</w:t>
      </w:r>
    </w:p>
    <w:p>
      <w:pPr/>
      <w:r>
        <w:rPr>
          <w:b/>
        </w:rPr>
        <w:t>Shared claim-specific concepts:</w:t>
      </w:r>
      <w:r>
        <w:t xml:space="preserve"> degrees, climate; EU scope not established. This is a provisional connection, not an outcome finding.</w:t>
      </w:r>
    </w:p>
    <w:p>
      <w:pPr>
        <w:pStyle w:val="SourceNote"/>
      </w:pPr>
      <w:r>
        <w:rPr>
          <w:b/>
        </w:rPr>
        <w:t>Available abstract (not full text):</w:t>
      </w:r>
      <w:r>
        <w:t xml:space="preserve"> As it is increasingly uncertain whether humanity can limit global warming to 1.5 degrees, Solar Radiation Modification (SRM) has been suggested as a potential temporary complement to mitigation. While no replacement for mitigation, evidence to date suggests that some SRM methods could contribute to reducing climate risks and would be technically feasible. But such interventions would also pose environmental risks and unprecedented governance challenges. The risks of SRM must be carefully weighed against those of climate change without SRM. Currently, both types of risks are not sufficiently understood to assess whether SRM could be largely beneficial. Given the already serious impacts of climate change and the possibility that pressure from their increasing severity will trigger rash decisions, we argue that timely, careful investigation and deliberation on SRM is a safer path than wilful ignorance. A framework of ethical guidelines and regulation can help limit potential risks from SRM research.</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