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12:23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checked 100 leads; 53 have potentially related later publications. Independently verified outcomes: 0. Later research papers are not proof that a scenario came true.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Later research found (not confirmed outcomes)</w:t>
      </w:r>
    </w:p>
    <w:p>
      <w:r>
        <w:t>Original: Sustainable renewable energy supply networks optimization – The gradual transition to a renewable energy syste</w:t>
      </w:r>
    </w:p>
    <w:p>
      <w:r>
        <w:t>• 2022: Sustainable Energy Transition for Renewable and Low Carbon Grid Electricity Generation and Supply — https://doi.org/10.3389/fenrg.2021.743114</w:t>
      </w:r>
    </w:p>
    <w:p>
      <w:r>
        <w:t>• 2023: Sustainable Long-Term Energy Supply and Demand: The Gradual Transition to a New and Renewable Energy System in Indonesia by 2050 — https://doi.org/10.14710/ijred.2023.50361</w:t>
      </w:r>
    </w:p>
    <w:p>
      <w:r>
        <w:t>Original: Investigating European Union Decarbonization Strategies: Evaluating the Pathway to Carbon Neutrality by 2050</w:t>
      </w:r>
    </w:p>
    <w:p>
      <w:r>
        <w:t>• 2025: Investigating Africa’s decarbonization strategies: evaluating the pathway to net-zero by 2050–2060 — https://doi.org/10.1007/s44274-025-00287-7</w:t>
      </w:r>
    </w:p>
    <w:p>
      <w:r>
        <w:t>• 2025: An in-depth review of key technologies and pathways to carbon neutrality: classification and assessment of decarbonization technologies — https://doi.org/10.1007/s43979-025-00129-8</w:t>
      </w:r>
    </w:p>
    <w:p>
      <w:r>
        <w:t>Original: Forecasting Loan Default in Europe with Machine Learning</w:t>
      </w:r>
    </w:p>
    <w:p>
      <w:r>
        <w:t>• 2022: Application of Machine Learning in Loan Default Forecasting — https://doi.org/10.63282/3050-9262.ijaidsml-v3i4p114</w:t>
      </w:r>
    </w:p>
    <w:p>
      <w:r>
        <w:t>• 2023: Loan Default Prediction Based on Machine Learning Methods — https://doi.org/10.4108/eai.2-12-2022.2328740</w:t>
      </w:r>
    </w:p>
    <w:p>
      <w:r>
        <w:t xml:space="preserve">Original: Interactively modelling land profitability to estimate European agricultural and forest land use under future </w:t>
      </w:r>
    </w:p>
    <w:p>
      <w:r>
        <w:t>• 2018: A Random Forest-Cellular Automata modelling approach to explore future land use/cover change in Attica (Greece), under different socio-economic realit — https://doi.org/10.1016/j.scitotenv.2018.07.302</w:t>
      </w:r>
    </w:p>
    <w:p>
      <w:r>
        <w:t>Original: Developing an Agricultural Futures Framework to explore the option space for agricultural change in Europe und</w:t>
      </w:r>
    </w:p>
    <w:p>
      <w:r>
        <w:t>• 2026: Mapping Agricultural Impact Investing for Climate Change Mitigation: A Bibliometric Analysis under the SDGs Framework — https://doi.org/10.36899/japs.2026.6.0145</w:t>
      </w:r>
    </w:p>
    <w:p>
      <w:r>
        <w:t>Original: Experts’ assessments of migration scenarios between the Middle East &amp; North Africa and Europe</w:t>
      </w:r>
    </w:p>
    <w:p>
      <w:r>
        <w:t>• 2024: Governing for Sustainable Prosperity in the Middle East and North Africa — https://doi.org/10.1787/d0da1d30-en</w:t>
      </w:r>
    </w:p>
    <w:p>
      <w:r>
        <w:t>• 2025: Geopolitics of Renewable Energy in the Middle East and North Africa Region — https://doi.org/10.2991/978-94-6463-646-8_5</w:t>
      </w:r>
    </w:p>
    <w:p>
      <w:r>
        <w:t>Original: The implications of demographic and economic projections on public pension spending in the European Union</w:t>
      </w:r>
    </w:p>
    <w:p>
      <w:r>
        <w:t>• 2024: The Impact of the Demographic Ice Age on Economic Growth, Public Policy, and the Sustainability of Pension Systems — https://doi.org/10.54237/profnet.2024.tbdecce_9</w:t>
      </w:r>
    </w:p>
    <w:p>
      <w:r>
        <w:t>• 2025: Demographic change will hit public debt sustainability in European Union countries — https://doi.org/10.1016/j.jpolmod.2025.09.004</w:t>
      </w:r>
    </w:p>
    <w:p>
      <w:r>
        <w:t>Original: ENERGY TRANSITION IN ROMANIA AND THE EUROPEAN UNION: DEVELOPMENTS, CHALLENGES AND PERSPECTIVES</w:t>
      </w:r>
    </w:p>
    <w:p>
      <w:r>
        <w:t>• 2026: Carbon power flow and Romania’s energy transition: Challenges and opportunities — https://doi.org/10.1051/epjconf/202637206013</w:t>
      </w:r>
    </w:p>
    <w:p>
      <w:r>
        <w:t>• 2026: Carbon power flow and Romania’s energy transition: Challenges and opportunities — https://doi.org/10.1051/epjconf/202637206013/pdf</w:t>
      </w:r>
    </w:p>
    <w:p>
      <w:r>
        <w:t>Original: Introduction: The EU new economic governance, labour law and labour lawyers</w:t>
      </w:r>
    </w:p>
    <w:p>
      <w:r>
        <w:t>• 2024: Trade unions, labour governance and economic upgradation in value chains — https://doi.org/10.54394/xtnw2213</w:t>
      </w:r>
    </w:p>
    <w:p>
      <w:r>
        <w:t>Original: Future Projections of Heat Mortality Risk for Major European Cities</w:t>
      </w:r>
    </w:p>
    <w:p>
      <w:r>
        <w:t>• 2024: Future Projections of Heat Waves and Associated Mortality Risk in a Coastal Mediterranean City — https://doi.org/10.3390/su16031072</w:t>
      </w:r>
    </w:p>
    <w:p>
      <w:r>
        <w:t>• 2024: High-resolution projections of ambient heat for major European cities using different heat metrics — https://doi.org/10.5194/nhess-24-331-2024</w:t>
      </w:r>
    </w:p>
    <w:p>
      <w:r>
        <w:t>Original: Opportunities and challenges of high renewable energy deployment and electricity exchange for North Africa and</w:t>
      </w:r>
    </w:p>
    <w:p>
      <w:r>
        <w:t>• 2022: Renewable energy in North Africa: Modeling of future electricity scenarios and the impact on manufacturing and employment — https://doi.org/10.24406/publica-fhg-280508</w:t>
      </w:r>
    </w:p>
    <w:p>
      <w:r>
        <w:t>• 2021: Opportunities and Challenges of Renewable Energy Production in Ethiopia — https://doi.org/10.3390/su131810381</w:t>
      </w:r>
    </w:p>
    <w:p>
      <w:r>
        <w:t>Original: The impact of Russian sanctions on the return of agricultural commodity futures in the EU</w:t>
      </w:r>
    </w:p>
    <w:p>
      <w:r>
        <w:t>• 2023: Impact of economic sanctions on net commodity-producing and net commodity-consuming countries — https://doi.org/10.1590/0034-7329202300101</w:t>
      </w:r>
    </w:p>
    <w:p>
      <w:r>
        <w:t>• 2022: Financial Speculation Impact on Agricultural and Other Commodity Return Volatility: Implications for Sustainable Development and Food Security — https://doi.org/10.3390/agriculture12111892</w:t>
      </w:r>
    </w:p>
    <w:p>
      <w:pPr>
        <w:pStyle w:val="Heading1"/>
      </w:pPr>
      <w:r>
        <w:t>What to watch next</w:t>
      </w:r>
    </w:p>
    <w:p>
      <w:r>
        <w:t>Scanner 2 checked 100 leads; 53 have possible later research links. These are research trails, not observed real-world outcomes.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