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Foresight: signs of realization</w:t>
      </w:r>
    </w:p>
    <w:p>
      <w:r>
        <w:t>Radar 2 | Evidence-based monitoring | 2026-10-20</w:t>
      </w:r>
    </w:p>
    <w:p>
      <w:r>
        <w:t>Question: Is there credible evidence that foresight is happening, beginning to happen, or being contradicted? No numerical accuracy scores are used. A scenario is not a prediction. Evidence and remaining uncertainty are shown separately.</w:t>
      </w:r>
    </w:p>
    <w:p>
      <w:r>
        <w:t>Statuses: Realized · Materializing · Early signals · No clear evidence · Contradicted · Too early to tell · Insufficient evidence · Not yet investigated.</w:t>
      </w:r>
    </w:p>
    <w:p>
      <w:pPr>
        <w:pStyle w:val="Heading2"/>
      </w:pPr>
      <w:r>
        <w:t>1. 2025 Strategic Foresight Report</w:t>
      </w:r>
    </w:p>
    <w:p>
      <w:r>
        <w:t>Original foresight: the EU is projected to have 17 million fewer people of working age by 2040 than in 2023 (33).</w:t>
      </w:r>
    </w:p>
    <w:p>
      <w:r>
        <w:t>Published: 2025-09-09 | Horizon: 2040</w:t>
      </w:r>
    </w:p>
    <w:p>
      <w:r>
        <w:t>Realization status: Not yet investigated</w:t>
      </w:r>
    </w:p>
    <w:p>
      <w:r>
        <w:t>Observed developments: No independently verified outcome yet.</w:t>
      </w:r>
    </w:p>
    <w:p>
      <w:r>
        <w:t>Assessment and limits: No conclusive assessment available.</w:t>
      </w:r>
    </w:p>
    <w:p>
      <w:r>
        <w:t>What to watch next: Further independently dated observations.</w:t>
      </w:r>
    </w:p>
    <w:p>
      <w:r>
        <w:t>Original study: https://commission.europa.eu/document/download/bdba60f0-abb3-42f8-b5be-fd35d693b289_en?filename=SFR2025-Report_web.pdf</w:t>
      </w:r>
    </w:p>
    <w:p>
      <w:pPr>
        <w:pStyle w:val="Heading2"/>
      </w:pPr>
      <w:r>
        <w:t>2. 2023 Strategic Foresight Report</w:t>
      </w:r>
    </w:p>
    <w:p>
      <w:r>
        <w:t>Original foresight: It will be key to reinforcing Europe’s long-term competitiveness and social model, and thus its global leadership in the new, net-zero economy, also by supporting other regions in building a sustainable future.</w:t>
      </w:r>
    </w:p>
    <w:p>
      <w:r>
        <w:t>Published: Unknown | Horizon: Not specified</w:t>
      </w:r>
    </w:p>
    <w:p>
      <w:r>
        <w:t>Realization status: Not yet investigated</w:t>
      </w:r>
    </w:p>
    <w:p>
      <w:r>
        <w:t>Observed developments: No independently verified outcome yet.</w:t>
      </w:r>
    </w:p>
    <w:p>
      <w:r>
        <w:t>Assessment and limits: No conclusive assessment available.</w:t>
      </w:r>
    </w:p>
    <w:p>
      <w:r>
        <w:t>What to watch next: Further independently dated observations.</w:t>
      </w:r>
    </w:p>
    <w:p>
      <w:r>
        <w:t>Original study: https://commission.europa.eu/document/download/ca1c61b7-e413-4877-970b-8ef619fc6b6c_en?filename=SFR-23-beautified-version_en_0.pdf</w:t>
      </w:r>
    </w:p>
    <w:p>
      <w:pPr>
        <w:pStyle w:val="Heading2"/>
      </w:pPr>
      <w:r>
        <w:t>3. What if...? Scanning the horizon: 12 scenarios for 2021</w:t>
      </w:r>
    </w:p>
    <w:p>
      <w:r>
        <w:t>Original foresight: Furthermore, while the 2018 revised EU Maritime Security Strategy Action Plan 7 called on member states to improve the resilience of maritime trans - port infrastructure by 2020, Zirta had a relatively small navy and an under-re - sourced ministry of defence.</w:t>
      </w:r>
    </w:p>
    <w:p>
      <w:r>
        <w:t>Published: Unknown | Horizon: Not specified</w:t>
      </w:r>
    </w:p>
    <w:p>
      <w:r>
        <w:t>Realization status: Not yet investigated</w:t>
      </w:r>
    </w:p>
    <w:p>
      <w:r>
        <w:t>Observed developments: No independently verified outcome yet.</w:t>
      </w:r>
    </w:p>
    <w:p>
      <w:r>
        <w:t>Assessment and limits: No conclusive assessment available.</w:t>
      </w:r>
    </w:p>
    <w:p>
      <w:r>
        <w:t>What to watch next: Further independently dated observations.</w:t>
      </w:r>
    </w:p>
    <w:p>
      <w:r>
        <w:t>Original study: https://www.iss.europa.eu/sites/default/files/EUISSFiles/CP_150_0.pdf</w:t>
      </w:r>
    </w:p>
    <w:p>
      <w:pPr>
        <w:pStyle w:val="Heading2"/>
      </w:pPr>
      <w:r>
        <w:t>4. Skills forecast: trends and challenges to 2030</w:t>
      </w:r>
    </w:p>
    <w:p>
      <w:r>
        <w:t>Original foresight: Prospects for employment and labour force trends in Europe Key messages Employment growth is expected to be moderate over the medium term, slowing down considerably after 2025.</w:t>
      </w:r>
    </w:p>
    <w:p>
      <w:r>
        <w:t>Published: Unknown | Horizon: Not specified</w:t>
      </w:r>
    </w:p>
    <w:p>
      <w:r>
        <w:t>Realization status: Not yet investigated</w:t>
      </w:r>
    </w:p>
    <w:p>
      <w:r>
        <w:t>Observed developments: No independently verified outcome yet.</w:t>
      </w:r>
    </w:p>
    <w:p>
      <w:r>
        <w:t>Assessment and limits: No conclusive assessment available.</w:t>
      </w:r>
    </w:p>
    <w:p>
      <w:r>
        <w:t>What to watch next: Further independently dated observations.</w:t>
      </w:r>
    </w:p>
    <w:p>
      <w:r>
        <w:t>Original study: https://www.cedefop.europa.eu/files/3077_en.pdf</w:t>
      </w:r>
    </w:p>
    <w:sectPr w:rsidR="00FC693F" w:rsidRPr="0006063C" w:rsidSect="00034616">
      <w:pgSz w:w="12240" w:h="15840"/>
      <w:pgMar w:top="1080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