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ideas — what happened?</w:t>
      </w:r>
    </w:p>
    <w:p>
      <w:pPr>
        <w:pStyle w:val="Subtitle"/>
      </w:pPr>
      <w:r>
        <w:t>Evidence collected from 2026-06-01 through 2026-10-19; cumulative across runs.</w:t>
      </w:r>
    </w:p>
    <w:p>
      <w:pPr>
        <w:pStyle w:val="Heading2"/>
      </w:pPr>
      <w:r>
        <w:t>2040 · EU working-age population</w:t>
      </w:r>
    </w:p>
    <w:p>
      <w:r>
        <w:t>Idea: The EU is projected to have 17 million fewer people of working age in 2040 than in 2023.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https://commission.europa.eu/strategy-and-policy/strategic-foresight/2025-strategic-foresight-report_en</w:t>
      </w:r>
    </w:p>
    <w:p>
      <w:pPr>
        <w:pStyle w:val="Heading2"/>
      </w:pPr>
      <w:r>
        <w:t>2030 · European employment growth</w:t>
      </w:r>
    </w:p>
    <w:p>
      <w:r>
        <w:t>Idea: European employment growth was expected to be moderate and to slow considerably after 2025.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t>Method: 1 = contradicted, 100 = fully supported, 50 = unknown/mixed. Automatic scores are provisional: start at 50, add 10 per supporting headline and subtract 10 per contradicting headline (range 10–90). Headlines are discovery leads, not verified outcomes; repeated reporting may bias scores. For reviewed primary-source assessments, set reviewed_score (1–100) and reviewed_note in future-ideas.json. A future target year can only be provisionally assessed today.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