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40 ideas to revisit</w:t>
      </w:r>
    </w:p>
    <w:p>
      <w:r>
        <w:rPr>
          <w:b/>
        </w:rPr>
        <w:t>20 strongest research trails  /  20 research trails to recheck (maximum 20 each)</w:t>
      </w:r>
    </w:p>
    <w:p>
      <w:r>
        <w:t>Based on World Radar's living atlas (2026-10-22 05:32 UTC). 1,366 older and newer research entries available. This shortlist updates when Radar 2 publishes new data.</w:t>
      </w:r>
    </w:p>
    <w:p>
      <w:r>
        <w:t>IMPORTANT: "Strongest" means comparatively useful, traceable later evidence; it does NOT mean a prediction came true. "Weakest" means the saved follow-up trail is sparse, old, or potentially unrelated; it does NOT mean the original research was wrong or irrelevant. An unreviewed item is not given a fake 1–100 grade.</w:t>
      </w:r>
    </w:p>
    <w:p>
      <w:pPr>
        <w:pStyle w:val="Heading1"/>
      </w:pPr>
      <w:r>
        <w:t>The strongest research trails (20 selected; maximum 20)</w:t>
      </w:r>
    </w:p>
    <w:p>
      <w:r>
        <w:t>These are the strongest automatically screened later-research trails, not verified successes. Withdrawn, retracted and repeated publications are excluded from positive evidence.</w:t>
      </w:r>
    </w:p>
    <w:p>
      <w:pPr>
        <w:pStyle w:val="Heading2"/>
        <w:keepNext/>
      </w:pPr>
      <w:r>
        <w:t>01.  Forecasting GDP in Europe with Textual Data  (2021)</w:t>
      </w:r>
    </w:p>
    <w:p>
      <w:r>
        <w:rPr>
          <w:b/>
        </w:rPr>
        <w:t xml:space="preserve">NOW  </w:t>
      </w:r>
      <w:r>
        <w:t>Newer research (2023) discusses: Replication files and data for "Forecasting GDP in Europe with textual data" by L.</w:t>
      </w:r>
    </w:p>
    <w:p>
      <w:r>
        <w:rPr>
          <w:b/>
        </w:rPr>
        <w:t xml:space="preserve">WHY HERE  </w:t>
      </w:r>
      <w:r>
        <w:t>This is a same-question research trail (7 linked publication(s)). It shows continuing work, not necessarily a measured outcome.</w:t>
      </w:r>
    </w:p>
    <w:p>
      <w:pPr>
        <w:spacing w:after="160"/>
      </w:pPr>
      <w:hyperlink r:id="rId11">
        <w:r>
          <w:rPr>
            <w:color w:val="000000"/>
            <w:u w:val="single"/>
          </w:rPr>
          <w:t>Original publication</w:t>
        </w:r>
      </w:hyperlink>
      <w:r>
        <w:t xml:space="preserve">   ·   </w:t>
      </w:r>
      <w:hyperlink r:id="rId12">
        <w:r>
          <w:rPr>
            <w:color w:val="000000"/>
            <w:u w:val="single"/>
          </w:rPr>
          <w:t>Later publication</w:t>
        </w:r>
      </w:hyperlink>
    </w:p>
    <w:p>
      <w:pPr>
        <w:pStyle w:val="Heading2"/>
        <w:keepNext/>
      </w:pPr>
      <w:r>
        <w:t>02.  Mobility partnerships - the future of European migration policy?  (2012)</w:t>
      </w:r>
    </w:p>
    <w:p>
      <w:r>
        <w:rPr>
          <w:b/>
        </w:rPr>
        <w:t xml:space="preserve">NOW  </w:t>
      </w:r>
      <w:r>
        <w:t>Newer research (2026) discusses: This article applies a spatial approach to examine the transformation of German migration policy driven by contemporary megatrends such as demographic transition, decarbonization and digitalization.</w:t>
      </w:r>
    </w:p>
    <w:p>
      <w:r>
        <w:rPr>
          <w:b/>
        </w:rPr>
        <w:t xml:space="preserve">WHY HERE  </w:t>
      </w:r>
      <w:r>
        <w:t>This is a same-question research trail (8 linked publication(s)). It shows continuing work, not necessarily a measured outcome.</w:t>
      </w:r>
    </w:p>
    <w:p>
      <w:pPr>
        <w:spacing w:after="160"/>
      </w:pPr>
      <w:hyperlink r:id="rId13">
        <w:r>
          <w:rPr>
            <w:color w:val="000000"/>
            <w:u w:val="single"/>
          </w:rPr>
          <w:t>Original publication</w:t>
        </w:r>
      </w:hyperlink>
      <w:r>
        <w:t xml:space="preserve">   ·   </w:t>
      </w:r>
      <w:hyperlink r:id="rId14">
        <w:r>
          <w:rPr>
            <w:color w:val="000000"/>
            <w:u w:val="single"/>
          </w:rPr>
          <w:t>Later publication</w:t>
        </w:r>
      </w:hyperlink>
    </w:p>
    <w:p>
      <w:pPr>
        <w:pStyle w:val="Heading2"/>
        <w:keepNext/>
      </w:pPr>
      <w:r>
        <w:t>03.  Scenarios for population health inequalities in 2030 in Europe  (2020)</w:t>
      </w:r>
    </w:p>
    <w:p>
      <w:r>
        <w:rPr>
          <w:b/>
        </w:rPr>
        <w:t xml:space="preserve">NOW  </w:t>
      </w:r>
      <w:r>
        <w:t xml:space="preserve">Newer research (2024) discusses: This model combines individual-level data on demographics, health and mortality from linked administrative data for primary and secondary care with survey responses on individual-level risk factors and epidemiological evidence on </w:t>
      </w:r>
    </w:p>
    <w:p>
      <w:r>
        <w:rPr>
          <w:b/>
        </w:rPr>
        <w:t xml:space="preserve">WHY HERE  </w:t>
      </w:r>
      <w:r>
        <w:t>This is a same-question research trail (3 linked publication(s)). It shows continuing work, not necessarily a measured outcome.</w:t>
      </w:r>
    </w:p>
    <w:p>
      <w:pPr>
        <w:spacing w:after="160"/>
      </w:pPr>
      <w:hyperlink r:id="rId15">
        <w:r>
          <w:rPr>
            <w:color w:val="000000"/>
            <w:u w:val="single"/>
          </w:rPr>
          <w:t>Original publication</w:t>
        </w:r>
      </w:hyperlink>
      <w:r>
        <w:t xml:space="preserve">   ·   </w:t>
      </w:r>
      <w:hyperlink r:id="rId16">
        <w:r>
          <w:rPr>
            <w:color w:val="000000"/>
            <w:u w:val="single"/>
          </w:rPr>
          <w:t>Later publication</w:t>
        </w:r>
      </w:hyperlink>
    </w:p>
    <w:p>
      <w:pPr>
        <w:pStyle w:val="Heading2"/>
        <w:keepNext/>
      </w:pPr>
      <w:r>
        <w:t>04.  Sea level rise projections for northern Europe under RCP8.5  (2015)</w:t>
      </w:r>
    </w:p>
    <w:p>
      <w:r>
        <w:rPr>
          <w:b/>
        </w:rPr>
        <w:t xml:space="preserve">NOW  </w:t>
      </w:r>
      <w:r>
        <w:t>Newer research (2025) discusses: Sea level rise is an inevitable consequence and one of the most significant threats posed by climate change, increasing the risk of flooding in low-lying areas along the German coast.</w:t>
      </w:r>
    </w:p>
    <w:p>
      <w:r>
        <w:rPr>
          <w:b/>
        </w:rPr>
        <w:t xml:space="preserve">WHY HERE  </w:t>
      </w:r>
      <w:r>
        <w:t>This is a same-question research trail (6 linked publication(s)). It shows continuing work, not necessarily a measured outcome.</w:t>
      </w:r>
    </w:p>
    <w:p>
      <w:pPr>
        <w:spacing w:after="160"/>
      </w:pPr>
      <w:hyperlink r:id="rId17">
        <w:r>
          <w:rPr>
            <w:color w:val="000000"/>
            <w:u w:val="single"/>
          </w:rPr>
          <w:t>Original publication</w:t>
        </w:r>
      </w:hyperlink>
      <w:r>
        <w:t xml:space="preserve">   ·   </w:t>
      </w:r>
      <w:hyperlink r:id="rId18">
        <w:r>
          <w:rPr>
            <w:color w:val="000000"/>
            <w:u w:val="single"/>
          </w:rPr>
          <w:t>Later publication</w:t>
        </w:r>
      </w:hyperlink>
    </w:p>
    <w:p>
      <w:pPr>
        <w:pStyle w:val="Heading2"/>
        <w:keepNext/>
      </w:pPr>
      <w:r>
        <w:t>05.  Three scenarios for industrial relations in Europe  (2015)</w:t>
      </w:r>
    </w:p>
    <w:p>
      <w:r>
        <w:rPr>
          <w:b/>
        </w:rPr>
        <w:t xml:space="preserve">NOW  </w:t>
      </w:r>
      <w:r>
        <w:t>Newer research (2018) discusses: Three levers are identified: negotiation power, collective agreements and general regulation that facilitate negotiation and social partnership.</w:t>
      </w:r>
    </w:p>
    <w:p>
      <w:r>
        <w:rPr>
          <w:b/>
        </w:rPr>
        <w:t xml:space="preserve">WHY HERE  </w:t>
      </w:r>
      <w:r>
        <w:t>This is a same-question research trail (7 linked publication(s)). It shows continuing work, not necessarily a measured outcome.</w:t>
      </w:r>
    </w:p>
    <w:p>
      <w:pPr>
        <w:spacing w:after="160"/>
      </w:pPr>
      <w:hyperlink r:id="rId19">
        <w:r>
          <w:rPr>
            <w:color w:val="000000"/>
            <w:u w:val="single"/>
          </w:rPr>
          <w:t>Original publication</w:t>
        </w:r>
      </w:hyperlink>
      <w:r>
        <w:t xml:space="preserve">   ·   </w:t>
      </w:r>
      <w:hyperlink r:id="rId20">
        <w:r>
          <w:rPr>
            <w:color w:val="000000"/>
            <w:u w:val="single"/>
          </w:rPr>
          <w:t>Later publication</w:t>
        </w:r>
      </w:hyperlink>
    </w:p>
    <w:p>
      <w:pPr>
        <w:pStyle w:val="Heading2"/>
        <w:keepNext/>
      </w:pPr>
      <w:r>
        <w:t>06.  Scenarios of the organic food market in Europe  (2012)</w:t>
      </w:r>
    </w:p>
    <w:p>
      <w:r>
        <w:rPr>
          <w:b/>
        </w:rPr>
        <w:t xml:space="preserve">NOW  </w:t>
      </w:r>
      <w:r>
        <w:t>Newer research (2020) discusses: Consumers' concerns in the direction of maintaining personal health and environmental protection, together with the revaluation of these trends by worldwide organizations, have led to the intensification of entrepreneurial initiat</w:t>
      </w:r>
    </w:p>
    <w:p>
      <w:r>
        <w:rPr>
          <w:b/>
        </w:rPr>
        <w:t xml:space="preserve">WHY HERE  </w:t>
      </w:r>
      <w:r>
        <w:t>This is a same-question research trail (7 linked publication(s)). It shows continuing work, not necessarily a measured outcome.</w:t>
      </w:r>
    </w:p>
    <w:p>
      <w:pPr>
        <w:spacing w:after="160"/>
      </w:pPr>
      <w:hyperlink r:id="rId21">
        <w:r>
          <w:rPr>
            <w:color w:val="000000"/>
            <w:u w:val="single"/>
          </w:rPr>
          <w:t>Original publication</w:t>
        </w:r>
      </w:hyperlink>
      <w:r>
        <w:t xml:space="preserve">   ·   </w:t>
      </w:r>
      <w:hyperlink r:id="rId22">
        <w:r>
          <w:rPr>
            <w:color w:val="000000"/>
            <w:u w:val="single"/>
          </w:rPr>
          <w:t>Later publication</w:t>
        </w:r>
      </w:hyperlink>
    </w:p>
    <w:p>
      <w:pPr>
        <w:pStyle w:val="Heading2"/>
        <w:keepNext/>
      </w:pPr>
      <w:r>
        <w:t>07.  Sovereign debt crises and pension reforms in selected European countries  (2013)</w:t>
      </w:r>
    </w:p>
    <w:p>
      <w:r>
        <w:rPr>
          <w:b/>
        </w:rPr>
        <w:t xml:space="preserve">NOW  </w:t>
      </w:r>
      <w:r>
        <w:t>A 2015 paper reports: Reforms came about when incumbent governments were able to shift or share the blame for retrenchments enacted, to hide the true impact of changes, or expected to reap credit for reforms that put pension systems on a more sustainable footing in view of advancing populati</w:t>
      </w:r>
    </w:p>
    <w:p>
      <w:r>
        <w:rPr>
          <w:b/>
        </w:rPr>
        <w:t xml:space="preserve">WHY HERE  </w:t>
      </w:r>
      <w:r>
        <w:t>This is a same-question research trail (3 linked publication(s)). It shows continuing work, not necessarily a measured outcome.</w:t>
      </w:r>
    </w:p>
    <w:p>
      <w:pPr>
        <w:spacing w:after="160"/>
      </w:pPr>
      <w:hyperlink r:id="rId23">
        <w:r>
          <w:rPr>
            <w:color w:val="000000"/>
            <w:u w:val="single"/>
          </w:rPr>
          <w:t>Original publication</w:t>
        </w:r>
      </w:hyperlink>
      <w:r>
        <w:t xml:space="preserve">   ·   </w:t>
      </w:r>
      <w:hyperlink r:id="rId24">
        <w:r>
          <w:rPr>
            <w:color w:val="000000"/>
            <w:u w:val="single"/>
          </w:rPr>
          <w:t>Later publication</w:t>
        </w:r>
      </w:hyperlink>
    </w:p>
    <w:p>
      <w:pPr>
        <w:pStyle w:val="Heading2"/>
        <w:keepNext/>
      </w:pPr>
      <w:r>
        <w:t>08.  Three scenarios for EU-China relations 2025  (2018)</w:t>
      </w:r>
    </w:p>
    <w:p>
      <w:r>
        <w:rPr>
          <w:b/>
        </w:rPr>
        <w:t xml:space="preserve">NOW  </w:t>
      </w:r>
      <w:r>
        <w:t>Newer research (2024) discusses: This chapter uncovers the enigma of EU-China diplomatic relationship-building through a critical exploration of the existing scholarly literature on EU-China relations.</w:t>
      </w:r>
    </w:p>
    <w:p>
      <w:r>
        <w:rPr>
          <w:b/>
        </w:rPr>
        <w:t xml:space="preserve">WHY HERE  </w:t>
      </w:r>
      <w:r>
        <w:t>This is a same-question research trail (8 linked publication(s)). It shows continuing work, not necessarily a measured outcome.</w:t>
      </w:r>
    </w:p>
    <w:p>
      <w:pPr>
        <w:spacing w:after="160"/>
      </w:pPr>
      <w:hyperlink r:id="rId25">
        <w:r>
          <w:rPr>
            <w:color w:val="000000"/>
            <w:u w:val="single"/>
          </w:rPr>
          <w:t>Original publication</w:t>
        </w:r>
      </w:hyperlink>
      <w:r>
        <w:t xml:space="preserve">   ·   </w:t>
      </w:r>
      <w:hyperlink r:id="rId26">
        <w:r>
          <w:rPr>
            <w:color w:val="000000"/>
            <w:u w:val="single"/>
          </w:rPr>
          <w:t>Later publication</w:t>
        </w:r>
      </w:hyperlink>
    </w:p>
    <w:p>
      <w:pPr>
        <w:pStyle w:val="Heading2"/>
        <w:keepNext/>
      </w:pPr>
      <w:r>
        <w:t>09.  Future Trajectories of Renewable Energy Consumption in the European Union  (2018)</w:t>
      </w:r>
    </w:p>
    <w:p>
      <w:r>
        <w:rPr>
          <w:b/>
        </w:rPr>
        <w:t xml:space="preserve">NOW  </w:t>
      </w:r>
      <w:r>
        <w:t>Newer research (2021) discusses: This article aims to study the regional development of renewable energies (RE) in France over the period 1990–2015.</w:t>
      </w:r>
    </w:p>
    <w:p>
      <w:r>
        <w:rPr>
          <w:b/>
        </w:rPr>
        <w:t xml:space="preserve">WHY HERE  </w:t>
      </w:r>
      <w:r>
        <w:t>This is a same-question research trail (3 linked publication(s)). It shows continuing work, not necessarily a measured outcome.</w:t>
      </w:r>
    </w:p>
    <w:p>
      <w:pPr>
        <w:spacing w:after="160"/>
      </w:pPr>
      <w:hyperlink r:id="rId27">
        <w:r>
          <w:rPr>
            <w:color w:val="000000"/>
            <w:u w:val="single"/>
          </w:rPr>
          <w:t>Original publication</w:t>
        </w:r>
      </w:hyperlink>
      <w:r>
        <w:t xml:space="preserve">   ·   </w:t>
      </w:r>
      <w:hyperlink r:id="rId28">
        <w:r>
          <w:rPr>
            <w:color w:val="000000"/>
            <w:u w:val="single"/>
          </w:rPr>
          <w:t>Later publication</w:t>
        </w:r>
      </w:hyperlink>
    </w:p>
    <w:p>
      <w:pPr>
        <w:pStyle w:val="Heading2"/>
        <w:keepNext/>
      </w:pPr>
      <w:r>
        <w:t>10.  A mountain food label for Europe?  (2015)</w:t>
      </w:r>
    </w:p>
    <w:p>
      <w:r>
        <w:rPr>
          <w:b/>
        </w:rPr>
        <w:t xml:space="preserve">NOW  </w:t>
      </w:r>
      <w:r>
        <w:t>Newer research (2022) discusses: As part of the European rural development strategy, the European Union created Regulation (EU) 1151/2012 and its Delegated Act 665/2014, establishing the quality scheme for mountain products.</w:t>
      </w:r>
    </w:p>
    <w:p>
      <w:r>
        <w:rPr>
          <w:b/>
        </w:rPr>
        <w:t xml:space="preserve">WHY HERE  </w:t>
      </w:r>
      <w:r>
        <w:t>This is a same-question research trail (3 linked publication(s)). It shows continuing work, not necessarily a measured outcome.</w:t>
      </w:r>
    </w:p>
    <w:p>
      <w:pPr>
        <w:spacing w:after="160"/>
      </w:pPr>
      <w:hyperlink r:id="rId29">
        <w:r>
          <w:rPr>
            <w:color w:val="000000"/>
            <w:u w:val="single"/>
          </w:rPr>
          <w:t>Original publication</w:t>
        </w:r>
      </w:hyperlink>
      <w:r>
        <w:t xml:space="preserve">   ·   </w:t>
      </w:r>
      <w:hyperlink r:id="rId30">
        <w:r>
          <w:rPr>
            <w:color w:val="000000"/>
            <w:u w:val="single"/>
          </w:rPr>
          <w:t>Later publication</w:t>
        </w:r>
      </w:hyperlink>
    </w:p>
    <w:p>
      <w:pPr>
        <w:pStyle w:val="Heading2"/>
        <w:keepNext/>
      </w:pPr>
      <w:r>
        <w:t>11.  Renewable Energy in Final Energy Consumption and Income in the EU-28 Countries  (2020)</w:t>
      </w:r>
    </w:p>
    <w:p>
      <w:r>
        <w:rPr>
          <w:b/>
        </w:rPr>
        <w:t xml:space="preserve">NOW  </w:t>
      </w:r>
      <w:r>
        <w:t>Newer research (2024) discusses: The article examines not only the actual data on the utilization of renewable energy sources in these countries but also analyzes their plans for further increasing their usage.</w:t>
      </w:r>
    </w:p>
    <w:p>
      <w:r>
        <w:rPr>
          <w:b/>
        </w:rPr>
        <w:t xml:space="preserve">WHY HERE  </w:t>
      </w:r>
      <w:r>
        <w:t>This is a same-question research trail (6 linked publication(s)). It shows continuing work, not necessarily a measured outcome.</w:t>
      </w:r>
    </w:p>
    <w:p>
      <w:pPr>
        <w:spacing w:after="160"/>
      </w:pPr>
      <w:hyperlink r:id="rId31">
        <w:r>
          <w:rPr>
            <w:color w:val="000000"/>
            <w:u w:val="single"/>
          </w:rPr>
          <w:t>Original publication</w:t>
        </w:r>
      </w:hyperlink>
      <w:r>
        <w:t xml:space="preserve">   ·   </w:t>
      </w:r>
      <w:hyperlink r:id="rId32">
        <w:r>
          <w:rPr>
            <w:color w:val="000000"/>
            <w:u w:val="single"/>
          </w:rPr>
          <w:t>Later publication</w:t>
        </w:r>
      </w:hyperlink>
    </w:p>
    <w:p>
      <w:pPr>
        <w:pStyle w:val="Heading2"/>
        <w:keepNext/>
      </w:pPr>
      <w:r>
        <w:t>12.  THE EUROPEAN MIGRATION CRISIS – ECONOMIC AND POLITICAL FACTORS AND CHALLENGES FOR THE FUTURE  (2017)</w:t>
      </w:r>
    </w:p>
    <w:p>
      <w:r>
        <w:rPr>
          <w:b/>
        </w:rPr>
        <w:t xml:space="preserve">NOW  </w:t>
      </w:r>
      <w:r>
        <w:t>A 2021 paper reports: After conducting a series of quantitative tests that control for a variety of factors, we find little evidence that the increase in the number of migrants corresponded to an increase in terrorism during the European crisis.</w:t>
      </w:r>
    </w:p>
    <w:p>
      <w:r>
        <w:rPr>
          <w:b/>
        </w:rPr>
        <w:t xml:space="preserve">WHY HERE  </w:t>
      </w:r>
      <w:r>
        <w:t>This is a same-question research trail (5 linked publication(s)). It shows continuing work, not necessarily a measured outcome.</w:t>
      </w:r>
    </w:p>
    <w:p>
      <w:pPr>
        <w:spacing w:after="160"/>
      </w:pPr>
      <w:hyperlink r:id="rId33">
        <w:r>
          <w:rPr>
            <w:color w:val="000000"/>
            <w:u w:val="single"/>
          </w:rPr>
          <w:t>Original publication</w:t>
        </w:r>
      </w:hyperlink>
      <w:r>
        <w:t xml:space="preserve">   ·   </w:t>
      </w:r>
      <w:hyperlink r:id="rId34">
        <w:r>
          <w:rPr>
            <w:color w:val="000000"/>
            <w:u w:val="single"/>
          </w:rPr>
          <w:t>Later publication</w:t>
        </w:r>
      </w:hyperlink>
    </w:p>
    <w:p>
      <w:pPr>
        <w:pStyle w:val="Heading2"/>
        <w:keepNext/>
      </w:pPr>
      <w:r>
        <w:t>13.  The European pulp and paper industry in transition to a bio-economy: A Delphi study  (2017)</w:t>
      </w:r>
    </w:p>
    <w:p>
      <w:r>
        <w:rPr>
          <w:b/>
        </w:rPr>
        <w:t xml:space="preserve">NOW  </w:t>
      </w:r>
      <w:r>
        <w:t>Newer research (2023) discusses: Global economic, social and environmental change drivers have tremendous effects on the dynamic and nested business environment calling for a sustainability transition to a circular bioeconomy.</w:t>
      </w:r>
    </w:p>
    <w:p>
      <w:r>
        <w:rPr>
          <w:b/>
        </w:rPr>
        <w:t xml:space="preserve">WHY HERE  </w:t>
      </w:r>
      <w:r>
        <w:t>This is a same-question research trail (9 linked publication(s)). It shows continuing work, not necessarily a measured outcome.</w:t>
      </w:r>
    </w:p>
    <w:p>
      <w:pPr>
        <w:spacing w:after="160"/>
      </w:pPr>
      <w:hyperlink r:id="rId35">
        <w:r>
          <w:rPr>
            <w:color w:val="000000"/>
            <w:u w:val="single"/>
          </w:rPr>
          <w:t>Original publication</w:t>
        </w:r>
      </w:hyperlink>
      <w:r>
        <w:t xml:space="preserve">   ·   </w:t>
      </w:r>
      <w:hyperlink r:id="rId36">
        <w:r>
          <w:rPr>
            <w:color w:val="000000"/>
            <w:u w:val="single"/>
          </w:rPr>
          <w:t>Later publication</w:t>
        </w:r>
      </w:hyperlink>
    </w:p>
    <w:p>
      <w:pPr>
        <w:pStyle w:val="Heading2"/>
        <w:keepNext/>
      </w:pPr>
      <w:r>
        <w:t>14.  Forest policy in Europe and 2020 scenarios: between sustainability and rural development  (2012)</w:t>
      </w:r>
    </w:p>
    <w:p>
      <w:r>
        <w:rPr>
          <w:b/>
        </w:rPr>
        <w:t xml:space="preserve">NOW  </w:t>
      </w:r>
      <w:r>
        <w:t>Newer research (2024) discusses: This study employs process tracing using 65 EU forest and rural development policy documents, including legal acts, preparatory documents, communications, related working documents and evaluation reports, predominantly produced ov</w:t>
      </w:r>
    </w:p>
    <w:p>
      <w:r>
        <w:rPr>
          <w:b/>
        </w:rPr>
        <w:t xml:space="preserve">WHY HERE  </w:t>
      </w:r>
      <w:r>
        <w:t>This is a same-question research trail (6 linked publication(s)). It shows continuing work, not necessarily a measured outcome.</w:t>
      </w:r>
    </w:p>
    <w:p>
      <w:pPr>
        <w:spacing w:after="160"/>
      </w:pPr>
      <w:hyperlink r:id="rId37">
        <w:r>
          <w:rPr>
            <w:color w:val="000000"/>
            <w:u w:val="single"/>
          </w:rPr>
          <w:t>Original publication</w:t>
        </w:r>
      </w:hyperlink>
      <w:r>
        <w:t xml:space="preserve">   ·   </w:t>
      </w:r>
      <w:hyperlink r:id="rId38">
        <w:r>
          <w:rPr>
            <w:color w:val="000000"/>
            <w:u w:val="single"/>
          </w:rPr>
          <w:t>Later publication</w:t>
        </w:r>
      </w:hyperlink>
    </w:p>
    <w:p>
      <w:pPr>
        <w:pStyle w:val="Heading2"/>
        <w:keepNext/>
      </w:pPr>
      <w:r>
        <w:t>15.  An Empirical Study on Price discovery between Emission Spot and Futures Markets in EU ETS Emission Markets  (2014)</w:t>
      </w:r>
    </w:p>
    <w:p>
      <w:r>
        <w:rPr>
          <w:b/>
        </w:rPr>
        <w:t xml:space="preserve">NOW  </w:t>
      </w:r>
      <w:r>
        <w:t>Newer research (2026) discusses: This study examines the dynamic relationship between the carbon emissions market and stock markets in emerging European countries (the Czech Republic, Greece, Hungary, and Poland).</w:t>
      </w:r>
    </w:p>
    <w:p>
      <w:r>
        <w:rPr>
          <w:b/>
        </w:rPr>
        <w:t xml:space="preserve">WHY HERE  </w:t>
      </w:r>
      <w:r>
        <w:t>This is a same-question research trail (3 linked publication(s)). It shows continuing work, not necessarily a measured outcome.</w:t>
      </w:r>
    </w:p>
    <w:p>
      <w:pPr>
        <w:spacing w:after="160"/>
      </w:pPr>
      <w:hyperlink r:id="rId39">
        <w:r>
          <w:rPr>
            <w:color w:val="000000"/>
            <w:u w:val="single"/>
          </w:rPr>
          <w:t>Original publication</w:t>
        </w:r>
      </w:hyperlink>
      <w:r>
        <w:t xml:space="preserve">   ·   </w:t>
      </w:r>
      <w:hyperlink r:id="rId40">
        <w:r>
          <w:rPr>
            <w:color w:val="000000"/>
            <w:u w:val="single"/>
          </w:rPr>
          <w:t>Later publication</w:t>
        </w:r>
      </w:hyperlink>
    </w:p>
    <w:p>
      <w:pPr>
        <w:pStyle w:val="Heading2"/>
        <w:keepNext/>
      </w:pPr>
      <w:r>
        <w:t>16.  Suitability of European climate for the Asian tiger mosquito Aedes albopictus : recent trends and future scenarios  (2012)</w:t>
      </w:r>
    </w:p>
    <w:p>
      <w:r>
        <w:rPr>
          <w:b/>
        </w:rPr>
        <w:t xml:space="preserve">NOW  </w:t>
      </w:r>
      <w:r>
        <w:t>Newer research (2022) discusses: The Asian tiger mosquito, Aedes albopictus , competent vector of several arboviruses, poses significant impact on human health worldwide.</w:t>
      </w:r>
    </w:p>
    <w:p>
      <w:r>
        <w:rPr>
          <w:b/>
        </w:rPr>
        <w:t xml:space="preserve">WHY HERE  </w:t>
      </w:r>
      <w:r>
        <w:t>This is a same-question research trail (4 linked publication(s)). It shows continuing work, not necessarily a measured outcome.</w:t>
      </w:r>
    </w:p>
    <w:p>
      <w:pPr>
        <w:spacing w:after="160"/>
      </w:pPr>
      <w:hyperlink r:id="rId41">
        <w:r>
          <w:rPr>
            <w:color w:val="000000"/>
            <w:u w:val="single"/>
          </w:rPr>
          <w:t>Original publication</w:t>
        </w:r>
      </w:hyperlink>
      <w:r>
        <w:t xml:space="preserve">   ·   </w:t>
      </w:r>
      <w:hyperlink r:id="rId42">
        <w:r>
          <w:rPr>
            <w:color w:val="000000"/>
            <w:u w:val="single"/>
          </w:rPr>
          <w:t>Later publication</w:t>
        </w:r>
      </w:hyperlink>
    </w:p>
    <w:p>
      <w:pPr>
        <w:pStyle w:val="Heading2"/>
        <w:keepNext/>
      </w:pPr>
      <w:r>
        <w:t>17.  H.1. Skills building seminar: A scenario building exercise for the future burden of disease in Europe  (2013)</w:t>
      </w:r>
    </w:p>
    <w:p>
      <w:r>
        <w:rPr>
          <w:b/>
        </w:rPr>
        <w:t xml:space="preserve">NOW  </w:t>
      </w:r>
      <w:r>
        <w:t>Newer research (2019) discusses: Abstract In recent years, the European Union (EU) has been facing several serious outbreaks of vaccine-preventable diseases, including measles.</w:t>
      </w:r>
    </w:p>
    <w:p>
      <w:r>
        <w:rPr>
          <w:b/>
        </w:rPr>
        <w:t xml:space="preserve">WHY HERE  </w:t>
      </w:r>
      <w:r>
        <w:t>This is a same-question research trail (12 linked publication(s)). It shows continuing work, not necessarily a measured outcome.</w:t>
      </w:r>
    </w:p>
    <w:p>
      <w:pPr>
        <w:spacing w:after="160"/>
      </w:pPr>
      <w:hyperlink r:id="rId43">
        <w:r>
          <w:rPr>
            <w:color w:val="000000"/>
            <w:u w:val="single"/>
          </w:rPr>
          <w:t>Original publication</w:t>
        </w:r>
      </w:hyperlink>
      <w:r>
        <w:t xml:space="preserve">   ·   </w:t>
      </w:r>
      <w:hyperlink r:id="rId44">
        <w:r>
          <w:rPr>
            <w:color w:val="000000"/>
            <w:u w:val="single"/>
          </w:rPr>
          <w:t>Later publication</w:t>
        </w:r>
      </w:hyperlink>
    </w:p>
    <w:p>
      <w:pPr>
        <w:pStyle w:val="Heading2"/>
        <w:keepNext/>
      </w:pPr>
      <w:r>
        <w:t>18.  The Future of Internationalization of Higher Education in Europe  (2015)</w:t>
      </w:r>
    </w:p>
    <w:p>
      <w:r>
        <w:rPr>
          <w:b/>
        </w:rPr>
        <w:t xml:space="preserve">NOW  </w:t>
      </w:r>
      <w:r>
        <w:t>Newer research (2024) discusses: The results show that three patterns can be recognized: A first group of Universities of Applied Sciences tackle the issue of internationalization by providing degree programs in English with a clear international focus.</w:t>
      </w:r>
    </w:p>
    <w:p>
      <w:r>
        <w:rPr>
          <w:b/>
        </w:rPr>
        <w:t xml:space="preserve">WHY HERE  </w:t>
      </w:r>
      <w:r>
        <w:t>This is a same-question research trail (9 linked publication(s)). It shows continuing work, not necessarily a measured outcome.</w:t>
      </w:r>
    </w:p>
    <w:p>
      <w:pPr>
        <w:spacing w:after="160"/>
      </w:pPr>
      <w:hyperlink r:id="rId45">
        <w:r>
          <w:rPr>
            <w:color w:val="000000"/>
            <w:u w:val="single"/>
          </w:rPr>
          <w:t>Original publication</w:t>
        </w:r>
      </w:hyperlink>
      <w:r>
        <w:t xml:space="preserve">   ·   </w:t>
      </w:r>
      <w:hyperlink r:id="rId46">
        <w:r>
          <w:rPr>
            <w:color w:val="000000"/>
            <w:u w:val="single"/>
          </w:rPr>
          <w:t>Later publication</w:t>
        </w:r>
      </w:hyperlink>
    </w:p>
    <w:p>
      <w:pPr>
        <w:pStyle w:val="Heading2"/>
        <w:keepNext/>
      </w:pPr>
      <w:r>
        <w:t>19.  Mobility of Physicians in Europe: Health Policies and Health Care Provision  (2017)</w:t>
      </w:r>
    </w:p>
    <w:p>
      <w:r>
        <w:rPr>
          <w:b/>
        </w:rPr>
        <w:t xml:space="preserve">NOW  </w:t>
      </w:r>
      <w:r>
        <w:t>Newer research (2025) discusses: Surveillance strategies implemented by national and European institutions are analyzed, with particular emphasis on the importance of the One Health approach in controlling the spread of diseases along the entire food chain.</w:t>
      </w:r>
    </w:p>
    <w:p>
      <w:r>
        <w:rPr>
          <w:b/>
        </w:rPr>
        <w:t xml:space="preserve">WHY HERE  </w:t>
      </w:r>
      <w:r>
        <w:t>This is a same-question research trail (3 linked publication(s)). It shows continuing work, not necessarily a measured outcome.</w:t>
      </w:r>
    </w:p>
    <w:p>
      <w:pPr>
        <w:spacing w:after="160"/>
      </w:pPr>
      <w:hyperlink r:id="rId47">
        <w:r>
          <w:rPr>
            <w:color w:val="000000"/>
            <w:u w:val="single"/>
          </w:rPr>
          <w:t>Original publication</w:t>
        </w:r>
      </w:hyperlink>
      <w:r>
        <w:t xml:space="preserve">   ·   </w:t>
      </w:r>
      <w:hyperlink r:id="rId48">
        <w:r>
          <w:rPr>
            <w:color w:val="000000"/>
            <w:u w:val="single"/>
          </w:rPr>
          <w:t>Later publication</w:t>
        </w:r>
      </w:hyperlink>
    </w:p>
    <w:p>
      <w:pPr>
        <w:pStyle w:val="Heading2"/>
        <w:keepNext/>
      </w:pPr>
      <w:r>
        <w:t>20.  MIGRATION AND MIGRANT WORKERS IN EUROPE  (2013)</w:t>
      </w:r>
    </w:p>
    <w:p>
      <w:r>
        <w:rPr>
          <w:b/>
        </w:rPr>
        <w:t xml:space="preserve">NOW  </w:t>
      </w:r>
      <w:r>
        <w:t>Newer research (2022) discusses: Migration is a need based priority for people who seek better opportunity and to improve their socio-economic conditions.</w:t>
      </w:r>
    </w:p>
    <w:p>
      <w:r>
        <w:rPr>
          <w:b/>
        </w:rPr>
        <w:t xml:space="preserve">WHY HERE  </w:t>
      </w:r>
      <w:r>
        <w:t>This is a same-question research trail (6 linked publication(s)). It shows continuing work, not necessarily a measured outcome.</w:t>
      </w:r>
    </w:p>
    <w:p>
      <w:pPr>
        <w:spacing w:after="160"/>
      </w:pPr>
      <w:hyperlink r:id="rId49">
        <w:r>
          <w:rPr>
            <w:color w:val="000000"/>
            <w:u w:val="single"/>
          </w:rPr>
          <w:t>Original publication</w:t>
        </w:r>
      </w:hyperlink>
      <w:r>
        <w:t xml:space="preserve">   ·   </w:t>
      </w:r>
      <w:hyperlink r:id="rId50">
        <w:r>
          <w:rPr>
            <w:color w:val="000000"/>
            <w:u w:val="single"/>
          </w:rPr>
          <w:t>Later publication</w:t>
        </w:r>
      </w:hyperlink>
    </w:p>
    <w:p>
      <w:pPr>
        <w:pStyle w:val="Heading1"/>
      </w:pPr>
      <w:r>
        <w:t>Weakest / possibly outdated trails (20 selected; maximum 20)</w:t>
      </w:r>
    </w:p>
    <w:p>
      <w:r>
        <w:t>These are search-quality or publication-status warnings. A missing or poor link does not mean the original idea is obsolete, false or irrelevant.</w:t>
      </w:r>
    </w:p>
    <w:p>
      <w:pPr>
        <w:pStyle w:val="Heading2"/>
        <w:keepNext/>
      </w:pPr>
      <w:r>
        <w:t>01.  Withdrawn: Fossil Futures in Europe  (2023)</w:t>
      </w:r>
    </w:p>
    <w:p>
      <w:r>
        <w:rPr>
          <w:b/>
        </w:rPr>
        <w:t xml:space="preserve">WHY HERE  </w:t>
      </w:r>
      <w:r>
        <w:t>The original record is explicitly marked withdrawn or retracted. Retained for historical transparency, not treated as reliable evidence.</w:t>
      </w:r>
    </w:p>
    <w:p>
      <w:r>
        <w:rPr>
          <w:b/>
        </w:rPr>
        <w:t xml:space="preserve">OPEN  </w:t>
      </w:r>
      <w:r>
        <w:t>Still relevant, superseded, or simply under-researched? A source-based review is needed.</w:t>
      </w:r>
    </w:p>
    <w:p>
      <w:pPr>
        <w:spacing w:after="160"/>
      </w:pPr>
      <w:hyperlink r:id="rId51">
        <w:r>
          <w:rPr>
            <w:color w:val="000000"/>
            <w:u w:val="single"/>
          </w:rPr>
          <w:t>Original publication</w:t>
        </w:r>
      </w:hyperlink>
    </w:p>
    <w:p>
      <w:pPr>
        <w:pStyle w:val="Heading2"/>
        <w:keepNext/>
      </w:pPr>
      <w:r>
        <w:t>02.  RETRACTED ARTICLE: Sustainable development economy and the development of green economy in the European Union  (2023)</w:t>
      </w:r>
    </w:p>
    <w:p>
      <w:r>
        <w:rPr>
          <w:b/>
        </w:rPr>
        <w:t xml:space="preserve">WHY HERE  </w:t>
      </w:r>
      <w:r>
        <w:t>The original record is explicitly marked withdrawn or retracted. Retained for historical transparency, not treated as reliable evidence.</w:t>
      </w:r>
    </w:p>
    <w:p>
      <w:r>
        <w:rPr>
          <w:b/>
        </w:rPr>
        <w:t xml:space="preserve">OPEN  </w:t>
      </w:r>
      <w:r>
        <w:t>Still relevant, superseded, or simply under-researched? A source-based review is needed.</w:t>
      </w:r>
    </w:p>
    <w:p>
      <w:pPr>
        <w:spacing w:after="160"/>
      </w:pPr>
      <w:hyperlink r:id="rId52">
        <w:r>
          <w:rPr>
            <w:color w:val="000000"/>
            <w:u w:val="single"/>
          </w:rPr>
          <w:t>Original publication</w:t>
        </w:r>
      </w:hyperlink>
      <w:r>
        <w:t xml:space="preserve">   ·   </w:t>
      </w:r>
      <w:hyperlink r:id="rId53">
        <w:r>
          <w:rPr>
            <w:color w:val="000000"/>
            <w:u w:val="single"/>
          </w:rPr>
          <w:t>Later publication (check status)</w:t>
        </w:r>
      </w:hyperlink>
    </w:p>
    <w:p>
      <w:pPr>
        <w:pStyle w:val="Heading2"/>
        <w:keepNext/>
      </w:pPr>
      <w:r>
        <w:t>03.  Benchmarking del programa colombiano de prospectiva ante prácticas en Europa y Sur América (título original: Benchmarking the coloIombian foresight programme against practices in Europe and South America)  (2011)</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4">
        <w:r>
          <w:rPr>
            <w:color w:val="000000"/>
            <w:u w:val="single"/>
          </w:rPr>
          <w:t>Original publication</w:t>
        </w:r>
      </w:hyperlink>
      <w:r>
        <w:t xml:space="preserve">   ·   </w:t>
      </w:r>
      <w:hyperlink r:id="rId55">
        <w:r>
          <w:rPr>
            <w:color w:val="000000"/>
            <w:u w:val="single"/>
          </w:rPr>
          <w:t>Later publication (check status)</w:t>
        </w:r>
      </w:hyperlink>
    </w:p>
    <w:p>
      <w:pPr>
        <w:pStyle w:val="Heading2"/>
        <w:keepNext/>
      </w:pPr>
      <w:r>
        <w:t>04.  Review: Projections of Power: The United States and Europe in Colonial Southeast Asia, 1919–1941 , by Anne L. Foster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6">
        <w:r>
          <w:rPr>
            <w:color w:val="000000"/>
            <w:u w:val="single"/>
          </w:rPr>
          <w:t>Original publication</w:t>
        </w:r>
      </w:hyperlink>
      <w:r>
        <w:t xml:space="preserve">   ·   </w:t>
      </w:r>
      <w:hyperlink r:id="rId57">
        <w:r>
          <w:rPr>
            <w:color w:val="000000"/>
            <w:u w:val="single"/>
          </w:rPr>
          <w:t>Later publication (check status)</w:t>
        </w:r>
      </w:hyperlink>
    </w:p>
    <w:p>
      <w:pPr>
        <w:pStyle w:val="Heading2"/>
        <w:keepNext/>
      </w:pPr>
      <w:r>
        <w:t>05.  Projections of Power: The United States and Europe in Colonial Southeast Asia, 1919–1941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7">
        <w:r>
          <w:rPr>
            <w:color w:val="000000"/>
            <w:u w:val="single"/>
          </w:rPr>
          <w:t>Original publication</w:t>
        </w:r>
      </w:hyperlink>
      <w:r>
        <w:t xml:space="preserve">   ·   </w:t>
      </w:r>
      <w:hyperlink r:id="rId58">
        <w:r>
          <w:rPr>
            <w:color w:val="000000"/>
            <w:u w:val="single"/>
          </w:rPr>
          <w:t>Later publication (check status)</w:t>
        </w:r>
      </w:hyperlink>
    </w:p>
    <w:p>
      <w:pPr>
        <w:pStyle w:val="Heading2"/>
        <w:keepNext/>
      </w:pPr>
      <w:r>
        <w:t>06.  FORECASTED TRENDS IN CHANGES OF VEGETATION IN THE EUROPEAN PART OF RUSSIA IN CONNECTION WITH GLOBAL WARMING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9">
        <w:r>
          <w:rPr>
            <w:color w:val="000000"/>
            <w:u w:val="single"/>
          </w:rPr>
          <w:t>Original publication</w:t>
        </w:r>
      </w:hyperlink>
      <w:r>
        <w:t xml:space="preserve">   ·   </w:t>
      </w:r>
      <w:hyperlink r:id="rId60">
        <w:r>
          <w:rPr>
            <w:color w:val="000000"/>
            <w:u w:val="single"/>
          </w:rPr>
          <w:t>Later publication (check status)</w:t>
        </w:r>
      </w:hyperlink>
    </w:p>
    <w:p>
      <w:pPr>
        <w:pStyle w:val="Heading2"/>
        <w:keepNext/>
      </w:pPr>
      <w:r>
        <w:t>07.  INTRODUCTION OF THE GRAIN FUTURES MARKET IN THE BLACK SEA REGION  (2013)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1">
        <w:r>
          <w:rPr>
            <w:color w:val="000000"/>
            <w:u w:val="single"/>
          </w:rPr>
          <w:t>Original publication</w:t>
        </w:r>
      </w:hyperlink>
      <w:r>
        <w:t xml:space="preserve">   ·   </w:t>
      </w:r>
      <w:hyperlink r:id="rId62">
        <w:r>
          <w:rPr>
            <w:color w:val="000000"/>
            <w:u w:val="single"/>
          </w:rPr>
          <w:t>Later publication (check status)</w:t>
        </w:r>
      </w:hyperlink>
    </w:p>
    <w:p>
      <w:pPr>
        <w:pStyle w:val="Heading2"/>
        <w:keepNext/>
      </w:pPr>
      <w:r>
        <w:t>08.  Twitter data analysis as contribution to strategic foresight-The case of the EU Research Project “Foresight and Modelling for European Health Policy and Regulations” (FRESHER)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3">
        <w:r>
          <w:rPr>
            <w:color w:val="000000"/>
            <w:u w:val="single"/>
          </w:rPr>
          <w:t>Original publication</w:t>
        </w:r>
      </w:hyperlink>
      <w:r>
        <w:t xml:space="preserve">   ·   </w:t>
      </w:r>
      <w:hyperlink r:id="rId64">
        <w:r>
          <w:rPr>
            <w:color w:val="000000"/>
            <w:u w:val="single"/>
          </w:rPr>
          <w:t>Later publication (check status)</w:t>
        </w:r>
      </w:hyperlink>
    </w:p>
    <w:p>
      <w:pPr>
        <w:pStyle w:val="Heading2"/>
        <w:keepNext/>
      </w:pPr>
      <w:r>
        <w:t>09.  New forms of innovation: critical issues for future pathways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5">
        <w:r>
          <w:rPr>
            <w:color w:val="000000"/>
            <w:u w:val="single"/>
          </w:rPr>
          <w:t>Original publication</w:t>
        </w:r>
      </w:hyperlink>
      <w:r>
        <w:t xml:space="preserve">   ·   </w:t>
      </w:r>
      <w:hyperlink r:id="rId66">
        <w:r>
          <w:rPr>
            <w:color w:val="000000"/>
            <w:u w:val="single"/>
          </w:rPr>
          <w:t>Later publication (check status)</w:t>
        </w:r>
      </w:hyperlink>
    </w:p>
    <w:p>
      <w:pPr>
        <w:pStyle w:val="Heading2"/>
        <w:keepNext/>
      </w:pPr>
      <w:r>
        <w:t>10.  Energy system impacts and policy implications of the European Intended Nationally Determined Contribution and low-carbon pathway to 2050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7">
        <w:r>
          <w:rPr>
            <w:color w:val="000000"/>
            <w:u w:val="single"/>
          </w:rPr>
          <w:t>Original publication</w:t>
        </w:r>
      </w:hyperlink>
      <w:r>
        <w:t xml:space="preserve">   ·   </w:t>
      </w:r>
      <w:hyperlink r:id="rId68">
        <w:r>
          <w:rPr>
            <w:color w:val="000000"/>
            <w:u w:val="single"/>
          </w:rPr>
          <w:t>Later publication (check status)</w:t>
        </w:r>
      </w:hyperlink>
    </w:p>
    <w:p>
      <w:pPr>
        <w:pStyle w:val="Heading2"/>
        <w:keepNext/>
      </w:pPr>
      <w:r>
        <w:t>11.  Convenience Yields and Risk Premiums in the EU‐ETS—Evidence from the Kyoto Commitment Period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9">
        <w:r>
          <w:rPr>
            <w:color w:val="000000"/>
            <w:u w:val="single"/>
          </w:rPr>
          <w:t>Original publication</w:t>
        </w:r>
      </w:hyperlink>
      <w:r>
        <w:t xml:space="preserve">   ·   </w:t>
      </w:r>
      <w:hyperlink r:id="rId70">
        <w:r>
          <w:rPr>
            <w:color w:val="000000"/>
            <w:u w:val="single"/>
          </w:rPr>
          <w:t>Later publication (check status)</w:t>
        </w:r>
      </w:hyperlink>
    </w:p>
    <w:p>
      <w:pPr>
        <w:pStyle w:val="Heading2"/>
        <w:keepNext/>
      </w:pPr>
      <w:r>
        <w:t>12.  Volatility Spillovers and Causality of Carbon Emissions, Oil and Coal Spot and Futures for the EU and USA  (2017)</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1">
        <w:r>
          <w:rPr>
            <w:color w:val="000000"/>
            <w:u w:val="single"/>
          </w:rPr>
          <w:t>Original publication</w:t>
        </w:r>
      </w:hyperlink>
      <w:r>
        <w:t xml:space="preserve">   ·   </w:t>
      </w:r>
      <w:hyperlink r:id="rId72">
        <w:r>
          <w:rPr>
            <w:color w:val="000000"/>
            <w:u w:val="single"/>
          </w:rPr>
          <w:t>Later publication (check status)</w:t>
        </w:r>
      </w:hyperlink>
    </w:p>
    <w:p>
      <w:pPr>
        <w:pStyle w:val="Heading2"/>
        <w:keepNext/>
      </w:pPr>
      <w:r>
        <w:t>13.  European Security Architecture after the United Kingdom’s Withdrawal from the European Union: Future Scenarios  (2019)</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3">
        <w:r>
          <w:rPr>
            <w:color w:val="000000"/>
            <w:u w:val="single"/>
          </w:rPr>
          <w:t>Original publication</w:t>
        </w:r>
      </w:hyperlink>
      <w:r>
        <w:t xml:space="preserve">   ·   </w:t>
      </w:r>
      <w:hyperlink r:id="rId74">
        <w:r>
          <w:rPr>
            <w:color w:val="000000"/>
            <w:u w:val="single"/>
          </w:rPr>
          <w:t>Later publication (check status)</w:t>
        </w:r>
      </w:hyperlink>
    </w:p>
    <w:p>
      <w:pPr>
        <w:pStyle w:val="Heading2"/>
        <w:keepNext/>
      </w:pPr>
      <w:r>
        <w:t>14.  The Impact of Decarbonization Scenarios on Air Quality and Human Health in Poland—Analysis of Scenarios up to 2050  (2020)</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5">
        <w:r>
          <w:rPr>
            <w:color w:val="000000"/>
            <w:u w:val="single"/>
          </w:rPr>
          <w:t>Original publication</w:t>
        </w:r>
      </w:hyperlink>
      <w:r>
        <w:t xml:space="preserve">   ·   </w:t>
      </w:r>
      <w:hyperlink r:id="rId76">
        <w:r>
          <w:rPr>
            <w:color w:val="000000"/>
            <w:u w:val="single"/>
          </w:rPr>
          <w:t>Later publication (check status)</w:t>
        </w:r>
      </w:hyperlink>
    </w:p>
    <w:p>
      <w:pPr>
        <w:pStyle w:val="Heading2"/>
        <w:keepNext/>
      </w:pPr>
      <w:r>
        <w:t>15.  Disaggregation of official demographic projections in sub-groups by education level: the neglected “composition effect” in the future path of life expectancy  (2021)</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7">
        <w:r>
          <w:rPr>
            <w:color w:val="000000"/>
            <w:u w:val="single"/>
          </w:rPr>
          <w:t>Original publication</w:t>
        </w:r>
      </w:hyperlink>
      <w:r>
        <w:t xml:space="preserve">   ·   </w:t>
      </w:r>
      <w:hyperlink r:id="rId78">
        <w:r>
          <w:rPr>
            <w:color w:val="000000"/>
            <w:u w:val="single"/>
          </w:rPr>
          <w:t>Later publication (check status)</w:t>
        </w:r>
      </w:hyperlink>
    </w:p>
    <w:p>
      <w:pPr>
        <w:pStyle w:val="Heading2"/>
        <w:keepNext/>
      </w:pPr>
      <w:r>
        <w:t>16.  Ensuring sustainable agriculture by analyzing the European Union and Romanian legislation on soil resources protection  (2022)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9">
        <w:r>
          <w:rPr>
            <w:color w:val="000000"/>
            <w:u w:val="single"/>
          </w:rPr>
          <w:t>Original publication</w:t>
        </w:r>
      </w:hyperlink>
      <w:r>
        <w:t xml:space="preserve">   ·   </w:t>
      </w:r>
      <w:hyperlink r:id="rId80">
        <w:r>
          <w:rPr>
            <w:color w:val="000000"/>
            <w:u w:val="single"/>
          </w:rPr>
          <w:t>Later publication (check status)</w:t>
        </w:r>
      </w:hyperlink>
    </w:p>
    <w:p>
      <w:pPr>
        <w:pStyle w:val="Heading2"/>
        <w:keepNext/>
      </w:pPr>
      <w:r>
        <w:t>17.  Thematic Issue Presentation: Perspectives on innovation governance - challenges and dilemmas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1">
        <w:r>
          <w:rPr>
            <w:color w:val="000000"/>
            <w:u w:val="single"/>
          </w:rPr>
          <w:t>Original publication</w:t>
        </w:r>
      </w:hyperlink>
      <w:r>
        <w:t xml:space="preserve">   ·   </w:t>
      </w:r>
      <w:hyperlink r:id="rId82">
        <w:r>
          <w:rPr>
            <w:color w:val="000000"/>
            <w:u w:val="single"/>
          </w:rPr>
          <w:t>Later publication (check status)</w:t>
        </w:r>
      </w:hyperlink>
    </w:p>
    <w:p>
      <w:pPr>
        <w:pStyle w:val="Heading2"/>
        <w:keepNext/>
      </w:pPr>
      <w:r>
        <w:t>18.  Strategic routes for wastewater treatment plant upgrades to reduce micropollutants in European surface water bodies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3">
        <w:r>
          <w:rPr>
            <w:color w:val="000000"/>
            <w:u w:val="single"/>
          </w:rPr>
          <w:t>Original publication</w:t>
        </w:r>
      </w:hyperlink>
      <w:r>
        <w:t xml:space="preserve">   ·   </w:t>
      </w:r>
      <w:hyperlink r:id="rId84">
        <w:r>
          <w:rPr>
            <w:color w:val="000000"/>
            <w:u w:val="single"/>
          </w:rPr>
          <w:t>Later publication (check status)</w:t>
        </w:r>
      </w:hyperlink>
    </w:p>
    <w:p>
      <w:pPr>
        <w:pStyle w:val="Heading2"/>
        <w:keepNext/>
      </w:pPr>
      <w:r>
        <w:t>19.  Experts’ assessments of migration scenarios between the Middle East &amp; North Africa and Europe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5">
        <w:r>
          <w:rPr>
            <w:color w:val="000000"/>
            <w:u w:val="single"/>
          </w:rPr>
          <w:t>Original publication</w:t>
        </w:r>
      </w:hyperlink>
      <w:r>
        <w:t xml:space="preserve">   ·   </w:t>
      </w:r>
      <w:hyperlink r:id="rId86">
        <w:r>
          <w:rPr>
            <w:color w:val="000000"/>
            <w:u w:val="single"/>
          </w:rPr>
          <w:t>Later publication (check status)</w:t>
        </w:r>
      </w:hyperlink>
    </w:p>
    <w:p>
      <w:pPr>
        <w:pStyle w:val="Heading2"/>
        <w:keepNext/>
      </w:pPr>
      <w:r>
        <w:t>20.  A future EU overall strategy for agriculture and forest genetic resources management: Finding consensus through policymakers’ participation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7">
        <w:r>
          <w:rPr>
            <w:color w:val="000000"/>
            <w:u w:val="single"/>
          </w:rPr>
          <w:t>Original publication</w:t>
        </w:r>
      </w:hyperlink>
      <w:r>
        <w:t xml:space="preserve">   ·   </w:t>
      </w:r>
      <w:hyperlink r:id="rId88">
        <w:r>
          <w:rPr>
            <w:color w:val="000000"/>
            <w:u w:val="single"/>
          </w:rPr>
          <w:t>Later publication (check status)</w:t>
        </w:r>
      </w:hyperlink>
    </w:p>
    <w:p>
      <w:pPr>
        <w:pStyle w:val="Heading1"/>
      </w:pPr>
      <w:r>
        <w:t>How this list updates</w:t>
      </w:r>
    </w:p>
    <w:p>
      <w:r>
        <w:t>Each successful Radar 2 run refreshes living-atlas.json. The companion Word workflow then builds this file again from those saved entries. It selects candidates by source-linked review, same-question follow-ups, freshness and diversity of subjects. It does not perform an extra paid research scan.</w:t>
      </w:r>
    </w:p>
    <w:p>
      <w:r>
        <w:t>A proper best/worst judgement requires reading the original claim and checking independent later observations. Where that review is missing, the shortlist is a research triage list rather than a verdict.</w:t>
      </w:r>
    </w:p>
    <w:sectPr w:rsidR="00FC693F" w:rsidRPr="0006063C" w:rsidSect="00034616">
      <w:headerReference w:type="default" r:id="rId9"/>
      <w:footerReference w:type="default" r:id="rId10"/>
      <w:pgSz w:w="12240" w:h="15840"/>
      <w:pgMar w:top="936" w:right="1109" w:bottom="950"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World Radar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5"/>
      </w:rPr>
      <w:t>WORLD RADAR   /   SHORT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00" w:line="240" w:lineRule="auto" w:before="200"/>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2139/ssrn.3898680" TargetMode="External"/><Relationship Id="rId12" Type="http://schemas.openxmlformats.org/officeDocument/2006/relationships/hyperlink" Target="https://doi.org/10.15456/jae.2023282.0824420622" TargetMode="External"/><Relationship Id="rId13" Type="http://schemas.openxmlformats.org/officeDocument/2006/relationships/hyperlink" Target="https://doi.org/10.1080/21632324.2012.740851" TargetMode="External"/><Relationship Id="rId14" Type="http://schemas.openxmlformats.org/officeDocument/2006/relationships/hyperlink" Target="https://doi.org/10.7868/s3034599526020177" TargetMode="External"/><Relationship Id="rId15" Type="http://schemas.openxmlformats.org/officeDocument/2006/relationships/hyperlink" Target="https://doi.org/10.1093/eurpub/ckaa165.1288" TargetMode="External"/><Relationship Id="rId16" Type="http://schemas.openxmlformats.org/officeDocument/2006/relationships/hyperlink" Target="https://doi.org/10.1093/eurpub/ckae144.628" TargetMode="External"/><Relationship Id="rId17" Type="http://schemas.openxmlformats.org/officeDocument/2006/relationships/hyperlink" Target="https://doi.org/10.3354/cr01309" TargetMode="External"/><Relationship Id="rId18" Type="http://schemas.openxmlformats.org/officeDocument/2006/relationships/hyperlink" Target="https://doi.org/10.31223/x5tj24" TargetMode="External"/><Relationship Id="rId19" Type="http://schemas.openxmlformats.org/officeDocument/2006/relationships/hyperlink" Target="https://doi.org/10.1111/j.1564-913x.2015.00221.x" TargetMode="External"/><Relationship Id="rId20" Type="http://schemas.openxmlformats.org/officeDocument/2006/relationships/hyperlink" Target="https://doi.org/10.1111/irj.12213" TargetMode="External"/><Relationship Id="rId21" Type="http://schemas.openxmlformats.org/officeDocument/2006/relationships/hyperlink" Target="https://doi.org/10.1016/j.foodpol.2011.10.003" TargetMode="External"/><Relationship Id="rId22" Type="http://schemas.openxmlformats.org/officeDocument/2006/relationships/hyperlink" Target="https://openalex.org/W3158777761" TargetMode="External"/><Relationship Id="rId23" Type="http://schemas.openxmlformats.org/officeDocument/2006/relationships/hyperlink" Target="https://doi.org/10.18559/ebr.2013.3.669" TargetMode="External"/><Relationship Id="rId24" Type="http://schemas.openxmlformats.org/officeDocument/2006/relationships/hyperlink" Target="https://doi.org/10.1057/9781137283177_6" TargetMode="External"/><Relationship Id="rId25" Type="http://schemas.openxmlformats.org/officeDocument/2006/relationships/hyperlink" Target="https://doi.org/10.1016/j.futures.2017.07.001" TargetMode="External"/><Relationship Id="rId26" Type="http://schemas.openxmlformats.org/officeDocument/2006/relationships/hyperlink" Target="https://doi.org/10.4324/9781003261353-2" TargetMode="External"/><Relationship Id="rId27" Type="http://schemas.openxmlformats.org/officeDocument/2006/relationships/hyperlink" Target="https://doi.org/10.3390/resources7010010" TargetMode="External"/><Relationship Id="rId28" Type="http://schemas.openxmlformats.org/officeDocument/2006/relationships/hyperlink" Target="https://doi.org/10.1016/j.esr.2021.100639" TargetMode="External"/><Relationship Id="rId29" Type="http://schemas.openxmlformats.org/officeDocument/2006/relationships/hyperlink" Target="https://doi.org/10.4000/rga.2654" TargetMode="External"/><Relationship Id="rId30" Type="http://schemas.openxmlformats.org/officeDocument/2006/relationships/hyperlink" Target="https://openalex.org/W7081712985" TargetMode="External"/><Relationship Id="rId31" Type="http://schemas.openxmlformats.org/officeDocument/2006/relationships/hyperlink" Target="https://doi.org/10.3390/en13092280" TargetMode="External"/><Relationship Id="rId32" Type="http://schemas.openxmlformats.org/officeDocument/2006/relationships/hyperlink" Target="https://doi.org/10.33070/etars.1.2024.05" TargetMode="External"/><Relationship Id="rId33" Type="http://schemas.openxmlformats.org/officeDocument/2006/relationships/hyperlink" Target="https://doi.org/10.5755/j01.eis.0.11.18958" TargetMode="External"/><Relationship Id="rId34" Type="http://schemas.openxmlformats.org/officeDocument/2006/relationships/hyperlink" Target="https://doi.org/10.1080/14678802.2021.1940781" TargetMode="External"/><Relationship Id="rId35" Type="http://schemas.openxmlformats.org/officeDocument/2006/relationships/hyperlink" Target="https://doi.org/10.1016/j.futures.2017.02.002" TargetMode="External"/><Relationship Id="rId36" Type="http://schemas.openxmlformats.org/officeDocument/2006/relationships/hyperlink" Target="https://doi.org/10.14214/sf.23024" TargetMode="External"/><Relationship Id="rId37" Type="http://schemas.openxmlformats.org/officeDocument/2006/relationships/hyperlink" Target="https://doi.org/10.4129/ifm.2012.3.01" TargetMode="External"/><Relationship Id="rId38" Type="http://schemas.openxmlformats.org/officeDocument/2006/relationships/hyperlink" Target="https://doi.org/10.1016/j.forpol.2024.103319" TargetMode="External"/><Relationship Id="rId39" Type="http://schemas.openxmlformats.org/officeDocument/2006/relationships/hyperlink" Target="https://doi.org/10.29214/damis.2014.33.3.006" TargetMode="External"/><Relationship Id="rId40" Type="http://schemas.openxmlformats.org/officeDocument/2006/relationships/hyperlink" Target="https://doi.org/10.1016/j.bir.2026.100818" TargetMode="External"/><Relationship Id="rId41" Type="http://schemas.openxmlformats.org/officeDocument/2006/relationships/hyperlink" Target="https://doi.org/10.1098/rsif.2012.0138" TargetMode="External"/><Relationship Id="rId42" Type="http://schemas.openxmlformats.org/officeDocument/2006/relationships/hyperlink" Target="https://doi.org/10.1098/rsos.220967" TargetMode="External"/><Relationship Id="rId43" Type="http://schemas.openxmlformats.org/officeDocument/2006/relationships/hyperlink" Target="https://doi.org/10.1093/eurpub/ckt185.008" TargetMode="External"/><Relationship Id="rId44" Type="http://schemas.openxmlformats.org/officeDocument/2006/relationships/hyperlink" Target="https://doi.org/10.1093/eurpub/ckz185.371" TargetMode="External"/><Relationship Id="rId45" Type="http://schemas.openxmlformats.org/officeDocument/2006/relationships/hyperlink" Target="https://doi.org/10.6017/ihe.2015.83.9073" TargetMode="External"/><Relationship Id="rId46" Type="http://schemas.openxmlformats.org/officeDocument/2006/relationships/hyperlink" Target="https://doi.org/10.1007/978-3-031-78361-6_9" TargetMode="External"/><Relationship Id="rId47" Type="http://schemas.openxmlformats.org/officeDocument/2006/relationships/hyperlink" Target="https://doi.org/10.3917/e.spub.171.0081" TargetMode="External"/><Relationship Id="rId48" Type="http://schemas.openxmlformats.org/officeDocument/2006/relationships/hyperlink" Target="https://doi.org/10.5772/intechopen.1012197" TargetMode="External"/><Relationship Id="rId49" Type="http://schemas.openxmlformats.org/officeDocument/2006/relationships/hyperlink" Target="https://doi.org/10.25142/aak.2013.045" TargetMode="External"/><Relationship Id="rId50" Type="http://schemas.openxmlformats.org/officeDocument/2006/relationships/hyperlink" Target="https://doi.org/10.5281/zenodo.7451318" TargetMode="External"/><Relationship Id="rId51" Type="http://schemas.openxmlformats.org/officeDocument/2006/relationships/hyperlink" Target="https://doi.org/10.1111/an.1610" TargetMode="External"/><Relationship Id="rId52" Type="http://schemas.openxmlformats.org/officeDocument/2006/relationships/hyperlink" Target="https://doi.org/10.1186/s13705-023-00410-7" TargetMode="External"/><Relationship Id="rId53" Type="http://schemas.openxmlformats.org/officeDocument/2006/relationships/hyperlink" Target="https://doi.org/10.1016/b978-0-443-41575-3.00018-6" TargetMode="External"/><Relationship Id="rId54" Type="http://schemas.openxmlformats.org/officeDocument/2006/relationships/hyperlink" Target="https://doi.org/10.25100/cdea.v24i40.400" TargetMode="External"/><Relationship Id="rId55" Type="http://schemas.openxmlformats.org/officeDocument/2006/relationships/hyperlink" Target="https://doi.org/10.1596/1813-9450-8783" TargetMode="External"/><Relationship Id="rId56" Type="http://schemas.openxmlformats.org/officeDocument/2006/relationships/hyperlink" Target="https://doi.org/10.1525/phr.2012.81.1.133" TargetMode="External"/><Relationship Id="rId57" Type="http://schemas.openxmlformats.org/officeDocument/2006/relationships/hyperlink" Target="https://doi.org/10.1080/07075332.2012.697330" TargetMode="External"/><Relationship Id="rId58" Type="http://schemas.openxmlformats.org/officeDocument/2006/relationships/hyperlink" Target="https://doi.org/10.1017/9781009589208.006" TargetMode="External"/><Relationship Id="rId59" Type="http://schemas.openxmlformats.org/officeDocument/2006/relationships/hyperlink" Target="https://doi.org/10.24057/2071-9388-2012-5-4-4-16" TargetMode="External"/><Relationship Id="rId60" Type="http://schemas.openxmlformats.org/officeDocument/2006/relationships/hyperlink" Target="https://doi.org/10.14738/aivp.1303.18912" TargetMode="External"/><Relationship Id="rId61" Type="http://schemas.openxmlformats.org/officeDocument/2006/relationships/hyperlink" Target="https://doi.org/10.22004/ag.econ.162027" TargetMode="External"/><Relationship Id="rId62" Type="http://schemas.openxmlformats.org/officeDocument/2006/relationships/hyperlink" Target="https://doi.org/10.3389/fpls.2026.1880606" TargetMode="External"/><Relationship Id="rId63" Type="http://schemas.openxmlformats.org/officeDocument/2006/relationships/hyperlink" Target="https://doi.org/10.1007/s40309-016-0102-4" TargetMode="External"/><Relationship Id="rId64" Type="http://schemas.openxmlformats.org/officeDocument/2006/relationships/hyperlink" Target="https://doi.org/10.18154/rwth-2019-01287" TargetMode="External"/><Relationship Id="rId65" Type="http://schemas.openxmlformats.org/officeDocument/2006/relationships/hyperlink" Target="https://doi.org/10.1108/fs-07-2014-0050" TargetMode="External"/><Relationship Id="rId66" Type="http://schemas.openxmlformats.org/officeDocument/2006/relationships/hyperlink" Target="https://doi.org/10.1063/5.0069614" TargetMode="External"/><Relationship Id="rId67" Type="http://schemas.openxmlformats.org/officeDocument/2006/relationships/hyperlink" Target="https://doi.org/10.1016/j.enpol.2016.10.023" TargetMode="External"/><Relationship Id="rId68" Type="http://schemas.openxmlformats.org/officeDocument/2006/relationships/hyperlink" Target="https://doi.org/10.1051/978-2-7598-2250-8.c009" TargetMode="External"/><Relationship Id="rId69" Type="http://schemas.openxmlformats.org/officeDocument/2006/relationships/hyperlink" Target="https://doi.org/10.1002/fut.21780" TargetMode="External"/><Relationship Id="rId70" Type="http://schemas.openxmlformats.org/officeDocument/2006/relationships/hyperlink" Target="https://doi.org/10.17016/2380-7172.4161" TargetMode="External"/><Relationship Id="rId71" Type="http://schemas.openxmlformats.org/officeDocument/2006/relationships/hyperlink" Target="https://doi.org/10.3390/su9101789" TargetMode="External"/><Relationship Id="rId72" Type="http://schemas.openxmlformats.org/officeDocument/2006/relationships/hyperlink" Target="https://doi.org/10.2139/ssrn.4170198" TargetMode="External"/><Relationship Id="rId73" Type="http://schemas.openxmlformats.org/officeDocument/2006/relationships/hyperlink" Target="https://doi.org/10.2478/lasr-2019-0007" TargetMode="External"/><Relationship Id="rId74" Type="http://schemas.openxmlformats.org/officeDocument/2006/relationships/hyperlink" Target="https://doi.org/10.18522/2687-0770-2026-1-87-93" TargetMode="External"/><Relationship Id="rId75" Type="http://schemas.openxmlformats.org/officeDocument/2006/relationships/hyperlink" Target="https://doi.org/10.3390/atmos11111222" TargetMode="External"/><Relationship Id="rId76" Type="http://schemas.openxmlformats.org/officeDocument/2006/relationships/hyperlink" Target="https://doi.org/10.3389/fpubh.2020.563358" TargetMode="External"/><Relationship Id="rId77" Type="http://schemas.openxmlformats.org/officeDocument/2006/relationships/hyperlink" Target="https://doi.org/10.1186/s41118-020-00113-3" TargetMode="External"/><Relationship Id="rId78" Type="http://schemas.openxmlformats.org/officeDocument/2006/relationships/hyperlink" Target="https://doi.org/10.1007/s11135-023-01818-1" TargetMode="External"/><Relationship Id="rId79" Type="http://schemas.openxmlformats.org/officeDocument/2006/relationships/hyperlink" Target="https://doi.org/10.46676/ij-fanres.v3i2.65" TargetMode="External"/><Relationship Id="rId80" Type="http://schemas.openxmlformats.org/officeDocument/2006/relationships/hyperlink" Target="https://doi.org/10.13140/rg.2.2.20639.21922" TargetMode="External"/><Relationship Id="rId81" Type="http://schemas.openxmlformats.org/officeDocument/2006/relationships/hyperlink" Target="https://doi.org/10.5380/nocsi.v0i5.93600" TargetMode="External"/><Relationship Id="rId82" Type="http://schemas.openxmlformats.org/officeDocument/2006/relationships/hyperlink" Target="https://doi.org/10.24857/rgsa.v18n2-194" TargetMode="External"/><Relationship Id="rId83" Type="http://schemas.openxmlformats.org/officeDocument/2006/relationships/hyperlink" Target="https://doi.org/10.1016/j.jclepro.2023.137867" TargetMode="External"/><Relationship Id="rId84" Type="http://schemas.openxmlformats.org/officeDocument/2006/relationships/hyperlink" Target="https://doi.org/10.66021/pakmcr1487" TargetMode="External"/><Relationship Id="rId85" Type="http://schemas.openxmlformats.org/officeDocument/2006/relationships/hyperlink" Target="https://doi.org/10.1038/s41597-023-02532-1" TargetMode="External"/><Relationship Id="rId86" Type="http://schemas.openxmlformats.org/officeDocument/2006/relationships/hyperlink" Target="https://doi.org/10.3390/socsci15040258" TargetMode="External"/><Relationship Id="rId87" Type="http://schemas.openxmlformats.org/officeDocument/2006/relationships/hyperlink" Target="https://doi.org/10.1016/j.futures.2023.103179" TargetMode="External"/><Relationship Id="rId88" Type="http://schemas.openxmlformats.org/officeDocument/2006/relationships/hyperlink" Target="https://doi.org/10.5281/zenodo.227440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