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yebrow"/>
      </w:pPr>
      <w:r>
        <w:t>A SMALL TOUR THROUGH BIG PREDICTIONS</w:t>
      </w:r>
    </w:p>
    <w:p>
      <w:pPr>
        <w:pStyle w:val="Title"/>
      </w:pPr>
      <w:r>
        <w:t>Back then.</w:t>
        <w:br/>
        <w:t>And now?</w:t>
      </w:r>
    </w:p>
    <w:p>
      <w:r>
        <w:rPr>
          <w:color w:val="586B72"/>
          <w:sz w:val="28"/>
        </w:rPr>
        <w:t>What Europeans hoped, planned or expected — and what the evidence says happened next. Short stories, not 100 pages of audit logs.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97"/>
        <w:gridCol w:w="3197"/>
        <w:gridCol w:w="3197"/>
      </w:tblGrid>
      <w:tr>
        <w:tc>
          <w:tcPr>
            <w:tcW w:type="dxa" w:w="3197"/>
            <w:vAlign w:val="center"/>
            <w:shd w:fill="EAF3F0"/>
          </w:tcPr>
          <w:p>
            <w:pPr>
              <w:jc w:val="center"/>
            </w:pPr>
            <w:r>
              <w:rPr>
                <w:b/>
                <w:color w:val="156866"/>
                <w:sz w:val="42"/>
              </w:rPr>
              <w:t>2</w:t>
              <w:br/>
            </w:r>
            <w:r>
              <w:rPr>
                <w:color w:val="1B3440"/>
                <w:sz w:val="16"/>
              </w:rPr>
              <w:t>Real-world snapshots</w:t>
            </w:r>
          </w:p>
        </w:tc>
        <w:tc>
          <w:tcPr>
            <w:tcW w:type="dxa" w:w="3197"/>
            <w:vAlign w:val="center"/>
            <w:shd w:fill="EAF3F0"/>
          </w:tcPr>
          <w:p>
            <w:pPr>
              <w:jc w:val="center"/>
            </w:pPr>
            <w:r>
              <w:rPr>
                <w:b/>
                <w:color w:val="156866"/>
                <w:sz w:val="42"/>
              </w:rPr>
              <w:t>0</w:t>
              <w:br/>
            </w:r>
            <w:r>
              <w:rPr>
                <w:color w:val="1B3440"/>
                <w:sz w:val="16"/>
              </w:rPr>
              <w:t>Reviewed predictions</w:t>
            </w:r>
          </w:p>
        </w:tc>
        <w:tc>
          <w:tcPr>
            <w:tcW w:type="dxa" w:w="3197"/>
            <w:vAlign w:val="center"/>
            <w:shd w:fill="EAF3F0"/>
          </w:tcPr>
          <w:p>
            <w:pPr>
              <w:jc w:val="center"/>
            </w:pPr>
            <w:r>
              <w:rPr>
                <w:b/>
                <w:color w:val="156866"/>
                <w:sz w:val="42"/>
              </w:rPr>
              <w:t>1366</w:t>
              <w:br/>
            </w:r>
            <w:r>
              <w:rPr>
                <w:color w:val="1B3440"/>
                <w:sz w:val="16"/>
              </w:rPr>
              <w:t>Research leads behind the scenes</w:t>
            </w:r>
          </w:p>
        </w:tc>
      </w:tr>
    </w:tbl>
    <w:p/>
    <w:p>
      <w:pPr>
        <w:pStyle w:val="Heading1"/>
      </w:pPr>
      <w:r>
        <w:t>The idea</w:t>
      </w:r>
    </w:p>
    <w:p>
      <w:r>
        <w:t>Each story has three simple beats: what was being said, what came afterward, and a short verdict. We do not pretend every scenario was a prediction, or that an academic paper proves something happened in the real world.</w:t>
      </w:r>
    </w:p>
    <w:p>
      <w:pPr>
        <w:pStyle w:val="Heading1"/>
      </w:pPr>
      <w:r>
        <w:t>About the numbers</w:t>
      </w:r>
    </w:p>
    <w:p>
      <w:r>
        <w:t>A score out of 100 can be useful — when it has earned its place. Hindsight grades require an editor to check the original prediction against later independent measurements. For a policy target, we can show a separate 1–100 target-level yardstick; it is not a score for how clever the original idea was.</w:t>
      </w:r>
    </w:p>
    <w:p>
      <w:r>
        <w:rPr>
          <w:i/>
        </w:rPr>
        <w:t>These examples use saved, dated source material. They are snapshots, not claims about the situation today.</w:t>
      </w:r>
    </w:p>
    <w:p>
      <w:pPr>
        <w:pStyle w:val="Heading1"/>
        <w:pageBreakBefore/>
      </w:pPr>
      <w:r>
        <w:t>Two promises, two reality checks</w:t>
      </w:r>
    </w:p>
    <w:p>
      <w:r>
        <w:t>These are public policy goals, not forecasts by the research papers in the database. The destination year has not arrived in the measurements cited below.</w:t>
      </w:r>
    </w:p>
    <w:p>
      <w:pPr>
        <w:pStyle w:val="Eyebrow"/>
      </w:pPr>
      <w:r>
        <w:t>01 / POLICY PROGRESS</w:t>
      </w:r>
    </w:p>
    <w:p>
      <w:pPr>
        <w:pStyle w:val="Heading2"/>
      </w:pPr>
      <w:r>
        <w:t>EU renewable energy share, 2030 target</w:t>
      </w:r>
    </w:p>
    <w:p>
      <w:r>
        <w:rPr>
          <w:b/>
        </w:rPr>
        <w:t xml:space="preserve">BACK THEN  </w:t>
      </w:r>
      <w:r>
        <w:t>The 2018 Renewable Energy Directive originally set a binding EU renewable-energy share target of at least 32% by 2030. This was a policy target, not a prediction that 32% would be achieved.</w:t>
      </w:r>
    </w:p>
    <w:p>
      <w:r>
        <w:rPr>
          <w:b/>
        </w:rPr>
        <w:t xml:space="preserve">WHAT CAME NEXT  </w:t>
      </w:r>
      <w:r>
        <w:t>The 2030 binding target was raised to at least 42.5% in 2023. Eurostat reported a 25.2% renewables share of EU gross final energy consumption for 2024, leaving a 17.3-percentage-point gap to the revised 2030 target.</w:t>
      </w:r>
    </w:p>
    <w:p>
      <w:r>
        <w:rPr>
          <w:b/>
          <w:color w:val="B6563C"/>
        </w:rPr>
        <w:t xml:space="preserve">THE TAKE  </w:t>
      </w:r>
      <w:r>
        <w:t>Progress observed; 2030 target not yet due; no claim of final realization.</w:t>
      </w:r>
    </w:p>
    <w:p>
      <w:r>
        <w:rPr>
          <w:b/>
          <w:color w:val="156866"/>
        </w:rPr>
        <w:t xml:space="preserve">PROGRESS SNAPSHOT  </w:t>
      </w:r>
      <w:r>
        <w:t>59/100 target-level yardstick (25.2 ÷ 42.5 × 100). 2024 renewable-energy share compared with the revised 2030 EU share target; data: 2024 (Eurostat release dated 2025-12-18). Compares two levels; not a score for planning quality or a measure of percentage-point progress.</w:t>
      </w:r>
    </w:p>
    <w:p>
      <w:pPr>
        <w:spacing w:after="100"/>
      </w:pPr>
      <w:r>
        <w:rPr>
          <w:b/>
          <w:color w:val="586B72"/>
          <w:sz w:val="17"/>
        </w:rPr>
        <w:t xml:space="preserve">Explore the evidence   </w:t>
      </w:r>
      <w:hyperlink r:id="rId11">
        <w:r>
          <w:rPr>
            <w:color w:val="156866"/>
            <w:u w:val="single"/>
          </w:rPr>
          <w:t>2018-12-21 source 1</w:t>
        </w:r>
      </w:hyperlink>
      <w:r>
        <w:t xml:space="preserve">   </w:t>
      </w:r>
      <w:hyperlink r:id="rId12">
        <w:r>
          <w:rPr>
            <w:color w:val="156866"/>
            <w:u w:val="single"/>
          </w:rPr>
          <w:t>2023-11-20 source 2</w:t>
        </w:r>
      </w:hyperlink>
      <w:r>
        <w:t xml:space="preserve">   </w:t>
      </w:r>
      <w:hyperlink r:id="rId13">
        <w:r>
          <w:rPr>
            <w:color w:val="156866"/>
            <w:u w:val="single"/>
          </w:rPr>
          <w:t>2025-12-18 source 3</w:t>
        </w:r>
      </w:hyperlink>
      <w:r>
        <w:t xml:space="preserve">   </w:t>
      </w:r>
    </w:p>
    <w:p/>
    <w:p>
      <w:pPr>
        <w:pStyle w:val="Eyebrow"/>
      </w:pPr>
      <w:r>
        <w:t>02 / POLICY PROGRESS</w:t>
      </w:r>
    </w:p>
    <w:p>
      <w:pPr>
        <w:pStyle w:val="Heading2"/>
      </w:pPr>
      <w:r>
        <w:t>EU net greenhouse gas reduction toward 2030</w:t>
      </w:r>
    </w:p>
    <w:p>
      <w:r>
        <w:rPr>
          <w:b/>
        </w:rPr>
        <w:t xml:space="preserve">BACK THEN  </w:t>
      </w:r>
      <w:r>
        <w:t>The EU policy objective is to reduce net greenhouse gas emissions by at least 55% by 2030 relative to 1990, and become climate neutral by 2050. These are targets, not predictions.</w:t>
      </w:r>
    </w:p>
    <w:p>
      <w:r>
        <w:rPr>
          <w:b/>
        </w:rPr>
        <w:t xml:space="preserve">WHAT CAME NEXT  </w:t>
      </w:r>
      <w:r>
        <w:t>The European Commission reported that provisional EU net greenhouse gas emissions in 2024 were 37.2% below 1990, within the scope of the EU climate target. The 2030 objective is not yet due.</w:t>
      </w:r>
    </w:p>
    <w:p>
      <w:r>
        <w:rPr>
          <w:b/>
          <w:color w:val="B6563C"/>
        </w:rPr>
        <w:t xml:space="preserve">THE TAKE  </w:t>
      </w:r>
      <w:r>
        <w:t>Observed emissions reductions; 2030 and 2050 objectives not yet verifiable as completed.</w:t>
      </w:r>
    </w:p>
    <w:p>
      <w:r>
        <w:rPr>
          <w:b/>
          <w:color w:val="156866"/>
        </w:rPr>
        <w:t xml:space="preserve">PROGRESS SNAPSHOT  </w:t>
      </w:r>
      <w:r>
        <w:t>68/100 target-level yardstick (37.2 ÷ 55 × 100). 2024 net-emissions reduction compared with the EU 2030 reduction goal, both versus 1990; data: 2024 (European Commission and EEA releases in 2025). A snapshot of the reduction versus the stated target, not a forecast-accuracy grade.</w:t>
      </w:r>
    </w:p>
    <w:p>
      <w:pPr>
        <w:spacing w:after="100"/>
      </w:pPr>
      <w:r>
        <w:rPr>
          <w:b/>
          <w:color w:val="586B72"/>
          <w:sz w:val="17"/>
        </w:rPr>
        <w:t xml:space="preserve">Explore the evidence   </w:t>
      </w:r>
      <w:hyperlink r:id="rId14">
        <w:r>
          <w:rPr>
            <w:color w:val="156866"/>
            <w:u w:val="single"/>
          </w:rPr>
          <w:t>2025 source 1</w:t>
        </w:r>
      </w:hyperlink>
      <w:r>
        <w:t xml:space="preserve">   </w:t>
      </w:r>
      <w:hyperlink r:id="rId15">
        <w:r>
          <w:rPr>
            <w:color w:val="156866"/>
            <w:u w:val="single"/>
          </w:rPr>
          <w:t>2025 source 2</w:t>
        </w:r>
      </w:hyperlink>
      <w:r>
        <w:t xml:space="preserve">   </w:t>
      </w:r>
    </w:p>
    <w:p>
      <w:pPr>
        <w:pStyle w:val="Heading1"/>
        <w:pageBreakBefore/>
      </w:pPr>
      <w:r>
        <w:t>Meanwhile, in the reading room…</w:t>
      </w:r>
    </w:p>
    <w:p>
      <w:r>
        <w:t>These are interesting conversations across time. A later paper can deepen or challenge an older idea, but that is not the same as independently checking whether the world turned out as expected.</w:t>
      </w:r>
    </w:p>
    <w:p>
      <w:pPr>
        <w:pStyle w:val="Eyebrow"/>
      </w:pPr>
      <w:r>
        <w:t>01 / RESEARCH ECHO, NOT AN OUTCOME</w:t>
      </w:r>
    </w:p>
    <w:p>
      <w:pPr>
        <w:pStyle w:val="Heading2"/>
      </w:pPr>
      <w:r>
        <w:t>Record dry summer in 2015 challenges precipitation projections in Central Europe</w:t>
      </w:r>
    </w:p>
    <w:p>
      <w:r>
        <w:rPr>
          <w:b/>
        </w:rPr>
        <w:t xml:space="preserve">BACK THEN  </w:t>
      </w:r>
      <w:r>
        <w:t>In 2016, a study questioned how confidently climate projections describe Central Europe’s summers.</w:t>
      </w:r>
    </w:p>
    <w:p>
      <w:r>
        <w:rPr>
          <w:b/>
        </w:rPr>
        <w:t xml:space="preserve">LATER RESEARCH  </w:t>
      </w:r>
      <w:r>
        <w:t>A related 2018 modeling paper found very different possible summer-rainfall futures: wet, dry and very dry.</w:t>
      </w:r>
    </w:p>
    <w:p>
      <w:r>
        <w:rPr>
          <w:b/>
          <w:color w:val="B6563C"/>
        </w:rPr>
        <w:t xml:space="preserve">VERDICT  </w:t>
      </w:r>
      <w:r>
        <w:t>This is later academic discussion, not a real-world test or proof that the earlier scenario happened.</w:t>
      </w:r>
    </w:p>
    <w:p>
      <w:hyperlink r:id="rId16">
        <w:r>
          <w:rPr>
            <w:color w:val="156866"/>
            <w:u w:val="single"/>
          </w:rPr>
          <w:t>Original study</w:t>
        </w:r>
      </w:hyperlink>
      <w:r>
        <w:t xml:space="preserve">    ·    </w:t>
      </w:r>
      <w:hyperlink r:id="rId17">
        <w:r>
          <w:rPr>
            <w:color w:val="156866"/>
            <w:u w:val="single"/>
          </w:rPr>
          <w:t>Later study</w:t>
        </w:r>
      </w:hyperlink>
    </w:p>
    <w:p>
      <w:pPr>
        <w:pStyle w:val="Eyebrow"/>
      </w:pPr>
      <w:r>
        <w:t>02 / RESEARCH ECHO, NOT AN OUTCOME</w:t>
      </w:r>
    </w:p>
    <w:p>
      <w:pPr>
        <w:pStyle w:val="Heading2"/>
      </w:pPr>
      <w:r>
        <w:t>Assessment of Future Heat Stress Risk in European Regions: Towards a better Integration of Socio-economic Sce…</w:t>
      </w:r>
    </w:p>
    <w:p>
      <w:r>
        <w:rPr>
          <w:b/>
        </w:rPr>
        <w:t xml:space="preserve">BACK THEN  </w:t>
      </w:r>
      <w:r>
        <w:t>A 2017 study explored how changing climates and social conditions might affect Europe’s heat-stress risks.</w:t>
      </w:r>
    </w:p>
    <w:p>
      <w:r>
        <w:rPr>
          <w:b/>
        </w:rPr>
        <w:t xml:space="preserve">LATER RESEARCH  </w:t>
      </w:r>
      <w:r>
        <w:t>A related 2021 study modeled rising heat-related mortality risks through 2050, with markedly different projections across European countries.</w:t>
      </w:r>
    </w:p>
    <w:p>
      <w:r>
        <w:rPr>
          <w:b/>
          <w:color w:val="B6563C"/>
        </w:rPr>
        <w:t xml:space="preserve">VERDICT  </w:t>
      </w:r>
      <w:r>
        <w:t>This is later academic discussion, not a real-world test or proof that the earlier scenario happened.</w:t>
      </w:r>
    </w:p>
    <w:p>
      <w:hyperlink r:id="rId18">
        <w:r>
          <w:rPr>
            <w:color w:val="156866"/>
            <w:u w:val="single"/>
          </w:rPr>
          <w:t>Original study</w:t>
        </w:r>
      </w:hyperlink>
      <w:r>
        <w:t xml:space="preserve">    ·    </w:t>
      </w:r>
      <w:hyperlink r:id="rId19">
        <w:r>
          <w:rPr>
            <w:color w:val="156866"/>
            <w:u w:val="single"/>
          </w:rPr>
          <w:t>Later study</w:t>
        </w:r>
      </w:hyperlink>
    </w:p>
    <w:p>
      <w:pPr>
        <w:pStyle w:val="Heading1"/>
        <w:pageBreakBefore/>
      </w:pPr>
      <w:r>
        <w:t>How to read a hindsight score</w:t>
      </w:r>
    </w:p>
    <w:p>
      <w:r>
        <w:t>The future is messy. So should the judging be curious rather than overconfident.</w:t>
      </w:r>
    </w:p>
    <w:p>
      <w:pPr>
        <w:pStyle w:val="Eyebrow"/>
      </w:pPr>
      <w:r>
        <w:t>A SCORE IS EDITORIAL, NOT A PROBABILITY</w:t>
      </w:r>
    </w:p>
    <w:p>
      <w:r>
        <w:rPr>
          <w:b/>
        </w:rPr>
        <w:t xml:space="preserve">25%  Clarity   </w:t>
      </w:r>
      <w:r>
        <w:t>Could someone at the time tell what was expected, when, and for whom?</w:t>
      </w:r>
    </w:p>
    <w:p>
      <w:r>
        <w:rPr>
          <w:b/>
        </w:rPr>
        <w:t xml:space="preserve">50%  Anticipation   </w:t>
      </w:r>
      <w:r>
        <w:t>How closely did the expectation match later measured developments, including important misses?</w:t>
      </w:r>
    </w:p>
    <w:p>
      <w:r>
        <w:rPr>
          <w:b/>
        </w:rPr>
        <w:t xml:space="preserve">25%  Usefulness   </w:t>
      </w:r>
      <w:r>
        <w:t>Did it offer a concrete way to plan, prepare or make a decision?</w:t>
      </w:r>
    </w:p>
    <w:p>
      <w:pPr>
        <w:pStyle w:val="Heading2"/>
      </w:pPr>
      <w:r>
        <w:t>When there is no number</w:t>
      </w:r>
    </w:p>
    <w:p>
      <w:r>
        <w:t>That is usually a good thing: it means the original forecast has not yet been checked in its full source, the relevant date has not arrived, or the later evidence is about a different place, metric or modeled scenario. A missing score is not zero.</w:t>
      </w:r>
    </w:p>
    <w:p>
      <w:pPr>
        <w:pStyle w:val="Heading2"/>
      </w:pPr>
      <w:r>
        <w:t>For the curious</w:t>
      </w:r>
    </w:p>
    <w:p>
      <w:r>
        <w:t>There are 1,366 indexed research leads behind this short digest, and 0 reviewed, comparable forecast outcomes. They remain available in the project’s data files. This Word file is meant for reading, not for auditing the scanner.</w:t>
      </w:r>
    </w:p>
    <w:p>
      <w:r>
        <w:t>Latest research mode: Automated research-assisted follow-up — its results still need source review.</w:t>
      </w:r>
    </w:p>
    <w:p>
      <w:r>
        <w:t>No prediction is graded just because a related academic abstract exists. The goal is an enjoyable, traceable retrospective — not an impressive-looking but unjustified accuracy table.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325" w:bottom="1080" w:left="1325" w:header="547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86B72"/>
        <w:sz w:val="16"/>
      </w:rPr>
      <w:t xml:space="preserve">Research digest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Eyebrow"/>
    </w:pPr>
    <w:r>
      <w:t>THE HINDSIGHT FILES  /  EUROPEAN FORESIGHT RADAR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8" w:lineRule="auto"/>
    </w:pPr>
    <w:rPr>
      <w:rFonts w:ascii="Aptos" w:hAnsi="Aptos"/>
      <w:color w:val="1B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44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B344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color w:val="1B3440"/>
      <w:spacing w:val="5"/>
      <w:kern w:val="28"/>
      <w:sz w:val="6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spacing w:after="100"/>
    </w:pPr>
    <w:rPr>
      <w:rFonts w:ascii="Aptos" w:hAnsi="Aptos"/>
      <w:b/>
      <w:color w:val="156866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commission.europa.eu/news-and-media/news/new-renewables-energy-efficiency-and-governance-legislation-comes-force-24-december-2018-2018-12-21_en" TargetMode="External"/><Relationship Id="rId12" Type="http://schemas.openxmlformats.org/officeDocument/2006/relationships/hyperlink" Target="https://energy.ec.europa.eu/topics/renewable-energy/renewable-energy-directive-targets-and-rules/renewable-energy-targets_en" TargetMode="External"/><Relationship Id="rId13" Type="http://schemas.openxmlformats.org/officeDocument/2006/relationships/hyperlink" Target="https://ec.europa.eu/eurostat/en/web/products-eurostat-news/w/ddn-20251218-2" TargetMode="External"/><Relationship Id="rId14" Type="http://schemas.openxmlformats.org/officeDocument/2006/relationships/hyperlink" Target="https://climate.ec.europa.eu/areas-action/climate-strategies-targets/progress-climate-action/eu-climate-action-progress-report-2025/chapter-1-climate-action-advances-and-challenges_en" TargetMode="External"/><Relationship Id="rId15" Type="http://schemas.openxmlformats.org/officeDocument/2006/relationships/hyperlink" Target="https://www.eea.europa.eu/en/newsroom/news/trends-and-projections-greenhouse-gas-emissions-largely-on-track-to-2030-targets" TargetMode="External"/><Relationship Id="rId16" Type="http://schemas.openxmlformats.org/officeDocument/2006/relationships/hyperlink" Target="https://doi.org/10.1038/srep28334" TargetMode="External"/><Relationship Id="rId17" Type="http://schemas.openxmlformats.org/officeDocument/2006/relationships/hyperlink" Target="https://doi.org/10.5194/esd-9-1107-2018" TargetMode="External"/><Relationship Id="rId18" Type="http://schemas.openxmlformats.org/officeDocument/2006/relationships/hyperlink" Target="https://doi.org/10.1553/giscience2017_01_s341" TargetMode="External"/><Relationship Id="rId19" Type="http://schemas.openxmlformats.org/officeDocument/2006/relationships/hyperlink" Target="https://doi.org/10.1175/wcas-d-20-0142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