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5B6770"/>
          <w:spacing w:val="30"/>
          <w:sz w:val="18"/>
          <w:szCs w:val="18"/>
        </w:rPr>
        <w:t xml:space="preserve">VV FUTURES — EUROPEAN FORESIGHT OBSERVATORY</w:t>
      </w:r>
    </w:p>
    <w:p>
      <w:pPr>
        <w:pStyle w:val="Title"/>
      </w:pPr>
      <w:r>
        <w:t xml:space="preserve">Research Gaps and Follow-ups</w:t>
      </w:r>
    </w:p>
    <w:p>
      <w:pPr>
        <w:spacing w:after="240"/>
      </w:pPr>
      <w:r>
        <w:rPr>
          <w:rFonts w:ascii="Calibri" w:cs="Calibri" w:eastAsia="Calibri" w:hAnsi="Calibri"/>
          <w:color w:val="5B6770"/>
          <w:sz w:val="24"/>
          <w:szCs w:val="24"/>
        </w:rPr>
        <w:t xml:space="preserve">Promising but unresolved historical future claims from the October 2026 review batch · guidance for Scanner 2 and later LLM reviews</w:t>
      </w:r>
    </w:p>
    <w:p>
      <w:r>
        <w:t xml:space="preserve">This document lists historical future claims from the October 2026 review batch that remain promising but unresolved. For each claim it records what is already known, what remains unclear, why the later publications available to this review are insufficient, what kind of evidence would settle the question, and where to look next, including alternative and more recent terminology.</w:t>
      </w:r>
    </w:p>
    <w:p>
      <w:r>
        <w:t xml:space="preserve">Two situations are kept apart throughout. </w:t>
      </w:r>
      <w:r>
        <w:rPr>
          <w:b/>
          <w:bCs/>
        </w:rPr>
        <w:t xml:space="preserve">Genuine absence</w:t>
      </w:r>
      <w:r>
        <w:t xml:space="preserve"> means that targeted searching found no relevant later research or monitoring evidence, which is itself a finding worth preserving. </w:t>
      </w:r>
      <w:r>
        <w:rPr>
          <w:b/>
          <w:bCs/>
        </w:rPr>
        <w:t xml:space="preserve">Unsuccessful or incomplete searching</w:t>
      </w:r>
      <w:r>
        <w:t xml:space="preserve"> means that relevant evidence probably exists but could not be found or opened in this review, for example because of paywalls, unfamiliar national terminology or databases that the Scanner does not cover. A third situation, </w:t>
      </w:r>
      <w:r>
        <w:rPr>
          <w:b/>
          <w:bCs/>
        </w:rPr>
        <w:t xml:space="preserve">horizon not reached</w:t>
      </w:r>
      <w:r>
        <w:t xml:space="preserve">, applies where the original claim concerns a date that has not yet arrived; intermediate trends can be described, but the claim itself remains open.</w:t>
      </w:r>
    </w:p>
    <w:p>
      <w:r>
        <w:t xml:space="preserve">The appendix lists the 25 catalogued claims for which the POSSIBLE-CONNECTIONS document contains no Scanner proposals at all. These claims were not examined in this review; they are listed so that a future Scanner 2 run can include them deliberately.</w:t>
      </w:r>
    </w:p>
    <w:p>
      <w:pPr>
        <w:pStyle w:val="Heading1"/>
      </w:pPr>
      <w:r>
        <w:t xml:space="preserve">Overview</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400"/>
        <w:gridCol w:w="1500"/>
        <w:gridCol w:w="1212"/>
      </w:tblGrid>
      <w:tr>
        <w:trPr>
          <w:cantSplit/>
          <w:tblHeader/>
        </w:trPr>
        <w:tc>
          <w:tcPr>
            <w:tcW w:type="dxa" w:w="7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Gap</w:t>
            </w:r>
          </w:p>
        </w:tc>
        <w:tc>
          <w:tcPr>
            <w:tcW w:type="dxa" w:w="26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w:t>
            </w:r>
          </w:p>
        </w:tc>
        <w:tc>
          <w:tcPr>
            <w:tcW w:type="dxa" w:w="34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Main open question</w:t>
            </w:r>
          </w:p>
        </w:tc>
        <w:tc>
          <w:tcPr>
            <w:tcW w:type="dxa" w:w="15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Gap type</w:t>
            </w:r>
          </w:p>
        </w:tc>
        <w:tc>
          <w:tcPr>
            <w:tcW w:type="dxa" w:w="1212"/>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Revisit</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RG-01</w:t>
            </w:r>
          </w:p>
        </w:tc>
        <w:tc>
          <w:tcPr>
            <w:tcW w:type="dxa" w:w="2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455 · Superconductivity and the environment (2013)</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How far have superconducting energy, transport and sensing technologies moved from demonstration to deployment in Europe?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Conceptual mismatch; unsuccessful searching</w:t>
            </w:r>
          </w:p>
        </w:tc>
        <w:tc>
          <w:tcPr>
            <w:tcW w:type="dxa" w:w="12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 2033</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RG-02</w:t>
            </w:r>
          </w:p>
        </w:tc>
        <w:tc>
          <w:tcPr>
            <w:tcW w:type="dxa" w:w="2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501 · Constructivist forecasting and the EU as a military power (2011)</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Which trajectories and key uncertainties did Meyer actually set out for the EU as a military power?</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Access-limited</w:t>
            </w:r>
          </w:p>
        </w:tc>
        <w:tc>
          <w:tcPr>
            <w:tcW w:type="dxa" w:w="12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2028</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RG-03</w:t>
            </w:r>
          </w:p>
        </w:tc>
        <w:tc>
          <w:tcPr>
            <w:tcW w:type="dxa" w:w="2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437 · EU roles as a global security actor to 2035 (2013)</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Did FOCUS outputs shape EU security-research planning, and will the EU perform the wider roles by 2035?</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Horizon not reached</w:t>
            </w:r>
          </w:p>
        </w:tc>
        <w:tc>
          <w:tcPr>
            <w:tcW w:type="dxa" w:w="12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2030; 2035</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RG-04</w:t>
            </w:r>
          </w:p>
        </w:tc>
        <w:tc>
          <w:tcPr>
            <w:tcW w:type="dxa" w:w="2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460 · Europe 2035: decline, dependence and strategic unity (2013)</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Has higher defence spending bought strategic freedom of action, and is the EU becoming a strategic unit?</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Horizon not reached</w:t>
            </w:r>
          </w:p>
        </w:tc>
        <w:tc>
          <w:tcPr>
            <w:tcW w:type="dxa" w:w="12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2030; 2035</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RG-05</w:t>
            </w:r>
          </w:p>
        </w:tc>
        <w:tc>
          <w:tcPr>
            <w:tcW w:type="dxa" w:w="2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444 · European air quality and climate in 2050 (2013)</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Is a climate penalty on European ozone visible in observations, and which emission pathway is Europe on?</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Horizon not reached</w:t>
            </w:r>
          </w:p>
        </w:tc>
        <w:tc>
          <w:tcPr>
            <w:tcW w:type="dxa" w:w="12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2030; 2052</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RG-06</w:t>
            </w:r>
          </w:p>
        </w:tc>
        <w:tc>
          <w:tcPr>
            <w:tcW w:type="dxa" w:w="2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468 · Ozone exposure in Europe by 2030 (2012)</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Why has ozone exposure improved more slowly than modelled, and what did the climate-policy co-benefit amount to?</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Horizon not reached</w:t>
            </w:r>
          </w:p>
        </w:tc>
        <w:tc>
          <w:tcPr>
            <w:tcW w:type="dxa" w:w="12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2032</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RG-07</w:t>
            </w:r>
          </w:p>
        </w:tc>
        <w:tc>
          <w:tcPr>
            <w:tcW w:type="dxa" w:w="2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469 · Climate change and ozone mortality (2012)</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Is a temperature-driven rise in ozone mortality detectable in southern Europe?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Horizon not reached; access-limited</w:t>
            </w:r>
          </w:p>
        </w:tc>
        <w:tc>
          <w:tcPr>
            <w:tcW w:type="dxa" w:w="12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2028; 2060</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RG-08</w:t>
            </w:r>
          </w:p>
        </w:tc>
        <w:tc>
          <w:tcPr>
            <w:tcW w:type="dxa" w:w="2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475 · Tiger mosquito suitability in Europe (2012)</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Has climatic suitability or abundance actually declined in arid southern Iberia and Sardinia?</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Horizon not reached</w:t>
            </w:r>
          </w:p>
        </w:tc>
        <w:tc>
          <w:tcPr>
            <w:tcW w:type="dxa" w:w="12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 2035; after 2050</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RG-09</w:t>
            </w:r>
          </w:p>
        </w:tc>
        <w:tc>
          <w:tcPr>
            <w:tcW w:type="dxa" w:w="2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452 · Stocks versus increments in EU forests (2013)</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Did management move towards high stocks, and does disturbance risk now outweigh the increment argument?</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Horizon not reached; access-limited</w:t>
            </w:r>
          </w:p>
        </w:tc>
        <w:tc>
          <w:tcPr>
            <w:tcW w:type="dxa" w:w="12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2030; mid-2040s</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RG-10</w:t>
            </w:r>
          </w:p>
        </w:tc>
        <w:tc>
          <w:tcPr>
            <w:tcW w:type="dxa" w:w="2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491 · Finland–Russia rail deregulation (2011)</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Did any operator other than VR ever run Finland–Russia trains, and what is the status of the border crossings?</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Access-limited; unsuccessful searching</w:t>
            </w:r>
          </w:p>
        </w:tc>
        <w:tc>
          <w:tcPr>
            <w:tcW w:type="dxa" w:w="12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2027</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RG-11</w:t>
            </w:r>
          </w:p>
        </w:tc>
        <w:tc>
          <w:tcPr>
            <w:tcW w:type="dxa" w:w="2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465 · Backcasting a low-emission Finland in 2050 (2012)</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How did the backcasting scenarios treat forest sinks, and will Finland meet its land-sector obligations?</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Access-limited; horizon not reached</w:t>
            </w:r>
          </w:p>
        </w:tc>
        <w:tc>
          <w:tcPr>
            <w:tcW w:type="dxa" w:w="12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2027; 2035; 2050</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RG-12</w:t>
            </w:r>
          </w:p>
        </w:tc>
        <w:tc>
          <w:tcPr>
            <w:tcW w:type="dxa" w:w="2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498 · Foresight Tackling Obesities (2011)</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Will GLP-1 treatment change the population BMI distribution, and what do 2025 survey data show?</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Horizon not reached</w:t>
            </w:r>
          </w:p>
        </w:tc>
        <w:tc>
          <w:tcPr>
            <w:tcW w:type="dxa" w:w="12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2027; c. 2032</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RG-13</w:t>
            </w:r>
          </w:p>
        </w:tc>
        <w:tc>
          <w:tcPr>
            <w:tcW w:type="dxa" w:w="2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439 · Obesity and its costs in Ireland to 2030 (2013)</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What happened to obesity-related healthcare costs in Ireland, and how comparable are Irish survey measures?</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Horizon not reached; unsuccessful searching</w:t>
            </w:r>
          </w:p>
        </w:tc>
        <w:tc>
          <w:tcPr>
            <w:tcW w:type="dxa" w:w="12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2031–2032</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RG-14</w:t>
            </w:r>
          </w:p>
        </w:tc>
        <w:tc>
          <w:tcPr>
            <w:tcW w:type="dxa" w:w="2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496 · Health impacts of waste facilities (2011)</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What is the long-term cancer burden near modern incinerators, now that incineration has expanded?</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Horizon not reached; genuine gap likely</w:t>
            </w:r>
          </w:p>
        </w:tc>
        <w:tc>
          <w:tcPr>
            <w:tcW w:type="dxa" w:w="12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 2030; 2050</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RG-15</w:t>
            </w:r>
          </w:p>
        </w:tc>
        <w:tc>
          <w:tcPr>
            <w:tcW w:type="dxa" w:w="2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458 · EU gas supply and the Southern Corridor (2013)</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How large will the corridor become once Russian gas is phased out?</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Horizon not reached; access-limited</w:t>
            </w:r>
          </w:p>
        </w:tc>
        <w:tc>
          <w:tcPr>
            <w:tcW w:type="dxa" w:w="12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2028; 2031</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RG-16</w:t>
            </w:r>
          </w:p>
        </w:tc>
        <w:tc>
          <w:tcPr>
            <w:tcW w:type="dxa" w:w="2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421 · North African renewables for Europe (2014)</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Will any large-scale North Africa–Europe interconnector or hydrogen corridor materialise before 2050?</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Horizon not reached; reframed</w:t>
            </w:r>
          </w:p>
        </w:tc>
        <w:tc>
          <w:tcPr>
            <w:tcW w:type="dxa" w:w="12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2031; 2051</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RG-17</w:t>
            </w:r>
          </w:p>
        </w:tc>
        <w:tc>
          <w:tcPr>
            <w:tcW w:type="dxa" w:w="2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427 · A Europe-wide CO₂ transport network (2014)</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How much CO₂ transport and storage capacity is operating in Europe, and will the 2030 target be met?</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Horizon not reached</w:t>
            </w:r>
          </w:p>
        </w:tc>
        <w:tc>
          <w:tcPr>
            <w:tcW w:type="dxa" w:w="12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2031; 2041</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RG-18</w:t>
            </w:r>
          </w:p>
        </w:tc>
        <w:tc>
          <w:tcPr>
            <w:tcW w:type="dxa" w:w="2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448 · Immigration and integration scenarios to 2050 (2013)</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What exactly did the scenarios specify, and how do integration outcomes evolve under the new EU pact?</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Access-limited; horizon not reached</w:t>
            </w:r>
          </w:p>
        </w:tc>
        <w:tc>
          <w:tcPr>
            <w:tcW w:type="dxa" w:w="12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2030; 2050</w:t>
            </w:r>
          </w:p>
        </w:tc>
      </w:tr>
    </w:tbl>
    <w:p>
      <w:pPr>
        <w:spacing w:after="120"/>
      </w:pPr>
    </w:p>
    <w:p>
      <w:pPr>
        <w:pStyle w:val="Heading3"/>
      </w:pPr>
      <w:r>
        <w:t xml:space="preserve">Gap types used</w:t>
      </w:r>
    </w:p>
    <w:p>
      <w:pPr>
        <w:pStyle w:val="ListParagraph"/>
        <w:numPr>
          <w:ilvl w:val="0"/>
          <w:numId w:val="2"/>
        </w:numPr>
        <w:spacing w:after="60"/>
      </w:pPr>
      <w:r>
        <w:rPr>
          <w:b/>
          <w:bCs/>
        </w:rPr>
        <w:t xml:space="preserve">Horizon not reached</w:t>
      </w:r>
      <w:r>
        <w:t xml:space="preserve"> — the claim refers to a future date that has not arrived; revisit after the date or when monitoring data for it are published.</w:t>
      </w:r>
    </w:p>
    <w:p>
      <w:pPr>
        <w:pStyle w:val="ListParagraph"/>
        <w:numPr>
          <w:ilvl w:val="0"/>
          <w:numId w:val="2"/>
        </w:numPr>
        <w:spacing w:after="60"/>
      </w:pPr>
      <w:r>
        <w:rPr>
          <w:b/>
          <w:bCs/>
        </w:rPr>
        <w:t xml:space="preserve">Access-limited</w:t>
      </w:r>
      <w:r>
        <w:t xml:space="preserve"> — the original publication or key later evidence could not be read in full; the gap may close once the text is obtained.</w:t>
      </w:r>
    </w:p>
    <w:p>
      <w:pPr>
        <w:pStyle w:val="ListParagraph"/>
        <w:numPr>
          <w:ilvl w:val="0"/>
          <w:numId w:val="2"/>
        </w:numPr>
        <w:spacing w:after="60"/>
      </w:pPr>
      <w:r>
        <w:rPr>
          <w:b/>
          <w:bCs/>
        </w:rPr>
        <w:t xml:space="preserve">Unsuccessful searching</w:t>
      </w:r>
      <w:r>
        <w:t xml:space="preserve"> — evidence probably exists but was not located; alternative terms or sources are suggested.</w:t>
      </w:r>
    </w:p>
    <w:p>
      <w:pPr>
        <w:pStyle w:val="ListParagraph"/>
        <w:numPr>
          <w:ilvl w:val="0"/>
          <w:numId w:val="2"/>
        </w:numPr>
        <w:spacing w:after="60"/>
      </w:pPr>
      <w:r>
        <w:rPr>
          <w:b/>
          <w:bCs/>
        </w:rPr>
        <w:t xml:space="preserve">Genuine absence</w:t>
      </w:r>
      <w:r>
        <w:t xml:space="preserve"> — targeted searching found no later research addressing the specific development.</w:t>
      </w:r>
    </w:p>
    <w:p>
      <w:pPr>
        <w:pStyle w:val="ListParagraph"/>
        <w:numPr>
          <w:ilvl w:val="0"/>
          <w:numId w:val="2"/>
        </w:numPr>
        <w:spacing w:after="60"/>
      </w:pPr>
      <w:r>
        <w:rPr>
          <w:b/>
          <w:bCs/>
        </w:rPr>
        <w:t xml:space="preserve">Conceptual mismatch</w:t>
      </w:r>
      <w:r>
        <w:t xml:space="preserve"> — the catalogued excerpt is methodological or premise-like, so the substantive future claim needs to be re-extracted before evidence can be matched.</w:t>
      </w:r>
    </w:p>
    <w:p>
      <w:r>
        <w:br w:type="page"/>
      </w:r>
    </w:p>
    <w:p>
      <w:pPr>
        <w:pStyle w:val="Heading2"/>
      </w:pPr>
      <w:r>
        <w:t xml:space="preserve">RG-01 — Claim 455 — Superconductivity and the environment (2013)</w:t>
      </w:r>
    </w:p>
    <w:p>
      <w:pPr>
        <w:spacing w:after="100"/>
      </w:pPr>
      <w:r>
        <w:rPr>
          <w:rFonts w:ascii="Calibri" w:cs="Calibri" w:eastAsia="Calibri" w:hAnsi="Calibri"/>
          <w:b/>
          <w:bCs/>
          <w:color w:val="1F3A5F"/>
          <w:sz w:val="20"/>
          <w:szCs w:val="20"/>
        </w:rPr>
        <w:t xml:space="preserve">Original study. </w:t>
      </w:r>
      <w:r>
        <w:t xml:space="preserve">Nishijima et al. (2013), </w:t>
      </w:r>
      <w:r>
        <w:rPr>
          <w:i/>
          <w:iCs/>
        </w:rPr>
        <w:t xml:space="preserve">Superconductor Science and Technology</w:t>
      </w:r>
      <w:r>
        <w:t xml:space="preserve"> 26, 113001. </w:t>
      </w:r>
      <w:hyperlink w:history="1" r:id="rIdpkzlmwh0vw8othb13airo">
        <w:r>
          <w:rPr>
            <w:rStyle w:val="Hyperlink"/>
          </w:rPr>
          <w:t xml:space="preserve">https://doi.org/10.1088/0953-2048/26/11/113001</w:t>
        </w:r>
      </w:hyperlink>
    </w:p>
    <w:p>
      <w:pPr>
        <w:spacing w:after="100"/>
      </w:pPr>
      <w:r>
        <w:rPr>
          <w:rFonts w:ascii="Calibri" w:cs="Calibri" w:eastAsia="Calibri" w:hAnsi="Calibri"/>
          <w:b/>
          <w:bCs/>
          <w:color w:val="1F3A5F"/>
          <w:sz w:val="20"/>
          <w:szCs w:val="20"/>
        </w:rPr>
        <w:t xml:space="preserve">Future claim. </w:t>
      </w:r>
      <w:r>
        <w:t xml:space="preserve">The catalogued excerpt is a premise quoted from the 2011 Equinox Summit; the roadmap’s own claim is that superconducting technologies would have significant environmental impact once adopted, over roughly two decades.</w:t>
      </w:r>
    </w:p>
    <w:p>
      <w:pPr>
        <w:spacing w:after="100"/>
      </w:pPr>
      <w:r>
        <w:rPr>
          <w:rFonts w:ascii="Calibri" w:cs="Calibri" w:eastAsia="Calibri" w:hAnsi="Calibri"/>
          <w:b/>
          <w:bCs/>
          <w:color w:val="1F3A5F"/>
          <w:sz w:val="20"/>
          <w:szCs w:val="20"/>
        </w:rPr>
        <w:t xml:space="preserve">Related account. </w:t>
      </w:r>
      <w:r>
        <w:t xml:space="preserve">Account 19 in this review (revision of earlier account 13).</w:t>
      </w:r>
    </w:p>
    <w:p>
      <w:pPr>
        <w:spacing w:after="100"/>
      </w:pPr>
      <w:r>
        <w:rPr>
          <w:rFonts w:ascii="Calibri" w:cs="Calibri" w:eastAsia="Calibri" w:hAnsi="Calibri"/>
          <w:b/>
          <w:bCs/>
          <w:color w:val="1F3A5F"/>
          <w:sz w:val="20"/>
          <w:szCs w:val="20"/>
        </w:rPr>
        <w:t xml:space="preserve">What is already known. </w:t>
      </w:r>
      <w:r>
        <w:t xml:space="preserve">Atmospheric CO₂ continues to rise (432.34 ppm at Mauna Loa in May 2026), which bears only on the premise.</w:t>
      </w:r>
    </w:p>
    <w:p>
      <w:pPr>
        <w:spacing w:after="100"/>
      </w:pPr>
      <w:r>
        <w:rPr>
          <w:rFonts w:ascii="Calibri" w:cs="Calibri" w:eastAsia="Calibri" w:hAnsi="Calibri"/>
          <w:b/>
          <w:bCs/>
          <w:color w:val="1F3A5F"/>
          <w:sz w:val="20"/>
          <w:szCs w:val="20"/>
        </w:rPr>
        <w:t xml:space="preserve">What remains unclear. </w:t>
      </w:r>
      <w:r>
        <w:t xml:space="preserve">Whether superconducting cables, fault-current limiters, generators, storage or maglev reached deployment in Europe, and at what scale.</w:t>
      </w:r>
    </w:p>
    <w:p>
      <w:pPr>
        <w:spacing w:after="100"/>
      </w:pPr>
      <w:r>
        <w:rPr>
          <w:rFonts w:ascii="Calibri" w:cs="Calibri" w:eastAsia="Calibri" w:hAnsi="Calibri"/>
          <w:b/>
          <w:bCs/>
          <w:color w:val="1F3A5F"/>
          <w:sz w:val="20"/>
          <w:szCs w:val="20"/>
        </w:rPr>
        <w:t xml:space="preserve">Why the available later publications are insufficient. </w:t>
      </w:r>
      <w:r>
        <w:t xml:space="preserve">No Scanner candidate addresses superconductivity; this review could not open the roadmap’s full text or verify European deployment evidence.</w:t>
      </w:r>
    </w:p>
    <w:p>
      <w:pPr>
        <w:spacing w:after="100"/>
      </w:pPr>
      <w:r>
        <w:rPr>
          <w:rFonts w:ascii="Calibri" w:cs="Calibri" w:eastAsia="Calibri" w:hAnsi="Calibri"/>
          <w:b/>
          <w:bCs/>
          <w:color w:val="1F3A5F"/>
          <w:sz w:val="20"/>
          <w:szCs w:val="20"/>
        </w:rPr>
        <w:t xml:space="preserve">Evidence that would answer the question. </w:t>
      </w:r>
      <w:r>
        <w:t xml:space="preserve">Section-level expectations from the roadmap; European demonstration and deployment records; review articles on high-temperature superconductor power applications 2018–2026; tape cost and production data.</w:t>
      </w:r>
    </w:p>
    <w:p>
      <w:pPr>
        <w:keepNext/>
        <w:spacing w:after="60" w:before="160"/>
      </w:pPr>
      <w:r>
        <w:rPr>
          <w:rFonts w:ascii="Calibri" w:cs="Calibri" w:eastAsia="Calibri" w:hAnsi="Calibri"/>
          <w:b/>
          <w:bCs/>
          <w:color w:val="1F3A5F"/>
          <w:spacing w:val="20"/>
          <w:sz w:val="17"/>
          <w:szCs w:val="17"/>
        </w:rPr>
        <w:t xml:space="preserve">SUGGESTED SEARCH TERMS</w:t>
      </w:r>
    </w:p>
    <w:p>
      <w:pPr>
        <w:pBdr>
          <w:left w:val="single" w:color="B8C2CC" w:sz="12" w:space="8"/>
        </w:pBdr>
        <w:shd w:fill="F2F4F6" w:color="auto" w:val="clear"/>
        <w:spacing w:after="60" w:before="40"/>
        <w:ind w:left="200" w:right="120"/>
      </w:pPr>
      <w:r>
        <w:rPr>
          <w:sz w:val="19"/>
          <w:szCs w:val="19"/>
        </w:rPr>
        <w:t xml:space="preserve">HTS cable field demonstration Europe; superconducting distribution cable Germany; AmpaCity; SuperLink Munich</w:t>
      </w:r>
    </w:p>
    <w:p>
      <w:pPr>
        <w:pBdr>
          <w:left w:val="single" w:color="B8C2CC" w:sz="12" w:space="8"/>
        </w:pBdr>
        <w:shd w:fill="F2F4F6" w:color="auto" w:val="clear"/>
        <w:spacing w:after="60" w:before="0"/>
        <w:ind w:left="200" w:right="120"/>
      </w:pPr>
      <w:r>
        <w:rPr>
          <w:sz w:val="19"/>
          <w:szCs w:val="19"/>
        </w:rPr>
        <w:t xml:space="preserve">superconducting fault current limiter grid; HTS wind generator EcoSwing; REBCO coated conductor cost per kA m</w:t>
      </w:r>
    </w:p>
    <w:p>
      <w:pPr>
        <w:pBdr>
          <w:left w:val="single" w:color="B8C2CC" w:sz="12" w:space="8"/>
        </w:pBdr>
        <w:shd w:fill="F2F4F6" w:color="auto" w:val="clear"/>
        <w:spacing w:after="140" w:before="0"/>
        <w:ind w:left="200" w:right="120"/>
      </w:pPr>
      <w:r>
        <w:rPr>
          <w:sz w:val="19"/>
          <w:szCs w:val="19"/>
        </w:rPr>
        <w:t xml:space="preserve">HTS magnets fusion demand; superconducting magnetic separation water treatment</w:t>
      </w:r>
    </w:p>
    <w:p>
      <w:pPr>
        <w:spacing w:after="100"/>
      </w:pPr>
      <w:r>
        <w:rPr>
          <w:rFonts w:ascii="Calibri" w:cs="Calibri" w:eastAsia="Calibri" w:hAnsi="Calibri"/>
          <w:b/>
          <w:bCs/>
          <w:color w:val="1F3A5F"/>
          <w:sz w:val="20"/>
          <w:szCs w:val="20"/>
        </w:rPr>
        <w:t xml:space="preserve">Useful institutions, monitoring sources and publication types. </w:t>
      </w:r>
      <w:r>
        <w:t xml:space="preserve">CORDIS project records; transmission and distribution system operators; IEEE Transactions on Applied Superconductivity; </w:t>
      </w:r>
      <w:r>
        <w:rPr>
          <w:i/>
          <w:iCs/>
        </w:rPr>
        <w:t xml:space="preserve">Superconductor Science and Technology</w:t>
      </w:r>
      <w:r>
        <w:t xml:space="preserve"> reviews; EPRI.</w:t>
      </w:r>
    </w:p>
    <w:p>
      <w:pPr>
        <w:spacing w:after="100"/>
      </w:pPr>
      <w:r>
        <w:rPr>
          <w:rFonts w:ascii="Calibri" w:cs="Calibri" w:eastAsia="Calibri" w:hAnsi="Calibri"/>
          <w:b/>
          <w:bCs/>
          <w:color w:val="1F3A5F"/>
          <w:sz w:val="20"/>
          <w:szCs w:val="20"/>
        </w:rPr>
        <w:t xml:space="preserve">Search outcome so far. </w:t>
      </w:r>
      <w:r>
        <w:t xml:space="preserve">Unsuccessful searching (search budget exhausted); no evidence of genuine absence. Also re-extract the substantive claim in the catalogue.</w:t>
      </w:r>
    </w:p>
    <w:p>
      <w:pPr>
        <w:spacing w:after="100"/>
      </w:pPr>
      <w:r>
        <w:rPr>
          <w:rFonts w:ascii="Calibri" w:cs="Calibri" w:eastAsia="Calibri" w:hAnsi="Calibri"/>
          <w:b/>
          <w:bCs/>
          <w:color w:val="1F3A5F"/>
          <w:sz w:val="20"/>
          <w:szCs w:val="20"/>
        </w:rPr>
        <w:t xml:space="preserve">Revisit. </w:t>
      </w:r>
      <w:r>
        <w:t xml:space="preserve">Revisit around 2033, the roadmap’s 20-year diffusion horizon; decide first whether the record fits the observatory’s European scope.</w:t>
      </w:r>
    </w:p>
    <w:p>
      <w:r>
        <w:br w:type="page"/>
      </w:r>
    </w:p>
    <w:p>
      <w:pPr>
        <w:pStyle w:val="Heading2"/>
      </w:pPr>
      <w:r>
        <w:t xml:space="preserve">RG-02 — Claim 501 — Constructivist forecasting and the EU as a military power (2011)</w:t>
      </w:r>
    </w:p>
    <w:p>
      <w:pPr>
        <w:spacing w:after="100"/>
      </w:pPr>
      <w:r>
        <w:rPr>
          <w:rFonts w:ascii="Calibri" w:cs="Calibri" w:eastAsia="Calibri" w:hAnsi="Calibri"/>
          <w:b/>
          <w:bCs/>
          <w:color w:val="1F3A5F"/>
          <w:sz w:val="20"/>
          <w:szCs w:val="20"/>
        </w:rPr>
        <w:t xml:space="preserve">Original study. </w:t>
      </w:r>
      <w:r>
        <w:t xml:space="preserve">Meyer (2011), </w:t>
      </w:r>
      <w:r>
        <w:rPr>
          <w:i/>
          <w:iCs/>
        </w:rPr>
        <w:t xml:space="preserve">International Studies Quarterly</w:t>
      </w:r>
      <w:r>
        <w:t xml:space="preserve"> 55(3), 669–690. </w:t>
      </w:r>
      <w:hyperlink w:history="1" r:id="rIdg4kiciiihrfii7kv-mdo7">
        <w:r>
          <w:rPr>
            <w:rStyle w:val="Hyperlink"/>
          </w:rPr>
          <w:t xml:space="preserve">https://doi.org/10.1111/j.1468-2478.2011.00648.x</w:t>
        </w:r>
      </w:hyperlink>
    </w:p>
    <w:p>
      <w:pPr>
        <w:spacing w:after="100"/>
      </w:pPr>
      <w:r>
        <w:rPr>
          <w:rFonts w:ascii="Calibri" w:cs="Calibri" w:eastAsia="Calibri" w:hAnsi="Calibri"/>
          <w:b/>
          <w:bCs/>
          <w:color w:val="1F3A5F"/>
          <w:sz w:val="20"/>
          <w:szCs w:val="20"/>
        </w:rPr>
        <w:t xml:space="preserve">Future claim. </w:t>
      </w:r>
      <w:r>
        <w:t xml:space="preserve">Strategic-culture research combined with drivers, discontinuities and uncertainties can outline “trajectories of the likely” for the EU as a military power.</w:t>
      </w:r>
    </w:p>
    <w:p>
      <w:pPr>
        <w:spacing w:after="100"/>
      </w:pPr>
      <w:r>
        <w:rPr>
          <w:rFonts w:ascii="Calibri" w:cs="Calibri" w:eastAsia="Calibri" w:hAnsi="Calibri"/>
          <w:b/>
          <w:bCs/>
          <w:color w:val="1F3A5F"/>
          <w:sz w:val="20"/>
          <w:szCs w:val="20"/>
        </w:rPr>
        <w:t xml:space="preserve">Related account. </w:t>
      </w:r>
      <w:r>
        <w:t xml:space="preserve">Account 06 in this review (revision of earlier account 57).</w:t>
      </w:r>
    </w:p>
    <w:p>
      <w:pPr>
        <w:spacing w:after="100"/>
      </w:pPr>
      <w:r>
        <w:rPr>
          <w:rFonts w:ascii="Calibri" w:cs="Calibri" w:eastAsia="Calibri" w:hAnsi="Calibri"/>
          <w:b/>
          <w:bCs/>
          <w:color w:val="1F3A5F"/>
          <w:sz w:val="20"/>
          <w:szCs w:val="20"/>
        </w:rPr>
        <w:t xml:space="preserve">What is already known. </w:t>
      </w:r>
      <w:r>
        <w:t xml:space="preserve">European strategic cultures show partial convergence, stronger on threat perception than on goals and means; EU defence roles grew after 2022 mainly through financing and industrial instruments.</w:t>
      </w:r>
    </w:p>
    <w:p>
      <w:pPr>
        <w:spacing w:after="100"/>
      </w:pPr>
      <w:r>
        <w:rPr>
          <w:rFonts w:ascii="Calibri" w:cs="Calibri" w:eastAsia="Calibri" w:hAnsi="Calibri"/>
          <w:b/>
          <w:bCs/>
          <w:color w:val="1F3A5F"/>
          <w:sz w:val="20"/>
          <w:szCs w:val="20"/>
        </w:rPr>
        <w:t xml:space="preserve">What remains unclear. </w:t>
      </w:r>
      <w:r>
        <w:t xml:space="preserve">The substantive trajectories in the article, and therefore which of them developed.</w:t>
      </w:r>
    </w:p>
    <w:p>
      <w:pPr>
        <w:spacing w:after="100"/>
      </w:pPr>
      <w:r>
        <w:rPr>
          <w:rFonts w:ascii="Calibri" w:cs="Calibri" w:eastAsia="Calibri" w:hAnsi="Calibri"/>
          <w:b/>
          <w:bCs/>
          <w:color w:val="1F3A5F"/>
          <w:sz w:val="20"/>
          <w:szCs w:val="20"/>
        </w:rPr>
        <w:t xml:space="preserve">Why the available later publications are insufficient. </w:t>
      </w:r>
      <w:r>
        <w:t xml:space="preserve">Only the abstract and reference list could be read; later sources were assessed mostly from abstracts.</w:t>
      </w:r>
    </w:p>
    <w:p>
      <w:pPr>
        <w:spacing w:after="100"/>
      </w:pPr>
      <w:r>
        <w:rPr>
          <w:rFonts w:ascii="Calibri" w:cs="Calibri" w:eastAsia="Calibri" w:hAnsi="Calibri"/>
          <w:b/>
          <w:bCs/>
          <w:color w:val="1F3A5F"/>
          <w:sz w:val="20"/>
          <w:szCs w:val="20"/>
        </w:rPr>
        <w:t xml:space="preserve">Evidence that would answer the question. </w:t>
      </w:r>
      <w:r>
        <w:t xml:space="preserve">The accepted manuscript (listed in the King’s College London repository) or the published full text; full texts of the 2026 monograph on European strategic culture and of Meyer’s 2023 chapter.</w:t>
      </w:r>
    </w:p>
    <w:p>
      <w:pPr>
        <w:keepNext/>
        <w:spacing w:after="60" w:before="160"/>
      </w:pPr>
      <w:r>
        <w:rPr>
          <w:rFonts w:ascii="Calibri" w:cs="Calibri" w:eastAsia="Calibri" w:hAnsi="Calibri"/>
          <w:b/>
          <w:bCs/>
          <w:color w:val="1F3A5F"/>
          <w:spacing w:val="20"/>
          <w:sz w:val="17"/>
          <w:szCs w:val="17"/>
        </w:rPr>
        <w:t xml:space="preserve">SUGGESTED SEARCH TERMS</w:t>
      </w:r>
    </w:p>
    <w:p>
      <w:pPr>
        <w:pBdr>
          <w:left w:val="single" w:color="B8C2CC" w:sz="12" w:space="8"/>
        </w:pBdr>
        <w:shd w:fill="F2F4F6" w:color="auto" w:val="clear"/>
        <w:spacing w:after="60" w:before="40"/>
        <w:ind w:left="200" w:right="120"/>
      </w:pPr>
      <w:r>
        <w:rPr>
          <w:sz w:val="19"/>
          <w:szCs w:val="19"/>
        </w:rPr>
        <w:t xml:space="preserve">European strategic culture after 2022; strategic culture convergence Zeitenwende</w:t>
      </w:r>
    </w:p>
    <w:p>
      <w:pPr>
        <w:pBdr>
          <w:left w:val="single" w:color="B8C2CC" w:sz="12" w:space="8"/>
        </w:pBdr>
        <w:shd w:fill="F2F4F6" w:color="auto" w:val="clear"/>
        <w:spacing w:after="60" w:before="0"/>
        <w:ind w:left="200" w:right="120"/>
      </w:pPr>
      <w:r>
        <w:rPr>
          <w:sz w:val="19"/>
          <w:szCs w:val="19"/>
        </w:rPr>
        <w:t xml:space="preserve">EU military actorness; defence readiness; European Defence Union</w:t>
      </w:r>
    </w:p>
    <w:p>
      <w:pPr>
        <w:pBdr>
          <w:left w:val="single" w:color="B8C2CC" w:sz="12" w:space="8"/>
        </w:pBdr>
        <w:shd w:fill="F2F4F6" w:color="auto" w:val="clear"/>
        <w:spacing w:after="140" w:before="0"/>
        <w:ind w:left="200" w:right="120"/>
      </w:pPr>
      <w:r>
        <w:rPr>
          <w:sz w:val="19"/>
          <w:szCs w:val="19"/>
        </w:rPr>
        <w:t xml:space="preserve">PESCO uptake evaluation; Strategic Compass implementation</w:t>
      </w:r>
    </w:p>
    <w:p>
      <w:pPr>
        <w:spacing w:after="100"/>
      </w:pPr>
      <w:r>
        <w:rPr>
          <w:rFonts w:ascii="Calibri" w:cs="Calibri" w:eastAsia="Calibri" w:hAnsi="Calibri"/>
          <w:b/>
          <w:bCs/>
          <w:color w:val="1F3A5F"/>
          <w:sz w:val="20"/>
          <w:szCs w:val="20"/>
        </w:rPr>
        <w:t xml:space="preserve">Useful institutions, monitoring sources and publication types. </w:t>
      </w:r>
      <w:r>
        <w:t xml:space="preserve">King’s College London research portal; FIIA project on transforming strategic cultures; </w:t>
      </w:r>
      <w:r>
        <w:rPr>
          <w:i/>
          <w:iCs/>
        </w:rPr>
        <w:t xml:space="preserve">European Security</w:t>
      </w:r>
      <w:r>
        <w:t xml:space="preserve">, </w:t>
      </w:r>
      <w:r>
        <w:rPr>
          <w:i/>
          <w:iCs/>
        </w:rPr>
        <w:t xml:space="preserve">JCMS</w:t>
      </w:r>
      <w:r>
        <w:t xml:space="preserve">, </w:t>
      </w:r>
      <w:r>
        <w:rPr>
          <w:i/>
          <w:iCs/>
        </w:rPr>
        <w:t xml:space="preserve">Cooperation and Conflict</w:t>
      </w:r>
      <w:r>
        <w:t xml:space="preserve">.</w:t>
      </w:r>
    </w:p>
    <w:p>
      <w:pPr>
        <w:spacing w:after="100"/>
      </w:pPr>
      <w:r>
        <w:rPr>
          <w:rFonts w:ascii="Calibri" w:cs="Calibri" w:eastAsia="Calibri" w:hAnsi="Calibri"/>
          <w:b/>
          <w:bCs/>
          <w:color w:val="1F3A5F"/>
          <w:sz w:val="20"/>
          <w:szCs w:val="20"/>
        </w:rPr>
        <w:t xml:space="preserve">Search outcome so far. </w:t>
      </w:r>
      <w:r>
        <w:t xml:space="preserve">Access-limited rather than genuine absence.</w:t>
      </w:r>
    </w:p>
    <w:p>
      <w:pPr>
        <w:spacing w:after="100"/>
      </w:pPr>
      <w:r>
        <w:rPr>
          <w:rFonts w:ascii="Calibri" w:cs="Calibri" w:eastAsia="Calibri" w:hAnsi="Calibri"/>
          <w:b/>
          <w:bCs/>
          <w:color w:val="1F3A5F"/>
          <w:sz w:val="20"/>
          <w:szCs w:val="20"/>
        </w:rPr>
        <w:t xml:space="preserve">Revisit. </w:t>
      </w:r>
      <w:r>
        <w:t xml:space="preserve">Revisit in 2028 after obtaining the full text and the next EU budget cycle.</w:t>
      </w:r>
    </w:p>
    <w:p>
      <w:r>
        <w:br w:type="page"/>
      </w:r>
    </w:p>
    <w:p>
      <w:pPr>
        <w:pStyle w:val="Heading2"/>
      </w:pPr>
      <w:r>
        <w:t xml:space="preserve">RG-03 — Claim 437 — EU roles as a global security actor to 2035 (2013)</w:t>
      </w:r>
    </w:p>
    <w:p>
      <w:pPr>
        <w:spacing w:after="100"/>
      </w:pPr>
      <w:r>
        <w:rPr>
          <w:rFonts w:ascii="Calibri" w:cs="Calibri" w:eastAsia="Calibri" w:hAnsi="Calibri"/>
          <w:b/>
          <w:bCs/>
          <w:color w:val="1F3A5F"/>
          <w:sz w:val="20"/>
          <w:szCs w:val="20"/>
        </w:rPr>
        <w:t xml:space="preserve">Original study. </w:t>
      </w:r>
      <w:r>
        <w:t xml:space="preserve">Tagarev &amp; Ivanova (2013), </w:t>
      </w:r>
      <w:r>
        <w:rPr>
          <w:i/>
          <w:iCs/>
        </w:rPr>
        <w:t xml:space="preserve">Information &amp; Security</w:t>
      </w:r>
      <w:r>
        <w:t xml:space="preserve"> 29, 21–33. </w:t>
      </w:r>
      <w:hyperlink w:history="1" r:id="rIdxn2ljokiu2guzgi4u8qcs">
        <w:r>
          <w:rPr>
            <w:rStyle w:val="Hyperlink"/>
          </w:rPr>
          <w:t xml:space="preserve">https://doi.org/10.11610/isij.2902</w:t>
        </w:r>
      </w:hyperlink>
    </w:p>
    <w:p>
      <w:pPr>
        <w:spacing w:after="100"/>
      </w:pPr>
      <w:r>
        <w:rPr>
          <w:rFonts w:ascii="Calibri" w:cs="Calibri" w:eastAsia="Calibri" w:hAnsi="Calibri"/>
          <w:b/>
          <w:bCs/>
          <w:color w:val="1F3A5F"/>
          <w:sz w:val="20"/>
          <w:szCs w:val="20"/>
        </w:rPr>
        <w:t xml:space="preserve">Future claim. </w:t>
      </w:r>
      <w:r>
        <w:t xml:space="preserve">Plausible new EU security roles to 2035 in cyber, maritime, energy, space and solidarity/defence, explored under three context scenarios.</w:t>
      </w:r>
    </w:p>
    <w:p>
      <w:pPr>
        <w:spacing w:after="100"/>
      </w:pPr>
      <w:r>
        <w:rPr>
          <w:rFonts w:ascii="Calibri" w:cs="Calibri" w:eastAsia="Calibri" w:hAnsi="Calibri"/>
          <w:b/>
          <w:bCs/>
          <w:color w:val="1F3A5F"/>
          <w:sz w:val="20"/>
          <w:szCs w:val="20"/>
        </w:rPr>
        <w:t xml:space="preserve">Related account. </w:t>
      </w:r>
      <w:r>
        <w:t xml:space="preserve">Account 04 in this review (revision of earlier account 02).</w:t>
      </w:r>
    </w:p>
    <w:p>
      <w:pPr>
        <w:spacing w:after="100"/>
      </w:pPr>
      <w:r>
        <w:rPr>
          <w:rFonts w:ascii="Calibri" w:cs="Calibri" w:eastAsia="Calibri" w:hAnsi="Calibri"/>
          <w:b/>
          <w:bCs/>
          <w:color w:val="1F3A5F"/>
          <w:sz w:val="20"/>
          <w:szCs w:val="20"/>
        </w:rPr>
        <w:t xml:space="preserve">What is already known. </w:t>
      </w:r>
      <w:r>
        <w:t xml:space="preserve">Cyber, maritime, space and hybrid roles became EU policy fields; defence financing and industrial instruments expanded after 2022.</w:t>
      </w:r>
    </w:p>
    <w:p>
      <w:pPr>
        <w:spacing w:after="100"/>
      </w:pPr>
      <w:r>
        <w:rPr>
          <w:rFonts w:ascii="Calibri" w:cs="Calibri" w:eastAsia="Calibri" w:hAnsi="Calibri"/>
          <w:b/>
          <w:bCs/>
          <w:color w:val="1F3A5F"/>
          <w:sz w:val="20"/>
          <w:szCs w:val="20"/>
        </w:rPr>
        <w:t xml:space="preserve">What remains unclear. </w:t>
      </w:r>
      <w:r>
        <w:t xml:space="preserve">Uptake of FOCUS results in Horizon 2020/Horizon Europe security research; operational status of the EU Rapid Deployment Capacity; energy-network and space-protection roles beyond policy documents.</w:t>
      </w:r>
    </w:p>
    <w:p>
      <w:pPr>
        <w:spacing w:after="100"/>
      </w:pPr>
      <w:r>
        <w:rPr>
          <w:rFonts w:ascii="Calibri" w:cs="Calibri" w:eastAsia="Calibri" w:hAnsi="Calibri"/>
          <w:b/>
          <w:bCs/>
          <w:color w:val="1F3A5F"/>
          <w:sz w:val="20"/>
          <w:szCs w:val="20"/>
        </w:rPr>
        <w:t xml:space="preserve">Why the available later publications are insufficient. </w:t>
      </w:r>
      <w:r>
        <w:t xml:space="preserve">Later evidence is largely official self-reporting; no evaluation of FOCUS’s influence was found.</w:t>
      </w:r>
    </w:p>
    <w:p>
      <w:pPr>
        <w:spacing w:after="100"/>
      </w:pPr>
      <w:r>
        <w:rPr>
          <w:rFonts w:ascii="Calibri" w:cs="Calibri" w:eastAsia="Calibri" w:hAnsi="Calibri"/>
          <w:b/>
          <w:bCs/>
          <w:color w:val="1F3A5F"/>
          <w:sz w:val="20"/>
          <w:szCs w:val="20"/>
        </w:rPr>
        <w:t xml:space="preserve">Evidence that would answer the question. </w:t>
      </w:r>
      <w:r>
        <w:t xml:space="preserve">Strategic Compass progress reports 2024–2026; evaluations of Horizon Europe Cluster 3; mission and operation reports.</w:t>
      </w:r>
    </w:p>
    <w:p>
      <w:pPr>
        <w:keepNext/>
        <w:spacing w:after="60" w:before="160"/>
      </w:pPr>
      <w:r>
        <w:rPr>
          <w:rFonts w:ascii="Calibri" w:cs="Calibri" w:eastAsia="Calibri" w:hAnsi="Calibri"/>
          <w:b/>
          <w:bCs/>
          <w:color w:val="1F3A5F"/>
          <w:spacing w:val="20"/>
          <w:sz w:val="17"/>
          <w:szCs w:val="17"/>
        </w:rPr>
        <w:t xml:space="preserve">SUGGESTED SEARCH TERMS</w:t>
      </w:r>
    </w:p>
    <w:p>
      <w:pPr>
        <w:pBdr>
          <w:left w:val="single" w:color="B8C2CC" w:sz="12" w:space="8"/>
        </w:pBdr>
        <w:shd w:fill="F2F4F6" w:color="auto" w:val="clear"/>
        <w:spacing w:after="60" w:before="40"/>
        <w:ind w:left="200" w:right="120"/>
      </w:pPr>
      <w:r>
        <w:rPr>
          <w:sz w:val="19"/>
          <w:szCs w:val="19"/>
        </w:rPr>
        <w:t xml:space="preserve">Coordinated Maritime Presences evaluation; EU space security and defence strategy implementation</w:t>
      </w:r>
    </w:p>
    <w:p>
      <w:pPr>
        <w:pBdr>
          <w:left w:val="single" w:color="B8C2CC" w:sz="12" w:space="8"/>
        </w:pBdr>
        <w:shd w:fill="F2F4F6" w:color="auto" w:val="clear"/>
        <w:spacing w:after="60" w:before="0"/>
        <w:ind w:left="200" w:right="120"/>
      </w:pPr>
      <w:r>
        <w:rPr>
          <w:sz w:val="19"/>
          <w:szCs w:val="19"/>
        </w:rPr>
        <w:t xml:space="preserve">Rapid Deployment Capacity operational 2025; hybrid rapid response teams</w:t>
      </w:r>
    </w:p>
    <w:p>
      <w:pPr>
        <w:pBdr>
          <w:left w:val="single" w:color="B8C2CC" w:sz="12" w:space="8"/>
        </w:pBdr>
        <w:shd w:fill="F2F4F6" w:color="auto" w:val="clear"/>
        <w:spacing w:after="140" w:before="0"/>
        <w:ind w:left="200" w:right="120"/>
      </w:pPr>
      <w:r>
        <w:rPr>
          <w:sz w:val="19"/>
          <w:szCs w:val="19"/>
        </w:rPr>
        <w:t xml:space="preserve">civil security research foresight FOCUS follow-up</w:t>
      </w:r>
    </w:p>
    <w:p>
      <w:pPr>
        <w:spacing w:after="100"/>
      </w:pPr>
      <w:r>
        <w:rPr>
          <w:rFonts w:ascii="Calibri" w:cs="Calibri" w:eastAsia="Calibri" w:hAnsi="Calibri"/>
          <w:b/>
          <w:bCs/>
          <w:color w:val="1F3A5F"/>
          <w:sz w:val="20"/>
          <w:szCs w:val="20"/>
        </w:rPr>
        <w:t xml:space="preserve">Useful institutions, monitoring sources and publication types. </w:t>
      </w:r>
      <w:r>
        <w:t xml:space="preserve">EEAS; Council; European Parliament research service; Horizon Europe evaluations.</w:t>
      </w:r>
    </w:p>
    <w:p>
      <w:pPr>
        <w:spacing w:after="100"/>
      </w:pPr>
      <w:r>
        <w:rPr>
          <w:rFonts w:ascii="Calibri" w:cs="Calibri" w:eastAsia="Calibri" w:hAnsi="Calibri"/>
          <w:b/>
          <w:bCs/>
          <w:color w:val="1F3A5F"/>
          <w:sz w:val="20"/>
          <w:szCs w:val="20"/>
        </w:rPr>
        <w:t xml:space="preserve">Search outcome so far. </w:t>
      </w:r>
      <w:r>
        <w:t xml:space="preserve">Unfinished searching.</w:t>
      </w:r>
    </w:p>
    <w:p>
      <w:pPr>
        <w:spacing w:after="100"/>
      </w:pPr>
      <w:r>
        <w:rPr>
          <w:rFonts w:ascii="Calibri" w:cs="Calibri" w:eastAsia="Calibri" w:hAnsi="Calibri"/>
          <w:b/>
          <w:bCs/>
          <w:color w:val="1F3A5F"/>
          <w:sz w:val="20"/>
          <w:szCs w:val="20"/>
        </w:rPr>
        <w:t xml:space="preserve">Revisit. </w:t>
      </w:r>
      <w:r>
        <w:t xml:space="preserve">Revisit in 2030 (Readiness 2030) and 2035 (scenario horizon).</w:t>
      </w:r>
    </w:p>
    <w:p>
      <w:r>
        <w:br w:type="page"/>
      </w:r>
    </w:p>
    <w:p>
      <w:pPr>
        <w:pStyle w:val="Heading2"/>
      </w:pPr>
      <w:r>
        <w:t xml:space="preserve">RG-04 — Claim 460 — Europe 2035: decline, dependence and strategic unity (2013)</w:t>
      </w:r>
    </w:p>
    <w:p>
      <w:pPr>
        <w:spacing w:after="100"/>
      </w:pPr>
      <w:r>
        <w:rPr>
          <w:rFonts w:ascii="Calibri" w:cs="Calibri" w:eastAsia="Calibri" w:hAnsi="Calibri"/>
          <w:b/>
          <w:bCs/>
          <w:color w:val="1F3A5F"/>
          <w:sz w:val="20"/>
          <w:szCs w:val="20"/>
        </w:rPr>
        <w:t xml:space="preserve">Original study. </w:t>
      </w:r>
      <w:r>
        <w:t xml:space="preserve">Nerlich (2013), </w:t>
      </w:r>
      <w:r>
        <w:rPr>
          <w:i/>
          <w:iCs/>
        </w:rPr>
        <w:t xml:space="preserve">Information &amp; Security</w:t>
      </w:r>
      <w:r>
        <w:t xml:space="preserve"> 29, 161–183. </w:t>
      </w:r>
      <w:hyperlink w:history="1" r:id="rIdrkwonynjezxqz1o0cadwt">
        <w:r>
          <w:rPr>
            <w:rStyle w:val="Hyperlink"/>
          </w:rPr>
          <w:t xml:space="preserve">https://doi.org/10.11610/isij.2912</w:t>
        </w:r>
      </w:hyperlink>
    </w:p>
    <w:p>
      <w:pPr>
        <w:spacing w:after="100"/>
      </w:pPr>
      <w:r>
        <w:rPr>
          <w:rFonts w:ascii="Calibri" w:cs="Calibri" w:eastAsia="Calibri" w:hAnsi="Calibri"/>
          <w:b/>
          <w:bCs/>
          <w:color w:val="1F3A5F"/>
          <w:sz w:val="20"/>
          <w:szCs w:val="20"/>
        </w:rPr>
        <w:t xml:space="preserve">Future claim. </w:t>
      </w:r>
      <w:r>
        <w:t xml:space="preserve">Conditional warning of EU decline and US dependence; prescription that the EU stabilise itself as a strategic unit by the 2030s.</w:t>
      </w:r>
    </w:p>
    <w:p>
      <w:pPr>
        <w:spacing w:after="100"/>
      </w:pPr>
      <w:r>
        <w:rPr>
          <w:rFonts w:ascii="Calibri" w:cs="Calibri" w:eastAsia="Calibri" w:hAnsi="Calibri"/>
          <w:b/>
          <w:bCs/>
          <w:color w:val="1F3A5F"/>
          <w:sz w:val="20"/>
          <w:szCs w:val="20"/>
        </w:rPr>
        <w:t xml:space="preserve">Related account. </w:t>
      </w:r>
      <w:r>
        <w:t xml:space="preserve">Account 05 in this review (revision of earlier account 16).</w:t>
      </w:r>
    </w:p>
    <w:p>
      <w:pPr>
        <w:spacing w:after="100"/>
      </w:pPr>
      <w:r>
        <w:rPr>
          <w:rFonts w:ascii="Calibri" w:cs="Calibri" w:eastAsia="Calibri" w:hAnsi="Calibri"/>
          <w:b/>
          <w:bCs/>
          <w:color w:val="1F3A5F"/>
          <w:sz w:val="20"/>
          <w:szCs w:val="20"/>
        </w:rPr>
        <w:t xml:space="preserve">What is already known. </w:t>
      </w:r>
      <w:r>
        <w:t xml:space="preserve">The conditions he flagged became central after 2022; spending rose to €418 billion in 2025; new EU instruments; unanimity still constrains.</w:t>
      </w:r>
    </w:p>
    <w:p>
      <w:pPr>
        <w:spacing w:after="100"/>
      </w:pPr>
      <w:r>
        <w:rPr>
          <w:rFonts w:ascii="Calibri" w:cs="Calibri" w:eastAsia="Calibri" w:hAnsi="Calibri"/>
          <w:b/>
          <w:bCs/>
          <w:color w:val="1F3A5F"/>
          <w:sz w:val="20"/>
          <w:szCs w:val="20"/>
        </w:rPr>
        <w:t xml:space="preserve">What remains unclear. </w:t>
      </w:r>
      <w:r>
        <w:t xml:space="preserve">Independent evidence on strategic freedom of action (for example dependence on US enablers); whether the five-yearly FOCUS–NIC foresight was ever implemented.</w:t>
      </w:r>
    </w:p>
    <w:p>
      <w:pPr>
        <w:spacing w:after="100"/>
      </w:pPr>
      <w:r>
        <w:rPr>
          <w:rFonts w:ascii="Calibri" w:cs="Calibri" w:eastAsia="Calibri" w:hAnsi="Calibri"/>
          <w:b/>
          <w:bCs/>
          <w:color w:val="1F3A5F"/>
          <w:sz w:val="20"/>
          <w:szCs w:val="20"/>
        </w:rPr>
        <w:t xml:space="preserve">Why the available later publications are insufficient. </w:t>
      </w:r>
      <w:r>
        <w:t xml:space="preserve">Spending aggregates do not measure strategic autonomy; strategic-culture sources were read mainly as abstracts.</w:t>
      </w:r>
    </w:p>
    <w:p>
      <w:pPr>
        <w:spacing w:after="100"/>
      </w:pPr>
      <w:r>
        <w:rPr>
          <w:rFonts w:ascii="Calibri" w:cs="Calibri" w:eastAsia="Calibri" w:hAnsi="Calibri"/>
          <w:b/>
          <w:bCs/>
          <w:color w:val="1F3A5F"/>
          <w:sz w:val="20"/>
          <w:szCs w:val="20"/>
        </w:rPr>
        <w:t xml:space="preserve">Evidence that would answer the question. </w:t>
      </w:r>
      <w:r>
        <w:t xml:space="preserve">Arms-import dependence data; assessments of European enabler gaps; EU strategic foresight reports referring to FOCUS.</w:t>
      </w:r>
    </w:p>
    <w:p>
      <w:pPr>
        <w:keepNext/>
        <w:spacing w:after="60" w:before="160"/>
      </w:pPr>
      <w:r>
        <w:rPr>
          <w:rFonts w:ascii="Calibri" w:cs="Calibri" w:eastAsia="Calibri" w:hAnsi="Calibri"/>
          <w:b/>
          <w:bCs/>
          <w:color w:val="1F3A5F"/>
          <w:spacing w:val="20"/>
          <w:sz w:val="17"/>
          <w:szCs w:val="17"/>
        </w:rPr>
        <w:t xml:space="preserve">SUGGESTED SEARCH TERMS</w:t>
      </w:r>
    </w:p>
    <w:p>
      <w:pPr>
        <w:pBdr>
          <w:left w:val="single" w:color="B8C2CC" w:sz="12" w:space="8"/>
        </w:pBdr>
        <w:shd w:fill="F2F4F6" w:color="auto" w:val="clear"/>
        <w:spacing w:after="60" w:before="40"/>
        <w:ind w:left="200" w:right="120"/>
      </w:pPr>
      <w:r>
        <w:rPr>
          <w:sz w:val="19"/>
          <w:szCs w:val="19"/>
        </w:rPr>
        <w:t xml:space="preserve">strategic enablers dependence Europe; European pillar of NATO</w:t>
      </w:r>
    </w:p>
    <w:p>
      <w:pPr>
        <w:pBdr>
          <w:left w:val="single" w:color="B8C2CC" w:sz="12" w:space="8"/>
        </w:pBdr>
        <w:shd w:fill="F2F4F6" w:color="auto" w:val="clear"/>
        <w:spacing w:after="60" w:before="0"/>
        <w:ind w:left="200" w:right="120"/>
      </w:pPr>
      <w:r>
        <w:rPr>
          <w:sz w:val="19"/>
          <w:szCs w:val="19"/>
        </w:rPr>
        <w:t xml:space="preserve">SIPRI European arms imports United States share</w:t>
      </w:r>
    </w:p>
    <w:p>
      <w:pPr>
        <w:pBdr>
          <w:left w:val="single" w:color="B8C2CC" w:sz="12" w:space="8"/>
        </w:pBdr>
        <w:shd w:fill="F2F4F6" w:color="auto" w:val="clear"/>
        <w:spacing w:after="140" w:before="0"/>
        <w:ind w:left="200" w:right="120"/>
      </w:pPr>
      <w:r>
        <w:rPr>
          <w:sz w:val="19"/>
          <w:szCs w:val="19"/>
        </w:rPr>
        <w:t xml:space="preserve">EU strategic foresight report 2025; ESPAS Global Trends</w:t>
      </w:r>
    </w:p>
    <w:p>
      <w:pPr>
        <w:spacing w:after="100"/>
      </w:pPr>
      <w:r>
        <w:rPr>
          <w:rFonts w:ascii="Calibri" w:cs="Calibri" w:eastAsia="Calibri" w:hAnsi="Calibri"/>
          <w:b/>
          <w:bCs/>
          <w:color w:val="1F3A5F"/>
          <w:sz w:val="20"/>
          <w:szCs w:val="20"/>
        </w:rPr>
        <w:t xml:space="preserve">Useful institutions, monitoring sources and publication types. </w:t>
      </w:r>
      <w:r>
        <w:t xml:space="preserve">SIPRI; IISS; EDA; Commission strategic foresight reports; ESPAS.</w:t>
      </w:r>
    </w:p>
    <w:p>
      <w:pPr>
        <w:spacing w:after="100"/>
      </w:pPr>
      <w:r>
        <w:rPr>
          <w:rFonts w:ascii="Calibri" w:cs="Calibri" w:eastAsia="Calibri" w:hAnsi="Calibri"/>
          <w:b/>
          <w:bCs/>
          <w:color w:val="1F3A5F"/>
          <w:sz w:val="20"/>
          <w:szCs w:val="20"/>
        </w:rPr>
        <w:t xml:space="preserve">Search outcome so far. </w:t>
      </w:r>
      <w:r>
        <w:t xml:space="preserve">Unfinished searching.</w:t>
      </w:r>
    </w:p>
    <w:p>
      <w:pPr>
        <w:spacing w:after="100"/>
      </w:pPr>
      <w:r>
        <w:rPr>
          <w:rFonts w:ascii="Calibri" w:cs="Calibri" w:eastAsia="Calibri" w:hAnsi="Calibri"/>
          <w:b/>
          <w:bCs/>
          <w:color w:val="1F3A5F"/>
          <w:sz w:val="20"/>
          <w:szCs w:val="20"/>
        </w:rPr>
        <w:t xml:space="preserve">Revisit. </w:t>
      </w:r>
      <w:r>
        <w:t xml:space="preserve">Revisit in 2030 and 2035.</w:t>
      </w:r>
    </w:p>
    <w:p>
      <w:r>
        <w:br w:type="page"/>
      </w:r>
    </w:p>
    <w:p>
      <w:pPr>
        <w:pStyle w:val="Heading2"/>
      </w:pPr>
      <w:r>
        <w:t xml:space="preserve">RG-05 — Claim 444 — European air quality and climate in 2050 (2013)</w:t>
      </w:r>
    </w:p>
    <w:p>
      <w:pPr>
        <w:spacing w:after="100"/>
      </w:pPr>
      <w:r>
        <w:rPr>
          <w:rFonts w:ascii="Calibri" w:cs="Calibri" w:eastAsia="Calibri" w:hAnsi="Calibri"/>
          <w:b/>
          <w:bCs/>
          <w:color w:val="1F3A5F"/>
          <w:sz w:val="20"/>
          <w:szCs w:val="20"/>
        </w:rPr>
        <w:t xml:space="preserve">Original study. </w:t>
      </w:r>
      <w:r>
        <w:t xml:space="preserve">Colette et al. (2013), </w:t>
      </w:r>
      <w:r>
        <w:rPr>
          <w:i/>
          <w:iCs/>
        </w:rPr>
        <w:t xml:space="preserve">Atmospheric Chemistry and Physics</w:t>
      </w:r>
      <w:r>
        <w:t xml:space="preserve"> 13, 7451–7471. </w:t>
      </w:r>
      <w:hyperlink w:history="1" r:id="rIdvzd9059tcn9wuqialjdxb">
        <w:r>
          <w:rPr>
            <w:rStyle w:val="Hyperlink"/>
          </w:rPr>
          <w:t xml:space="preserve">https://doi.org/10.5194/acp-13-7451-2013</w:t>
        </w:r>
      </w:hyperlink>
    </w:p>
    <w:p>
      <w:pPr>
        <w:spacing w:after="100"/>
      </w:pPr>
      <w:r>
        <w:rPr>
          <w:rFonts w:ascii="Calibri" w:cs="Calibri" w:eastAsia="Calibri" w:hAnsi="Calibri"/>
          <w:b/>
          <w:bCs/>
          <w:color w:val="1F3A5F"/>
          <w:sz w:val="20"/>
          <w:szCs w:val="20"/>
        </w:rPr>
        <w:t xml:space="preserve">Future claim. </w:t>
      </w:r>
      <w:r>
        <w:t xml:space="preserve">Emissions, not climate, dominate European air quality to 2050; ozone exposure rises slightly without climate policy and falls about 80% with it.</w:t>
      </w:r>
    </w:p>
    <w:p>
      <w:pPr>
        <w:spacing w:after="100"/>
      </w:pPr>
      <w:r>
        <w:rPr>
          <w:rFonts w:ascii="Calibri" w:cs="Calibri" w:eastAsia="Calibri" w:hAnsi="Calibri"/>
          <w:b/>
          <w:bCs/>
          <w:color w:val="1F3A5F"/>
          <w:sz w:val="20"/>
          <w:szCs w:val="20"/>
        </w:rPr>
        <w:t xml:space="preserve">Related account. </w:t>
      </w:r>
      <w:r>
        <w:t xml:space="preserve">Account 07 in this review (revision of earlier account 07).</w:t>
      </w:r>
    </w:p>
    <w:p>
      <w:pPr>
        <w:spacing w:after="100"/>
      </w:pPr>
      <w:r>
        <w:rPr>
          <w:rFonts w:ascii="Calibri" w:cs="Calibri" w:eastAsia="Calibri" w:hAnsi="Calibri"/>
          <w:b/>
          <w:bCs/>
          <w:color w:val="1F3A5F"/>
          <w:sz w:val="20"/>
          <w:szCs w:val="20"/>
        </w:rPr>
        <w:t xml:space="preserve">What is already known. </w:t>
      </w:r>
      <w:r>
        <w:t xml:space="preserve">NOx emissions roughly halved 2000–2019; ozone peaks fell slowly while median and low percentiles rose; background ozone accounts for a large share of ozone mortality.</w:t>
      </w:r>
    </w:p>
    <w:p>
      <w:pPr>
        <w:spacing w:after="100"/>
      </w:pPr>
      <w:r>
        <w:rPr>
          <w:rFonts w:ascii="Calibri" w:cs="Calibri" w:eastAsia="Calibri" w:hAnsi="Calibri"/>
          <w:b/>
          <w:bCs/>
          <w:color w:val="1F3A5F"/>
          <w:sz w:val="20"/>
          <w:szCs w:val="20"/>
        </w:rPr>
        <w:t xml:space="preserve">What remains unclear. </w:t>
      </w:r>
      <w:r>
        <w:t xml:space="preserve">Observed climate penalty; background-ozone and methane trends at baseline sites; ozone during the 2022–2025 heat summers.</w:t>
      </w:r>
    </w:p>
    <w:p>
      <w:pPr>
        <w:spacing w:after="100"/>
      </w:pPr>
      <w:r>
        <w:rPr>
          <w:rFonts w:ascii="Calibri" w:cs="Calibri" w:eastAsia="Calibri" w:hAnsi="Calibri"/>
          <w:b/>
          <w:bCs/>
          <w:color w:val="1F3A5F"/>
          <w:sz w:val="20"/>
          <w:szCs w:val="20"/>
        </w:rPr>
        <w:t xml:space="preserve">Why the available later publications are insufficient. </w:t>
      </w:r>
      <w:r>
        <w:t xml:space="preserve">EEA status reports and observational climate-penalty studies were not reached; new CMIP6-based projections have not yet published results.</w:t>
      </w:r>
    </w:p>
    <w:p>
      <w:pPr>
        <w:spacing w:after="100"/>
      </w:pPr>
      <w:r>
        <w:rPr>
          <w:rFonts w:ascii="Calibri" w:cs="Calibri" w:eastAsia="Calibri" w:hAnsi="Calibri"/>
          <w:b/>
          <w:bCs/>
          <w:color w:val="1F3A5F"/>
          <w:sz w:val="20"/>
          <w:szCs w:val="20"/>
        </w:rPr>
        <w:t xml:space="preserve">Evidence that would answer the question. </w:t>
      </w:r>
      <w:r>
        <w:t xml:space="preserve">EEA air-quality status reports 2024–2026; TOAR-II European assessments; EMEP status reports; results of the INSPEnCaT and DLR projects.</w:t>
      </w:r>
    </w:p>
    <w:p>
      <w:pPr>
        <w:keepNext/>
        <w:spacing w:after="60" w:before="160"/>
      </w:pPr>
      <w:r>
        <w:rPr>
          <w:rFonts w:ascii="Calibri" w:cs="Calibri" w:eastAsia="Calibri" w:hAnsi="Calibri"/>
          <w:b/>
          <w:bCs/>
          <w:color w:val="1F3A5F"/>
          <w:spacing w:val="20"/>
          <w:sz w:val="17"/>
          <w:szCs w:val="17"/>
        </w:rPr>
        <w:t xml:space="preserve">SUGGESTED SEARCH TERMS</w:t>
      </w:r>
    </w:p>
    <w:p>
      <w:pPr>
        <w:pBdr>
          <w:left w:val="single" w:color="B8C2CC" w:sz="12" w:space="8"/>
        </w:pBdr>
        <w:shd w:fill="F2F4F6" w:color="auto" w:val="clear"/>
        <w:spacing w:after="60" w:before="40"/>
        <w:ind w:left="200" w:right="120"/>
      </w:pPr>
      <w:r>
        <w:rPr>
          <w:sz w:val="19"/>
          <w:szCs w:val="19"/>
        </w:rPr>
        <w:t xml:space="preserve">ozone climate penalty observations Europe; ozone–temperature sensitivity trend</w:t>
      </w:r>
    </w:p>
    <w:p>
      <w:pPr>
        <w:pBdr>
          <w:left w:val="single" w:color="B8C2CC" w:sz="12" w:space="8"/>
        </w:pBdr>
        <w:shd w:fill="F2F4F6" w:color="auto" w:val="clear"/>
        <w:spacing w:after="60" w:before="0"/>
        <w:ind w:left="200" w:right="120"/>
      </w:pPr>
      <w:r>
        <w:rPr>
          <w:sz w:val="19"/>
          <w:szCs w:val="19"/>
        </w:rPr>
        <w:t xml:space="preserve">TOAR-II Europe surface ozone trends; baseline ozone Mace Head Jungfraujoch</w:t>
      </w:r>
    </w:p>
    <w:p>
      <w:pPr>
        <w:pBdr>
          <w:left w:val="single" w:color="B8C2CC" w:sz="12" w:space="8"/>
        </w:pBdr>
        <w:shd w:fill="F2F4F6" w:color="auto" w:val="clear"/>
        <w:spacing w:after="140" w:before="0"/>
        <w:ind w:left="200" w:right="120"/>
      </w:pPr>
      <w:r>
        <w:rPr>
          <w:sz w:val="19"/>
          <w:szCs w:val="19"/>
        </w:rPr>
        <w:t xml:space="preserve">ozone episodes 2022 heatwave Europe EMEP</w:t>
      </w:r>
    </w:p>
    <w:p>
      <w:pPr>
        <w:spacing w:after="100"/>
      </w:pPr>
      <w:r>
        <w:rPr>
          <w:rFonts w:ascii="Calibri" w:cs="Calibri" w:eastAsia="Calibri" w:hAnsi="Calibri"/>
          <w:b/>
          <w:bCs/>
          <w:color w:val="1F3A5F"/>
          <w:sz w:val="20"/>
          <w:szCs w:val="20"/>
        </w:rPr>
        <w:t xml:space="preserve">Useful institutions, monitoring sources and publication types. </w:t>
      </w:r>
      <w:r>
        <w:t xml:space="preserve">EEA; EMEP/MSC-W and CCC; TOAR-II; CAMS; ISGlobal/BSC.</w:t>
      </w:r>
    </w:p>
    <w:p>
      <w:pPr>
        <w:spacing w:after="100"/>
      </w:pPr>
      <w:r>
        <w:rPr>
          <w:rFonts w:ascii="Calibri" w:cs="Calibri" w:eastAsia="Calibri" w:hAnsi="Calibri"/>
          <w:b/>
          <w:bCs/>
          <w:color w:val="1F3A5F"/>
          <w:sz w:val="20"/>
          <w:szCs w:val="20"/>
        </w:rPr>
        <w:t xml:space="preserve">Search outcome so far. </w:t>
      </w:r>
      <w:r>
        <w:t xml:space="preserve">Unsuccessful searching (budget exhausted), not genuine absence.</w:t>
      </w:r>
    </w:p>
    <w:p>
      <w:pPr>
        <w:spacing w:after="100"/>
      </w:pPr>
      <w:r>
        <w:rPr>
          <w:rFonts w:ascii="Calibri" w:cs="Calibri" w:eastAsia="Calibri" w:hAnsi="Calibri"/>
          <w:b/>
          <w:bCs/>
          <w:color w:val="1F3A5F"/>
          <w:sz w:val="20"/>
          <w:szCs w:val="20"/>
        </w:rPr>
        <w:t xml:space="preserve">Revisit. </w:t>
      </w:r>
      <w:r>
        <w:t xml:space="preserve">Intermediate check in 2030; outcome after 2050.</w:t>
      </w:r>
    </w:p>
    <w:p>
      <w:r>
        <w:br w:type="page"/>
      </w:r>
    </w:p>
    <w:p>
      <w:pPr>
        <w:pStyle w:val="Heading2"/>
      </w:pPr>
      <w:r>
        <w:t xml:space="preserve">RG-06 — Claim 468 — Ozone exposure in Europe by 2030 (2012)</w:t>
      </w:r>
    </w:p>
    <w:p>
      <w:pPr>
        <w:spacing w:after="100"/>
      </w:pPr>
      <w:r>
        <w:rPr>
          <w:rFonts w:ascii="Calibri" w:cs="Calibri" w:eastAsia="Calibri" w:hAnsi="Calibri"/>
          <w:b/>
          <w:bCs/>
          <w:color w:val="1F3A5F"/>
          <w:sz w:val="20"/>
          <w:szCs w:val="20"/>
        </w:rPr>
        <w:t xml:space="preserve">Original study. </w:t>
      </w:r>
      <w:r>
        <w:t xml:space="preserve">Colette et al. (2012), </w:t>
      </w:r>
      <w:r>
        <w:rPr>
          <w:i/>
          <w:iCs/>
        </w:rPr>
        <w:t xml:space="preserve">Atmospheric Chemistry and Physics</w:t>
      </w:r>
      <w:r>
        <w:t xml:space="preserve"> 12, 10613–10630. </w:t>
      </w:r>
      <w:hyperlink w:history="1" r:id="rIdhie7m-xy8olrk9dgmte97">
        <w:r>
          <w:rPr>
            <w:rStyle w:val="Hyperlink"/>
          </w:rPr>
          <w:t xml:space="preserve">https://doi.org/10.5194/acp-12-10613-2012</w:t>
        </w:r>
      </w:hyperlink>
    </w:p>
    <w:p>
      <w:pPr>
        <w:spacing w:after="100"/>
      </w:pPr>
      <w:r>
        <w:rPr>
          <w:rFonts w:ascii="Calibri" w:cs="Calibri" w:eastAsia="Calibri" w:hAnsi="Calibri"/>
          <w:b/>
          <w:bCs/>
          <w:color w:val="1F3A5F"/>
          <w:sz w:val="20"/>
          <w:szCs w:val="20"/>
        </w:rPr>
        <w:t xml:space="preserve">Future claim. </w:t>
      </w:r>
      <w:r>
        <w:t xml:space="preserve">Ozone exposure (SOMO35) falls to 45–70% of current levels by 2030, driven by air-pollution legislation, with a climate-policy co-benefit of at least 40%.</w:t>
      </w:r>
    </w:p>
    <w:p>
      <w:pPr>
        <w:spacing w:after="100"/>
      </w:pPr>
      <w:r>
        <w:rPr>
          <w:rFonts w:ascii="Calibri" w:cs="Calibri" w:eastAsia="Calibri" w:hAnsi="Calibri"/>
          <w:b/>
          <w:bCs/>
          <w:color w:val="1F3A5F"/>
          <w:sz w:val="20"/>
          <w:szCs w:val="20"/>
        </w:rPr>
        <w:t xml:space="preserve">Related account. </w:t>
      </w:r>
      <w:r>
        <w:t xml:space="preserve">Account 08 in this review (revision of earlier account 24).</w:t>
      </w:r>
    </w:p>
    <w:p>
      <w:pPr>
        <w:spacing w:after="100"/>
      </w:pPr>
      <w:r>
        <w:rPr>
          <w:rFonts w:ascii="Calibri" w:cs="Calibri" w:eastAsia="Calibri" w:hAnsi="Calibri"/>
          <w:b/>
          <w:bCs/>
          <w:color w:val="1F3A5F"/>
          <w:sz w:val="20"/>
          <w:szCs w:val="20"/>
        </w:rPr>
        <w:t xml:space="preserve">What is already known. </w:t>
      </w:r>
      <w:r>
        <w:t xml:space="preserve">Precursor cuts proceeded; exposure indicators fell only 1–2% a year to 2019; background ozone dominates the mortality burden.</w:t>
      </w:r>
    </w:p>
    <w:p>
      <w:pPr>
        <w:spacing w:after="100"/>
      </w:pPr>
      <w:r>
        <w:rPr>
          <w:rFonts w:ascii="Calibri" w:cs="Calibri" w:eastAsia="Calibri" w:hAnsi="Calibri"/>
          <w:b/>
          <w:bCs/>
          <w:color w:val="1F3A5F"/>
          <w:sz w:val="20"/>
          <w:szCs w:val="20"/>
        </w:rPr>
        <w:t xml:space="preserve">What remains unclear. </w:t>
      </w:r>
      <w:r>
        <w:t xml:space="preserve">SOMO35 and exceedance data for 2025–2030; attribution of the slow response (emission inventories, VOC/NOx regime, background, weather).</w:t>
      </w:r>
    </w:p>
    <w:p>
      <w:pPr>
        <w:spacing w:after="100"/>
      </w:pPr>
      <w:r>
        <w:rPr>
          <w:rFonts w:ascii="Calibri" w:cs="Calibri" w:eastAsia="Calibri" w:hAnsi="Calibri"/>
          <w:b/>
          <w:bCs/>
          <w:color w:val="1F3A5F"/>
          <w:sz w:val="20"/>
          <w:szCs w:val="20"/>
        </w:rPr>
        <w:t xml:space="preserve">Why the available later publications are insufficient. </w:t>
      </w:r>
      <w:r>
        <w:t xml:space="preserve">Verified evidence ends around 2019–2021; no study evaluates the co-benefit itself.</w:t>
      </w:r>
    </w:p>
    <w:p>
      <w:pPr>
        <w:spacing w:after="100"/>
      </w:pPr>
      <w:r>
        <w:rPr>
          <w:rFonts w:ascii="Calibri" w:cs="Calibri" w:eastAsia="Calibri" w:hAnsi="Calibri"/>
          <w:b/>
          <w:bCs/>
          <w:color w:val="1F3A5F"/>
          <w:sz w:val="20"/>
          <w:szCs w:val="20"/>
        </w:rPr>
        <w:t xml:space="preserve">Evidence that would answer the question. </w:t>
      </w:r>
      <w:r>
        <w:t xml:space="preserve">EEA and Eionet exposure indicators to 2030; attribution studies of ozone trends.</w:t>
      </w:r>
    </w:p>
    <w:p>
      <w:pPr>
        <w:keepNext/>
        <w:spacing w:after="60" w:before="160"/>
      </w:pPr>
      <w:r>
        <w:rPr>
          <w:rFonts w:ascii="Calibri" w:cs="Calibri" w:eastAsia="Calibri" w:hAnsi="Calibri"/>
          <w:b/>
          <w:bCs/>
          <w:color w:val="1F3A5F"/>
          <w:spacing w:val="20"/>
          <w:sz w:val="17"/>
          <w:szCs w:val="17"/>
        </w:rPr>
        <w:t xml:space="preserve">SUGGESTED SEARCH TERMS</w:t>
      </w:r>
    </w:p>
    <w:p>
      <w:pPr>
        <w:pBdr>
          <w:left w:val="single" w:color="B8C2CC" w:sz="12" w:space="8"/>
        </w:pBdr>
        <w:shd w:fill="F2F4F6" w:color="auto" w:val="clear"/>
        <w:spacing w:after="60" w:before="40"/>
        <w:ind w:left="200" w:right="120"/>
      </w:pPr>
      <w:r>
        <w:rPr>
          <w:sz w:val="19"/>
          <w:szCs w:val="19"/>
        </w:rPr>
        <w:t xml:space="preserve">SOMO35 trend Europe 2023; ozone target value exceedances EEA</w:t>
      </w:r>
    </w:p>
    <w:p>
      <w:pPr>
        <w:pBdr>
          <w:left w:val="single" w:color="B8C2CC" w:sz="12" w:space="8"/>
        </w:pBdr>
        <w:shd w:fill="F2F4F6" w:color="auto" w:val="clear"/>
        <w:spacing w:after="60" w:before="0"/>
        <w:ind w:left="200" w:right="120"/>
      </w:pPr>
      <w:r>
        <w:rPr>
          <w:sz w:val="19"/>
          <w:szCs w:val="19"/>
        </w:rPr>
        <w:t xml:space="preserve">hemispheric baseline ozone Europe trend; urban ozone NOx titration increase</w:t>
      </w:r>
    </w:p>
    <w:p>
      <w:pPr>
        <w:pBdr>
          <w:left w:val="single" w:color="B8C2CC" w:sz="12" w:space="8"/>
        </w:pBdr>
        <w:shd w:fill="F2F4F6" w:color="auto" w:val="clear"/>
        <w:spacing w:after="140" w:before="0"/>
        <w:ind w:left="200" w:right="120"/>
      </w:pPr>
      <w:r>
        <w:rPr>
          <w:sz w:val="19"/>
          <w:szCs w:val="19"/>
        </w:rPr>
        <w:t xml:space="preserve">EMEP ozone status report 2024</w:t>
      </w:r>
    </w:p>
    <w:p>
      <w:pPr>
        <w:spacing w:after="100"/>
      </w:pPr>
      <w:r>
        <w:rPr>
          <w:rFonts w:ascii="Calibri" w:cs="Calibri" w:eastAsia="Calibri" w:hAnsi="Calibri"/>
          <w:b/>
          <w:bCs/>
          <w:color w:val="1F3A5F"/>
          <w:sz w:val="20"/>
          <w:szCs w:val="20"/>
        </w:rPr>
        <w:t xml:space="preserve">Useful institutions, monitoring sources and publication types. </w:t>
      </w:r>
      <w:r>
        <w:t xml:space="preserve">EEA; EMEP; Eionet; CAMS reanalysis.</w:t>
      </w:r>
    </w:p>
    <w:p>
      <w:pPr>
        <w:spacing w:after="100"/>
      </w:pPr>
      <w:r>
        <w:rPr>
          <w:rFonts w:ascii="Calibri" w:cs="Calibri" w:eastAsia="Calibri" w:hAnsi="Calibri"/>
          <w:b/>
          <w:bCs/>
          <w:color w:val="1F3A5F"/>
          <w:sz w:val="20"/>
          <w:szCs w:val="20"/>
        </w:rPr>
        <w:t xml:space="preserve">Search outcome so far. </w:t>
      </w:r>
      <w:r>
        <w:t xml:space="preserve">Unfinished searching.</w:t>
      </w:r>
    </w:p>
    <w:p>
      <w:pPr>
        <w:spacing w:after="100"/>
      </w:pPr>
      <w:r>
        <w:rPr>
          <w:rFonts w:ascii="Calibri" w:cs="Calibri" w:eastAsia="Calibri" w:hAnsi="Calibri"/>
          <w:b/>
          <w:bCs/>
          <w:color w:val="1F3A5F"/>
          <w:sz w:val="20"/>
          <w:szCs w:val="20"/>
        </w:rPr>
        <w:t xml:space="preserve">Revisit. </w:t>
      </w:r>
      <w:r>
        <w:t xml:space="preserve">Revisit in 2032, when 2030 data are reported.</w:t>
      </w:r>
    </w:p>
    <w:p>
      <w:r>
        <w:br w:type="page"/>
      </w:r>
    </w:p>
    <w:p>
      <w:pPr>
        <w:pStyle w:val="Heading2"/>
      </w:pPr>
      <w:r>
        <w:t xml:space="preserve">RG-07 — Claim 469 — Climate change and ozone mortality (2012)</w:t>
      </w:r>
    </w:p>
    <w:p>
      <w:pPr>
        <w:spacing w:after="100"/>
      </w:pPr>
      <w:r>
        <w:rPr>
          <w:rFonts w:ascii="Calibri" w:cs="Calibri" w:eastAsia="Calibri" w:hAnsi="Calibri"/>
          <w:b/>
          <w:bCs/>
          <w:color w:val="1F3A5F"/>
          <w:sz w:val="20"/>
          <w:szCs w:val="20"/>
        </w:rPr>
        <w:t xml:space="preserve">Original study. </w:t>
      </w:r>
      <w:r>
        <w:t xml:space="preserve">Orru et al. (2013), </w:t>
      </w:r>
      <w:r>
        <w:rPr>
          <w:i/>
          <w:iCs/>
        </w:rPr>
        <w:t xml:space="preserve">European Respiratory Journal</w:t>
      </w:r>
      <w:r>
        <w:t xml:space="preserve"> 41(2), 285–294. </w:t>
      </w:r>
      <w:hyperlink w:history="1" r:id="rIdnkpwyoxmai1vobpf-s0v8">
        <w:r>
          <w:rPr>
            <w:rStyle w:val="Hyperlink"/>
          </w:rPr>
          <w:t xml:space="preserve">https://doi.org/10.1183/09031936.00210411</w:t>
        </w:r>
      </w:hyperlink>
    </w:p>
    <w:p>
      <w:pPr>
        <w:spacing w:after="100"/>
      </w:pPr>
      <w:r>
        <w:rPr>
          <w:rFonts w:ascii="Calibri" w:cs="Calibri" w:eastAsia="Calibri" w:hAnsi="Calibri"/>
          <w:b/>
          <w:bCs/>
          <w:color w:val="1F3A5F"/>
          <w:sz w:val="20"/>
          <w:szCs w:val="20"/>
        </w:rPr>
        <w:t xml:space="preserve">Future claim. </w:t>
      </w:r>
      <w:r>
        <w:t xml:space="preserve">With emissions held constant, climate change increases ozone-related mortality and morbidity in western and southern Europe in 2021–2050 and 2041–2060.</w:t>
      </w:r>
    </w:p>
    <w:p>
      <w:pPr>
        <w:spacing w:after="100"/>
      </w:pPr>
      <w:r>
        <w:rPr>
          <w:rFonts w:ascii="Calibri" w:cs="Calibri" w:eastAsia="Calibri" w:hAnsi="Calibri"/>
          <w:b/>
          <w:bCs/>
          <w:color w:val="1F3A5F"/>
          <w:sz w:val="20"/>
          <w:szCs w:val="20"/>
        </w:rPr>
        <w:t xml:space="preserve">Related account. </w:t>
      </w:r>
      <w:r>
        <w:t xml:space="preserve">Account 09 in this review (revision of earlier account 25).</w:t>
      </w:r>
    </w:p>
    <w:p>
      <w:pPr>
        <w:spacing w:after="100"/>
      </w:pPr>
      <w:r>
        <w:rPr>
          <w:rFonts w:ascii="Calibri" w:cs="Calibri" w:eastAsia="Calibri" w:hAnsi="Calibri"/>
          <w:b/>
          <w:bCs/>
          <w:color w:val="1F3A5F"/>
          <w:sz w:val="20"/>
          <w:szCs w:val="20"/>
        </w:rPr>
        <w:t xml:space="preserve">What is already known. </w:t>
      </w:r>
      <w:r>
        <w:t xml:space="preserve">Later projections keep the climate penalty but find it outweighed by emission cuts; population-weighted ozone rose about 0.5% a year 2003–2019.</w:t>
      </w:r>
    </w:p>
    <w:p>
      <w:pPr>
        <w:spacing w:after="100"/>
      </w:pPr>
      <w:r>
        <w:rPr>
          <w:rFonts w:ascii="Calibri" w:cs="Calibri" w:eastAsia="Calibri" w:hAnsi="Calibri"/>
          <w:b/>
          <w:bCs/>
          <w:color w:val="1F3A5F"/>
          <w:sz w:val="20"/>
          <w:szCs w:val="20"/>
        </w:rPr>
        <w:t xml:space="preserve">What remains unclear. </w:t>
      </w:r>
      <w:r>
        <w:t xml:space="preserve">Observational attribution of climate-driven ozone mortality, for example in the 2022 and 2023 heat summers; original design details.</w:t>
      </w:r>
    </w:p>
    <w:p>
      <w:pPr>
        <w:spacing w:after="100"/>
      </w:pPr>
      <w:r>
        <w:rPr>
          <w:rFonts w:ascii="Calibri" w:cs="Calibri" w:eastAsia="Calibri" w:hAnsi="Calibri"/>
          <w:b/>
          <w:bCs/>
          <w:color w:val="1F3A5F"/>
          <w:sz w:val="20"/>
          <w:szCs w:val="20"/>
        </w:rPr>
        <w:t xml:space="preserve">Why the available later publications are insufficient. </w:t>
      </w:r>
      <w:r>
        <w:t xml:space="preserve">The original could not be opened; no attribution study was verified.</w:t>
      </w:r>
    </w:p>
    <w:p>
      <w:pPr>
        <w:spacing w:after="100"/>
      </w:pPr>
      <w:r>
        <w:rPr>
          <w:rFonts w:ascii="Calibri" w:cs="Calibri" w:eastAsia="Calibri" w:hAnsi="Calibri"/>
          <w:b/>
          <w:bCs/>
          <w:color w:val="1F3A5F"/>
          <w:sz w:val="20"/>
          <w:szCs w:val="20"/>
        </w:rPr>
        <w:t xml:space="preserve">Evidence that would answer the question. </w:t>
      </w:r>
      <w:r>
        <w:t xml:space="preserve">Full text of the original; heatwave ozone-mortality studies; INSPEnCaT results.</w:t>
      </w:r>
    </w:p>
    <w:p>
      <w:pPr>
        <w:keepNext/>
        <w:spacing w:after="60" w:before="160"/>
      </w:pPr>
      <w:r>
        <w:rPr>
          <w:rFonts w:ascii="Calibri" w:cs="Calibri" w:eastAsia="Calibri" w:hAnsi="Calibri"/>
          <w:b/>
          <w:bCs/>
          <w:color w:val="1F3A5F"/>
          <w:spacing w:val="20"/>
          <w:sz w:val="17"/>
          <w:szCs w:val="17"/>
        </w:rPr>
        <w:t xml:space="preserve">SUGGESTED SEARCH TERMS</w:t>
      </w:r>
    </w:p>
    <w:p>
      <w:pPr>
        <w:pBdr>
          <w:left w:val="single" w:color="B8C2CC" w:sz="12" w:space="8"/>
        </w:pBdr>
        <w:shd w:fill="F2F4F6" w:color="auto" w:val="clear"/>
        <w:spacing w:after="60" w:before="40"/>
        <w:ind w:left="200" w:right="120"/>
      </w:pPr>
      <w:r>
        <w:rPr>
          <w:sz w:val="19"/>
          <w:szCs w:val="19"/>
        </w:rPr>
        <w:t xml:space="preserve">ozone mortality heatwave Europe 2022; temperature–ozone interaction mortality</w:t>
      </w:r>
    </w:p>
    <w:p>
      <w:pPr>
        <w:pBdr>
          <w:left w:val="single" w:color="B8C2CC" w:sz="12" w:space="8"/>
        </w:pBdr>
        <w:shd w:fill="F2F4F6" w:color="auto" w:val="clear"/>
        <w:spacing w:after="60" w:before="0"/>
        <w:ind w:left="200" w:right="120"/>
      </w:pPr>
      <w:r>
        <w:rPr>
          <w:sz w:val="19"/>
          <w:szCs w:val="19"/>
        </w:rPr>
        <w:t xml:space="preserve">climate penalty ozone health southern Europe SSP</w:t>
      </w:r>
    </w:p>
    <w:p>
      <w:pPr>
        <w:pBdr>
          <w:left w:val="single" w:color="B8C2CC" w:sz="12" w:space="8"/>
        </w:pBdr>
        <w:shd w:fill="F2F4F6" w:color="auto" w:val="clear"/>
        <w:spacing w:after="140" w:before="0"/>
        <w:ind w:left="200" w:right="120"/>
      </w:pPr>
      <w:r>
        <w:rPr>
          <w:sz w:val="19"/>
          <w:szCs w:val="19"/>
        </w:rPr>
        <w:t xml:space="preserve">INSPEnCaT MONARCH climate penalty results</w:t>
      </w:r>
    </w:p>
    <w:p>
      <w:pPr>
        <w:spacing w:after="100"/>
      </w:pPr>
      <w:r>
        <w:rPr>
          <w:rFonts w:ascii="Calibri" w:cs="Calibri" w:eastAsia="Calibri" w:hAnsi="Calibri"/>
          <w:b/>
          <w:bCs/>
          <w:color w:val="1F3A5F"/>
          <w:sz w:val="20"/>
          <w:szCs w:val="20"/>
        </w:rPr>
        <w:t xml:space="preserve">Useful institutions, monitoring sources and publication types. </w:t>
      </w:r>
      <w:r>
        <w:t xml:space="preserve">ERS/ERJ; ISGlobal/BSC; EEA burden-of-disease series; Lancet Countdown Europe.</w:t>
      </w:r>
    </w:p>
    <w:p>
      <w:pPr>
        <w:spacing w:after="100"/>
      </w:pPr>
      <w:r>
        <w:rPr>
          <w:rFonts w:ascii="Calibri" w:cs="Calibri" w:eastAsia="Calibri" w:hAnsi="Calibri"/>
          <w:b/>
          <w:bCs/>
          <w:color w:val="1F3A5F"/>
          <w:sz w:val="20"/>
          <w:szCs w:val="20"/>
        </w:rPr>
        <w:t xml:space="preserve">Search outcome so far. </w:t>
      </w:r>
      <w:r>
        <w:t xml:space="preserve">Access-limited and unfinished searching.</w:t>
      </w:r>
    </w:p>
    <w:p>
      <w:pPr>
        <w:spacing w:after="100"/>
      </w:pPr>
      <w:r>
        <w:rPr>
          <w:rFonts w:ascii="Calibri" w:cs="Calibri" w:eastAsia="Calibri" w:hAnsi="Calibri"/>
          <w:b/>
          <w:bCs/>
          <w:color w:val="1F3A5F"/>
          <w:sz w:val="20"/>
          <w:szCs w:val="20"/>
        </w:rPr>
        <w:t xml:space="preserve">Revisit. </w:t>
      </w:r>
      <w:r>
        <w:t xml:space="preserve">Revisit in 2028 for new results; outcome horizon 2050–2060.</w:t>
      </w:r>
    </w:p>
    <w:p>
      <w:r>
        <w:br w:type="page"/>
      </w:r>
    </w:p>
    <w:p>
      <w:pPr>
        <w:pStyle w:val="Heading2"/>
      </w:pPr>
      <w:r>
        <w:t xml:space="preserve">RG-08 — Claim 475 — Tiger mosquito suitability in Europe (2012)</w:t>
      </w:r>
    </w:p>
    <w:p>
      <w:pPr>
        <w:spacing w:after="100"/>
      </w:pPr>
      <w:r>
        <w:rPr>
          <w:rFonts w:ascii="Calibri" w:cs="Calibri" w:eastAsia="Calibri" w:hAnsi="Calibri"/>
          <w:b/>
          <w:bCs/>
          <w:color w:val="1F3A5F"/>
          <w:sz w:val="20"/>
          <w:szCs w:val="20"/>
        </w:rPr>
        <w:t xml:space="preserve">Original study. </w:t>
      </w:r>
      <w:r>
        <w:t xml:space="preserve">Caminade et al. (2012), </w:t>
      </w:r>
      <w:r>
        <w:rPr>
          <w:i/>
          <w:iCs/>
        </w:rPr>
        <w:t xml:space="preserve">Journal of the Royal Society Interface</w:t>
      </w:r>
      <w:r>
        <w:t xml:space="preserve"> 9, 2708–2717. </w:t>
      </w:r>
      <w:hyperlink w:history="1" r:id="rId3v7ceqrmakchs7bc_liyw">
        <w:r>
          <w:rPr>
            <w:rStyle w:val="Hyperlink"/>
          </w:rPr>
          <w:t xml:space="preserve">https://doi.org/10.1098/rsif.2012.0138</w:t>
        </w:r>
      </w:hyperlink>
    </w:p>
    <w:p>
      <w:pPr>
        <w:spacing w:after="100"/>
      </w:pPr>
      <w:r>
        <w:rPr>
          <w:rFonts w:ascii="Calibri" w:cs="Calibri" w:eastAsia="Calibri" w:hAnsi="Calibri"/>
          <w:b/>
          <w:bCs/>
          <w:color w:val="1F3A5F"/>
          <w:sz w:val="20"/>
          <w:szCs w:val="20"/>
        </w:rPr>
        <w:t xml:space="preserve">Future claim. </w:t>
      </w:r>
      <w:r>
        <w:t xml:space="preserve">Rising suitability in northern Europe and a slight decline in southern Europe by 2030–2050.</w:t>
      </w:r>
    </w:p>
    <w:p>
      <w:pPr>
        <w:spacing w:after="100"/>
      </w:pPr>
      <w:r>
        <w:rPr>
          <w:rFonts w:ascii="Calibri" w:cs="Calibri" w:eastAsia="Calibri" w:hAnsi="Calibri"/>
          <w:b/>
          <w:bCs/>
          <w:color w:val="1F3A5F"/>
          <w:sz w:val="20"/>
          <w:szCs w:val="20"/>
        </w:rPr>
        <w:t xml:space="preserve">Related account. </w:t>
      </w:r>
      <w:r>
        <w:t xml:space="preserve">Account 10 in this review (revision of earlier account 31).</w:t>
      </w:r>
    </w:p>
    <w:p>
      <w:pPr>
        <w:spacing w:after="100"/>
      </w:pPr>
      <w:r>
        <w:rPr>
          <w:rFonts w:ascii="Calibri" w:cs="Calibri" w:eastAsia="Calibri" w:hAnsi="Calibri"/>
          <w:b/>
          <w:bCs/>
          <w:color w:val="1F3A5F"/>
          <w:sz w:val="20"/>
          <w:szCs w:val="20"/>
        </w:rPr>
        <w:t xml:space="preserve">What is already known. </w:t>
      </w:r>
      <w:r>
        <w:t xml:space="preserve">Establishment expanded to 384 units in 16 EU/EEA countries by April 2026, including the south; model consensus finds no decreasing region.</w:t>
      </w:r>
    </w:p>
    <w:p>
      <w:pPr>
        <w:spacing w:after="100"/>
      </w:pPr>
      <w:r>
        <w:rPr>
          <w:rFonts w:ascii="Calibri" w:cs="Calibri" w:eastAsia="Calibri" w:hAnsi="Calibri"/>
          <w:b/>
          <w:bCs/>
          <w:color w:val="1F3A5F"/>
          <w:sz w:val="20"/>
          <w:szCs w:val="20"/>
        </w:rPr>
        <w:t xml:space="preserve">What remains unclear. </w:t>
      </w:r>
      <w:r>
        <w:t xml:space="preserve">Abundance and suitability trends in the driest southern areas; how surveillance effort shapes ECDC counts; UK status.</w:t>
      </w:r>
    </w:p>
    <w:p>
      <w:pPr>
        <w:spacing w:after="100"/>
      </w:pPr>
      <w:r>
        <w:rPr>
          <w:rFonts w:ascii="Calibri" w:cs="Calibri" w:eastAsia="Calibri" w:hAnsi="Calibri"/>
          <w:b/>
          <w:bCs/>
          <w:color w:val="1F3A5F"/>
          <w:sz w:val="20"/>
          <w:szCs w:val="20"/>
        </w:rPr>
        <w:t xml:space="preserve">Why the available later publications are insufficient. </w:t>
      </w:r>
      <w:r>
        <w:t xml:space="preserve">Establishment counts cannot measure suitability; national abundance data were not reached.</w:t>
      </w:r>
    </w:p>
    <w:p>
      <w:pPr>
        <w:spacing w:after="100"/>
      </w:pPr>
      <w:r>
        <w:rPr>
          <w:rFonts w:ascii="Calibri" w:cs="Calibri" w:eastAsia="Calibri" w:hAnsi="Calibri"/>
          <w:b/>
          <w:bCs/>
          <w:color w:val="1F3A5F"/>
          <w:sz w:val="20"/>
          <w:szCs w:val="20"/>
        </w:rPr>
        <w:t xml:space="preserve">Evidence that would answer the question. </w:t>
      </w:r>
      <w:r>
        <w:t xml:space="preserve">Spanish and Portuguese surveillance and citizen-science data; VectorNet unit-level time series with effort metadata; studies of upper thermal limits.</w:t>
      </w:r>
    </w:p>
    <w:p>
      <w:pPr>
        <w:keepNext/>
        <w:spacing w:after="60" w:before="160"/>
      </w:pPr>
      <w:r>
        <w:rPr>
          <w:rFonts w:ascii="Calibri" w:cs="Calibri" w:eastAsia="Calibri" w:hAnsi="Calibri"/>
          <w:b/>
          <w:bCs/>
          <w:color w:val="1F3A5F"/>
          <w:spacing w:val="20"/>
          <w:sz w:val="17"/>
          <w:szCs w:val="17"/>
        </w:rPr>
        <w:t xml:space="preserve">SUGGESTED SEARCH TERMS</w:t>
      </w:r>
    </w:p>
    <w:p>
      <w:pPr>
        <w:pBdr>
          <w:left w:val="single" w:color="B8C2CC" w:sz="12" w:space="8"/>
        </w:pBdr>
        <w:shd w:fill="F2F4F6" w:color="auto" w:val="clear"/>
        <w:spacing w:after="60" w:before="40"/>
        <w:ind w:left="200" w:right="120"/>
      </w:pPr>
      <w:r>
        <w:rPr>
          <w:sz w:val="19"/>
          <w:szCs w:val="19"/>
        </w:rPr>
        <w:t xml:space="preserve">Aedes albopictus Andalusia aridity; upper thermal limit summer heat abundance decline</w:t>
      </w:r>
    </w:p>
    <w:p>
      <w:pPr>
        <w:pBdr>
          <w:left w:val="single" w:color="B8C2CC" w:sz="12" w:space="8"/>
        </w:pBdr>
        <w:shd w:fill="F2F4F6" w:color="auto" w:val="clear"/>
        <w:spacing w:after="60" w:before="0"/>
        <w:ind w:left="200" w:right="120"/>
      </w:pPr>
      <w:r>
        <w:rPr>
          <w:sz w:val="19"/>
          <w:szCs w:val="19"/>
        </w:rPr>
        <w:t xml:space="preserve">VectorNet NUTS3 time series; Mosquito Alert</w:t>
      </w:r>
    </w:p>
    <w:p>
      <w:pPr>
        <w:pBdr>
          <w:left w:val="single" w:color="B8C2CC" w:sz="12" w:space="8"/>
        </w:pBdr>
        <w:shd w:fill="F2F4F6" w:color="auto" w:val="clear"/>
        <w:spacing w:after="140" w:before="0"/>
        <w:ind w:left="200" w:right="120"/>
      </w:pPr>
      <w:r>
        <w:rPr>
          <w:sz w:val="19"/>
          <w:szCs w:val="19"/>
        </w:rPr>
        <w:t xml:space="preserve">Aedes albopictus United Kingdom establishment UKHSA</w:t>
      </w:r>
    </w:p>
    <w:p>
      <w:pPr>
        <w:spacing w:after="100"/>
      </w:pPr>
      <w:r>
        <w:rPr>
          <w:rFonts w:ascii="Calibri" w:cs="Calibri" w:eastAsia="Calibri" w:hAnsi="Calibri"/>
          <w:b/>
          <w:bCs/>
          <w:color w:val="1F3A5F"/>
          <w:sz w:val="20"/>
          <w:szCs w:val="20"/>
        </w:rPr>
        <w:t xml:space="preserve">Useful institutions, monitoring sources and publication types. </w:t>
      </w:r>
      <w:r>
        <w:t xml:space="preserve">ECDC/EFSA VectorNet; CEAB-CSIC Mosquito Alert; national public-health institutes.</w:t>
      </w:r>
    </w:p>
    <w:p>
      <w:pPr>
        <w:spacing w:after="100"/>
      </w:pPr>
      <w:r>
        <w:rPr>
          <w:rFonts w:ascii="Calibri" w:cs="Calibri" w:eastAsia="Calibri" w:hAnsi="Calibri"/>
          <w:b/>
          <w:bCs/>
          <w:color w:val="1F3A5F"/>
          <w:sz w:val="20"/>
          <w:szCs w:val="20"/>
        </w:rPr>
        <w:t xml:space="preserve">Search outcome so far. </w:t>
      </w:r>
      <w:r>
        <w:t xml:space="preserve">Unfinished searching.</w:t>
      </w:r>
    </w:p>
    <w:p>
      <w:pPr>
        <w:spacing w:after="100"/>
      </w:pPr>
      <w:r>
        <w:rPr>
          <w:rFonts w:ascii="Calibri" w:cs="Calibri" w:eastAsia="Calibri" w:hAnsi="Calibri"/>
          <w:b/>
          <w:bCs/>
          <w:color w:val="1F3A5F"/>
          <w:sz w:val="20"/>
          <w:szCs w:val="20"/>
        </w:rPr>
        <w:t xml:space="preserve">Revisit. </w:t>
      </w:r>
      <w:r>
        <w:t xml:space="preserve">Revisit around 2035; full assessment after 2050.</w:t>
      </w:r>
    </w:p>
    <w:p>
      <w:r>
        <w:br w:type="page"/>
      </w:r>
    </w:p>
    <w:p>
      <w:pPr>
        <w:pStyle w:val="Heading2"/>
      </w:pPr>
      <w:r>
        <w:t xml:space="preserve">RG-09 — Claim 452 — Stocks versus increments in EU forests (2013)</w:t>
      </w:r>
    </w:p>
    <w:p>
      <w:pPr>
        <w:spacing w:after="100"/>
      </w:pPr>
      <w:r>
        <w:rPr>
          <w:rFonts w:ascii="Calibri" w:cs="Calibri" w:eastAsia="Calibri" w:hAnsi="Calibri"/>
          <w:b/>
          <w:bCs/>
          <w:color w:val="1F3A5F"/>
          <w:sz w:val="20"/>
          <w:szCs w:val="20"/>
        </w:rPr>
        <w:t xml:space="preserve">Original study. </w:t>
      </w:r>
      <w:r>
        <w:t xml:space="preserve">Kindermann et al. (2013), </w:t>
      </w:r>
      <w:r>
        <w:rPr>
          <w:i/>
          <w:iCs/>
        </w:rPr>
        <w:t xml:space="preserve">Carbon Balance and Management</w:t>
      </w:r>
      <w:r>
        <w:t xml:space="preserve"> 8, 2. </w:t>
      </w:r>
      <w:hyperlink w:history="1" r:id="rId37yvq_yzxpajw96szxapu">
        <w:r>
          <w:rPr>
            <w:rStyle w:val="Hyperlink"/>
          </w:rPr>
          <w:t xml:space="preserve">https://doi.org/10.1186/1750-0680-8-2</w:t>
        </w:r>
      </w:hyperlink>
    </w:p>
    <w:p>
      <w:pPr>
        <w:spacing w:after="100"/>
      </w:pPr>
      <w:r>
        <w:rPr>
          <w:rFonts w:ascii="Calibri" w:cs="Calibri" w:eastAsia="Calibri" w:hAnsi="Calibri"/>
          <w:b/>
          <w:bCs/>
          <w:color w:val="1F3A5F"/>
          <w:sz w:val="20"/>
          <w:szCs w:val="20"/>
        </w:rPr>
        <w:t xml:space="preserve">Future claim. </w:t>
      </w:r>
      <w:r>
        <w:t xml:space="preserve">Manage for increment rather than stock; avoid incentives that raise standing biomass beyond the increment-optimal level.</w:t>
      </w:r>
    </w:p>
    <w:p>
      <w:pPr>
        <w:spacing w:after="100"/>
      </w:pPr>
      <w:r>
        <w:rPr>
          <w:rFonts w:ascii="Calibri" w:cs="Calibri" w:eastAsia="Calibri" w:hAnsi="Calibri"/>
          <w:b/>
          <w:bCs/>
          <w:color w:val="1F3A5F"/>
          <w:sz w:val="20"/>
          <w:szCs w:val="20"/>
        </w:rPr>
        <w:t xml:space="preserve">Related account. </w:t>
      </w:r>
      <w:r>
        <w:t xml:space="preserve">Account 11 in this review (revision of earlier account 11).</w:t>
      </w:r>
    </w:p>
    <w:p>
      <w:pPr>
        <w:spacing w:after="100"/>
      </w:pPr>
      <w:r>
        <w:rPr>
          <w:rFonts w:ascii="Calibri" w:cs="Calibri" w:eastAsia="Calibri" w:hAnsi="Calibri"/>
          <w:b/>
          <w:bCs/>
          <w:color w:val="1F3A5F"/>
          <w:sz w:val="20"/>
          <w:szCs w:val="20"/>
        </w:rPr>
        <w:t xml:space="preserve">What is already known. </w:t>
      </w:r>
      <w:r>
        <w:t xml:space="preserve">Growing stock rose; the EU sink weakened; disturbance damage nearly doubled; policy now prioritises the in-forest sink.</w:t>
      </w:r>
    </w:p>
    <w:p>
      <w:pPr>
        <w:spacing w:after="100"/>
      </w:pPr>
      <w:r>
        <w:rPr>
          <w:rFonts w:ascii="Calibri" w:cs="Calibri" w:eastAsia="Calibri" w:hAnsi="Calibri"/>
          <w:b/>
          <w:bCs/>
          <w:color w:val="1F3A5F"/>
          <w:sz w:val="20"/>
          <w:szCs w:val="20"/>
        </w:rPr>
        <w:t xml:space="preserve">What remains unclear. </w:t>
      </w:r>
      <w:r>
        <w:t xml:space="preserve">Fellings-to-increment ratios and age structure by country; full text of the 2026 disturbance study; substitution factors of the actual wood-product mix.</w:t>
      </w:r>
    </w:p>
    <w:p>
      <w:pPr>
        <w:spacing w:after="100"/>
      </w:pPr>
      <w:r>
        <w:rPr>
          <w:rFonts w:ascii="Calibri" w:cs="Calibri" w:eastAsia="Calibri" w:hAnsi="Calibri"/>
          <w:b/>
          <w:bCs/>
          <w:color w:val="1F3A5F"/>
          <w:sz w:val="20"/>
          <w:szCs w:val="20"/>
        </w:rPr>
        <w:t xml:space="preserve">Why the available later publications are insufficient. </w:t>
      </w:r>
      <w:r>
        <w:t xml:space="preserve">Key 2026 study read in abstract only; latest inventories and </w:t>
      </w:r>
      <w:r>
        <w:rPr>
          <w:i/>
          <w:iCs/>
        </w:rPr>
        <w:t xml:space="preserve">State of Europe’s Forests 2025</w:t>
      </w:r>
      <w:r>
        <w:t xml:space="preserve"> not read.</w:t>
      </w:r>
    </w:p>
    <w:p>
      <w:pPr>
        <w:spacing w:after="100"/>
      </w:pPr>
      <w:r>
        <w:rPr>
          <w:rFonts w:ascii="Calibri" w:cs="Calibri" w:eastAsia="Calibri" w:hAnsi="Calibri"/>
          <w:b/>
          <w:bCs/>
          <w:color w:val="1F3A5F"/>
          <w:sz w:val="20"/>
          <w:szCs w:val="20"/>
        </w:rPr>
        <w:t xml:space="preserve">Evidence that would answer the question. </w:t>
      </w:r>
      <w:r>
        <w:t xml:space="preserve">National forest inventories; EEA GHG inventory 2025–2026; comparative studies of management regimes under disturbance.</w:t>
      </w:r>
    </w:p>
    <w:p>
      <w:pPr>
        <w:keepNext/>
        <w:spacing w:after="60" w:before="160"/>
      </w:pPr>
      <w:r>
        <w:rPr>
          <w:rFonts w:ascii="Calibri" w:cs="Calibri" w:eastAsia="Calibri" w:hAnsi="Calibri"/>
          <w:b/>
          <w:bCs/>
          <w:color w:val="1F3A5F"/>
          <w:spacing w:val="20"/>
          <w:sz w:val="17"/>
          <w:szCs w:val="17"/>
        </w:rPr>
        <w:t xml:space="preserve">SUGGESTED SEARCH TERMS</w:t>
      </w:r>
    </w:p>
    <w:p>
      <w:pPr>
        <w:pBdr>
          <w:left w:val="single" w:color="B8C2CC" w:sz="12" w:space="8"/>
        </w:pBdr>
        <w:shd w:fill="F2F4F6" w:color="auto" w:val="clear"/>
        <w:spacing w:after="60" w:before="40"/>
        <w:ind w:left="200" w:right="120"/>
      </w:pPr>
      <w:r>
        <w:rPr>
          <w:sz w:val="19"/>
          <w:szCs w:val="19"/>
        </w:rPr>
        <w:t xml:space="preserve">forest carbon sink decline EU; net annual increment decline Europe</w:t>
      </w:r>
    </w:p>
    <w:p>
      <w:pPr>
        <w:pBdr>
          <w:left w:val="single" w:color="B8C2CC" w:sz="12" w:space="8"/>
        </w:pBdr>
        <w:shd w:fill="F2F4F6" w:color="auto" w:val="clear"/>
        <w:spacing w:after="60" w:before="0"/>
        <w:ind w:left="200" w:right="120"/>
      </w:pPr>
      <w:r>
        <w:rPr>
          <w:sz w:val="19"/>
          <w:szCs w:val="19"/>
        </w:rPr>
        <w:t xml:space="preserve">fellings to increment ratio; climate-smart forestry; rotation length disturbance</w:t>
      </w:r>
    </w:p>
    <w:p>
      <w:pPr>
        <w:pBdr>
          <w:left w:val="single" w:color="B8C2CC" w:sz="12" w:space="8"/>
        </w:pBdr>
        <w:shd w:fill="F2F4F6" w:color="auto" w:val="clear"/>
        <w:spacing w:after="140" w:before="0"/>
        <w:ind w:left="200" w:right="120"/>
      </w:pPr>
      <w:r>
        <w:rPr>
          <w:sz w:val="19"/>
          <w:szCs w:val="19"/>
        </w:rPr>
        <w:t xml:space="preserve">harvested wood products substitution factor; LULUCF −310 Mt</w:t>
      </w:r>
    </w:p>
    <w:p>
      <w:pPr>
        <w:spacing w:after="100"/>
      </w:pPr>
      <w:r>
        <w:rPr>
          <w:rFonts w:ascii="Calibri" w:cs="Calibri" w:eastAsia="Calibri" w:hAnsi="Calibri"/>
          <w:b/>
          <w:bCs/>
          <w:color w:val="1F3A5F"/>
          <w:sz w:val="20"/>
          <w:szCs w:val="20"/>
        </w:rPr>
        <w:t xml:space="preserve">Useful institutions, monitoring sources and publication types. </w:t>
      </w:r>
      <w:r>
        <w:t xml:space="preserve">JRC; EEA; Forest Europe/UNECE-FAO; European Forest Institute (disturbance database).</w:t>
      </w:r>
    </w:p>
    <w:p>
      <w:pPr>
        <w:spacing w:after="100"/>
      </w:pPr>
      <w:r>
        <w:rPr>
          <w:rFonts w:ascii="Calibri" w:cs="Calibri" w:eastAsia="Calibri" w:hAnsi="Calibri"/>
          <w:b/>
          <w:bCs/>
          <w:color w:val="1F3A5F"/>
          <w:sz w:val="20"/>
          <w:szCs w:val="20"/>
        </w:rPr>
        <w:t xml:space="preserve">Search outcome so far. </w:t>
      </w:r>
      <w:r>
        <w:t xml:space="preserve">Access-limited and unfinished searching.</w:t>
      </w:r>
    </w:p>
    <w:p>
      <w:pPr>
        <w:spacing w:after="100"/>
      </w:pPr>
      <w:r>
        <w:rPr>
          <w:rFonts w:ascii="Calibri" w:cs="Calibri" w:eastAsia="Calibri" w:hAnsi="Calibri"/>
          <w:b/>
          <w:bCs/>
          <w:color w:val="1F3A5F"/>
          <w:sz w:val="20"/>
          <w:szCs w:val="20"/>
        </w:rPr>
        <w:t xml:space="preserve">Revisit. </w:t>
      </w:r>
      <w:r>
        <w:t xml:space="preserve">Revisit in 2030 (LULUCF target year) and the mid-2040s.</w:t>
      </w:r>
    </w:p>
    <w:p>
      <w:r>
        <w:br w:type="page"/>
      </w:r>
    </w:p>
    <w:p>
      <w:pPr>
        <w:pStyle w:val="Heading2"/>
      </w:pPr>
      <w:r>
        <w:t xml:space="preserve">RG-10 — Claim 491 — Finland–Russia rail deregulation (2011)</w:t>
      </w:r>
    </w:p>
    <w:p>
      <w:pPr>
        <w:spacing w:after="100"/>
      </w:pPr>
      <w:r>
        <w:rPr>
          <w:rFonts w:ascii="Calibri" w:cs="Calibri" w:eastAsia="Calibri" w:hAnsi="Calibri"/>
          <w:b/>
          <w:bCs/>
          <w:color w:val="1F3A5F"/>
          <w:sz w:val="20"/>
          <w:szCs w:val="20"/>
        </w:rPr>
        <w:t xml:space="preserve">Original study. </w:t>
      </w:r>
      <w:r>
        <w:t xml:space="preserve">Mäkitalo (2011), </w:t>
      </w:r>
      <w:r>
        <w:rPr>
          <w:i/>
          <w:iCs/>
        </w:rPr>
        <w:t xml:space="preserve">International Journal of Shipping and Transport Logistics</w:t>
      </w:r>
      <w:r>
        <w:t xml:space="preserve"> 3(2), 168–179. </w:t>
      </w:r>
      <w:hyperlink w:history="1" r:id="rIdlpby1lcqspgbdiguhaybm">
        <w:r>
          <w:rPr>
            <w:rStyle w:val="Hyperlink"/>
          </w:rPr>
          <w:t xml:space="preserve">https://doi.org/10.1504/IJSTL.2011.039377</w:t>
        </w:r>
      </w:hyperlink>
    </w:p>
    <w:p>
      <w:pPr>
        <w:spacing w:after="100"/>
      </w:pPr>
      <w:r>
        <w:rPr>
          <w:rFonts w:ascii="Calibri" w:cs="Calibri" w:eastAsia="Calibri" w:hAnsi="Calibri"/>
          <w:b/>
          <w:bCs/>
          <w:color w:val="1F3A5F"/>
          <w:sz w:val="20"/>
          <w:szCs w:val="20"/>
        </w:rPr>
        <w:t xml:space="preserve">Future claim. </w:t>
      </w:r>
      <w:r>
        <w:t xml:space="preserve">Deregulating Finland–Russia rail transport would increase border transport, lower prices and bring competition.</w:t>
      </w:r>
    </w:p>
    <w:p>
      <w:pPr>
        <w:spacing w:after="100"/>
      </w:pPr>
      <w:r>
        <w:rPr>
          <w:rFonts w:ascii="Calibri" w:cs="Calibri" w:eastAsia="Calibri" w:hAnsi="Calibri"/>
          <w:b/>
          <w:bCs/>
          <w:color w:val="1F3A5F"/>
          <w:sz w:val="20"/>
          <w:szCs w:val="20"/>
        </w:rPr>
        <w:t xml:space="preserve">Related account. </w:t>
      </w:r>
      <w:r>
        <w:t xml:space="preserve">Account 12 in this review (revision of earlier account 47).</w:t>
      </w:r>
    </w:p>
    <w:p>
      <w:pPr>
        <w:spacing w:after="100"/>
      </w:pPr>
      <w:r>
        <w:rPr>
          <w:rFonts w:ascii="Calibri" w:cs="Calibri" w:eastAsia="Calibri" w:hAnsi="Calibri"/>
          <w:b/>
          <w:bCs/>
          <w:color w:val="1F3A5F"/>
          <w:sz w:val="20"/>
          <w:szCs w:val="20"/>
        </w:rPr>
        <w:t xml:space="preserve">What is already known. </w:t>
      </w:r>
      <w:r>
        <w:t xml:space="preserve">Opened to EEA operators in December 2016; sampled data show only VR at the border 2016–2021; traffic collapsed after 2022.</w:t>
      </w:r>
    </w:p>
    <w:p>
      <w:pPr>
        <w:spacing w:after="100"/>
      </w:pPr>
      <w:r>
        <w:rPr>
          <w:rFonts w:ascii="Calibri" w:cs="Calibri" w:eastAsia="Calibri" w:hAnsi="Calibri"/>
          <w:b/>
          <w:bCs/>
          <w:color w:val="1F3A5F"/>
          <w:sz w:val="20"/>
          <w:szCs w:val="20"/>
        </w:rPr>
        <w:t xml:space="preserve">What remains unclear. </w:t>
      </w:r>
      <w:r>
        <w:t xml:space="preserve">Full operator history 2017–2022; price effects; border-crossing decisions 2023–2026; content of the three scenarios.</w:t>
      </w:r>
    </w:p>
    <w:p>
      <w:pPr>
        <w:spacing w:after="100"/>
      </w:pPr>
      <w:r>
        <w:rPr>
          <w:rFonts w:ascii="Calibri" w:cs="Calibri" w:eastAsia="Calibri" w:hAnsi="Calibri"/>
          <w:b/>
          <w:bCs/>
          <w:color w:val="1F3A5F"/>
          <w:sz w:val="20"/>
          <w:szCs w:val="20"/>
        </w:rPr>
        <w:t xml:space="preserve">Why the available later publications are insufficient. </w:t>
      </w:r>
      <w:r>
        <w:t xml:space="preserve">Original read as abstract; evidence on market entry rests on a data sample and trade press.</w:t>
      </w:r>
    </w:p>
    <w:p>
      <w:pPr>
        <w:spacing w:after="100"/>
      </w:pPr>
      <w:r>
        <w:rPr>
          <w:rFonts w:ascii="Calibri" w:cs="Calibri" w:eastAsia="Calibri" w:hAnsi="Calibri"/>
          <w:b/>
          <w:bCs/>
          <w:color w:val="1F3A5F"/>
          <w:sz w:val="20"/>
          <w:szCs w:val="20"/>
        </w:rPr>
        <w:t xml:space="preserve">Evidence that would answer the question. </w:t>
      </w:r>
      <w:r>
        <w:t xml:space="preserve">Full scan of Digitraffic history; Traficom licensing and market monitoring; government decisions on crossing points.</w:t>
      </w:r>
    </w:p>
    <w:p>
      <w:pPr>
        <w:keepNext/>
        <w:spacing w:after="60" w:before="160"/>
      </w:pPr>
      <w:r>
        <w:rPr>
          <w:rFonts w:ascii="Calibri" w:cs="Calibri" w:eastAsia="Calibri" w:hAnsi="Calibri"/>
          <w:b/>
          <w:bCs/>
          <w:color w:val="1F3A5F"/>
          <w:spacing w:val="20"/>
          <w:sz w:val="17"/>
          <w:szCs w:val="17"/>
        </w:rPr>
        <w:t xml:space="preserve">SUGGESTED SEARCH TERMS</w:t>
      </w:r>
    </w:p>
    <w:p>
      <w:pPr>
        <w:pBdr>
          <w:left w:val="single" w:color="B8C2CC" w:sz="12" w:space="8"/>
        </w:pBdr>
        <w:shd w:fill="F2F4F6" w:color="auto" w:val="clear"/>
        <w:spacing w:after="60" w:before="40"/>
        <w:ind w:left="200" w:right="120"/>
      </w:pPr>
      <w:r>
        <w:rPr>
          <w:sz w:val="19"/>
          <w:szCs w:val="19"/>
        </w:rPr>
        <w:t xml:space="preserve">rajat ylittävä rautatieliikenne; itäliikenne; Vainikkala raja rautatie</w:t>
      </w:r>
    </w:p>
    <w:p>
      <w:pPr>
        <w:pBdr>
          <w:left w:val="single" w:color="B8C2CC" w:sz="12" w:space="8"/>
        </w:pBdr>
        <w:shd w:fill="F2F4F6" w:color="auto" w:val="clear"/>
        <w:spacing w:after="60" w:before="0"/>
        <w:ind w:left="200" w:right="120"/>
      </w:pPr>
      <w:r>
        <w:rPr>
          <w:sz w:val="19"/>
          <w:szCs w:val="19"/>
        </w:rPr>
        <w:t xml:space="preserve">NR Rail Nurminen cross-border; kolmasmaaliikenne</w:t>
      </w:r>
    </w:p>
    <w:p>
      <w:pPr>
        <w:pBdr>
          <w:left w:val="single" w:color="B8C2CC" w:sz="12" w:space="8"/>
        </w:pBdr>
        <w:shd w:fill="F2F4F6" w:color="auto" w:val="clear"/>
        <w:spacing w:after="140" w:before="0"/>
        <w:ind w:left="200" w:right="120"/>
      </w:pPr>
      <w:r>
        <w:rPr>
          <w:sz w:val="19"/>
          <w:szCs w:val="19"/>
        </w:rPr>
        <w:t xml:space="preserve">Finland Russia rail freight sanctions; railway border crossing closure Finland</w:t>
      </w:r>
    </w:p>
    <w:p>
      <w:pPr>
        <w:spacing w:after="100"/>
      </w:pPr>
      <w:r>
        <w:rPr>
          <w:rFonts w:ascii="Calibri" w:cs="Calibri" w:eastAsia="Calibri" w:hAnsi="Calibri"/>
          <w:b/>
          <w:bCs/>
          <w:color w:val="1F3A5F"/>
          <w:sz w:val="20"/>
          <w:szCs w:val="20"/>
        </w:rPr>
        <w:t xml:space="preserve">Useful institutions, monitoring sources and publication types. </w:t>
      </w:r>
      <w:r>
        <w:t xml:space="preserve">Traficom; Fintraffic; Finnish Border Guard; Ministry of the Interior; Statistics Finland.</w:t>
      </w:r>
    </w:p>
    <w:p>
      <w:pPr>
        <w:spacing w:after="100"/>
      </w:pPr>
      <w:r>
        <w:rPr>
          <w:rFonts w:ascii="Calibri" w:cs="Calibri" w:eastAsia="Calibri" w:hAnsi="Calibri"/>
          <w:b/>
          <w:bCs/>
          <w:color w:val="1F3A5F"/>
          <w:sz w:val="20"/>
          <w:szCs w:val="20"/>
        </w:rPr>
        <w:t xml:space="preserve">Search outcome so far. </w:t>
      </w:r>
      <w:r>
        <w:t xml:space="preserve">Unfinished searching, not genuine absence.</w:t>
      </w:r>
    </w:p>
    <w:p>
      <w:pPr>
        <w:spacing w:after="100"/>
      </w:pPr>
      <w:r>
        <w:rPr>
          <w:rFonts w:ascii="Calibri" w:cs="Calibri" w:eastAsia="Calibri" w:hAnsi="Calibri"/>
          <w:b/>
          <w:bCs/>
          <w:color w:val="1F3A5F"/>
          <w:sz w:val="20"/>
          <w:szCs w:val="20"/>
        </w:rPr>
        <w:t xml:space="preserve">Revisit. </w:t>
      </w:r>
      <w:r>
        <w:t xml:space="preserve">Revisit in 2027; the claim has no fixed horizon.</w:t>
      </w:r>
    </w:p>
    <w:p>
      <w:r>
        <w:br w:type="page"/>
      </w:r>
    </w:p>
    <w:p>
      <w:pPr>
        <w:pStyle w:val="Heading2"/>
      </w:pPr>
      <w:r>
        <w:t xml:space="preserve">RG-11 — Claim 465 — Backcasting a low-emission Finland in 2050 (2012)</w:t>
      </w:r>
    </w:p>
    <w:p>
      <w:pPr>
        <w:spacing w:after="100"/>
      </w:pPr>
      <w:r>
        <w:rPr>
          <w:rFonts w:ascii="Calibri" w:cs="Calibri" w:eastAsia="Calibri" w:hAnsi="Calibri"/>
          <w:b/>
          <w:bCs/>
          <w:color w:val="1F3A5F"/>
          <w:sz w:val="20"/>
          <w:szCs w:val="20"/>
        </w:rPr>
        <w:t xml:space="preserve">Original study. </w:t>
      </w:r>
      <w:r>
        <w:t xml:space="preserve">Heinonen &amp; Lauttamäki (2012), </w:t>
      </w:r>
      <w:r>
        <w:rPr>
          <w:i/>
          <w:iCs/>
        </w:rPr>
        <w:t xml:space="preserve">foresight</w:t>
      </w:r>
      <w:r>
        <w:t xml:space="preserve"> 14(4), 304–315. </w:t>
      </w:r>
      <w:hyperlink w:history="1" r:id="rIdkk6bliyjv6jlenrbv2lqi">
        <w:r>
          <w:rPr>
            <w:rStyle w:val="Hyperlink"/>
          </w:rPr>
          <w:t xml:space="preserve">https://doi.org/10.1108/14636681211256099</w:t>
        </w:r>
      </w:hyperlink>
    </w:p>
    <w:p>
      <w:pPr>
        <w:spacing w:after="100"/>
      </w:pPr>
      <w:r>
        <w:rPr>
          <w:rFonts w:ascii="Calibri" w:cs="Calibri" w:eastAsia="Calibri" w:hAnsi="Calibri"/>
          <w:b/>
          <w:bCs/>
          <w:color w:val="1F3A5F"/>
          <w:sz w:val="20"/>
          <w:szCs w:val="20"/>
        </w:rPr>
        <w:t xml:space="preserve">Future claim. </w:t>
      </w:r>
      <w:r>
        <w:t xml:space="preserve">Qualitative backcasting from at least −80% emissions by 2050 (2009 government foresight report).</w:t>
      </w:r>
    </w:p>
    <w:p>
      <w:pPr>
        <w:spacing w:after="100"/>
      </w:pPr>
      <w:r>
        <w:rPr>
          <w:rFonts w:ascii="Calibri" w:cs="Calibri" w:eastAsia="Calibri" w:hAnsi="Calibri"/>
          <w:b/>
          <w:bCs/>
          <w:color w:val="1F3A5F"/>
          <w:sz w:val="20"/>
          <w:szCs w:val="20"/>
        </w:rPr>
        <w:t xml:space="preserve">Related account. </w:t>
      </w:r>
      <w:r>
        <w:t xml:space="preserve">Account 13 in this review (revision of earlier account 21).</w:t>
      </w:r>
    </w:p>
    <w:p>
      <w:pPr>
        <w:spacing w:after="100"/>
      </w:pPr>
      <w:r>
        <w:rPr>
          <w:rFonts w:ascii="Calibri" w:cs="Calibri" w:eastAsia="Calibri" w:hAnsi="Calibri"/>
          <w:b/>
          <w:bCs/>
          <w:color w:val="1F3A5F"/>
          <w:sz w:val="20"/>
          <w:szCs w:val="20"/>
        </w:rPr>
        <w:t xml:space="preserve">What is already known. </w:t>
      </w:r>
      <w:r>
        <w:t xml:space="preserve">Emissions outside land use −49% by 2025; LULUCF a net source since 2021 in current data; obligations for 2021–2025 likely missed.</w:t>
      </w:r>
    </w:p>
    <w:p>
      <w:pPr>
        <w:spacing w:after="100"/>
      </w:pPr>
      <w:r>
        <w:rPr>
          <w:rFonts w:ascii="Calibri" w:cs="Calibri" w:eastAsia="Calibri" w:hAnsi="Calibri"/>
          <w:b/>
          <w:bCs/>
          <w:color w:val="1F3A5F"/>
          <w:sz w:val="20"/>
          <w:szCs w:val="20"/>
        </w:rPr>
        <w:t xml:space="preserve">What remains unclear. </w:t>
      </w:r>
      <w:r>
        <w:t xml:space="preserve">Scenario names, energy mixes and treatment of sinks in the original exercise; stability of the revised inventory series.</w:t>
      </w:r>
    </w:p>
    <w:p>
      <w:pPr>
        <w:spacing w:after="100"/>
      </w:pPr>
      <w:r>
        <w:rPr>
          <w:rFonts w:ascii="Calibri" w:cs="Calibri" w:eastAsia="Calibri" w:hAnsi="Calibri"/>
          <w:b/>
          <w:bCs/>
          <w:color w:val="1F3A5F"/>
          <w:sz w:val="20"/>
          <w:szCs w:val="20"/>
        </w:rPr>
        <w:t xml:space="preserve">Why the available later publications are insufficient. </w:t>
      </w:r>
      <w:r>
        <w:t xml:space="preserve">Neither the article nor the underlying 2010 report could be opened; inventory figures change between releases.</w:t>
      </w:r>
    </w:p>
    <w:p>
      <w:pPr>
        <w:spacing w:after="100"/>
      </w:pPr>
      <w:r>
        <w:rPr>
          <w:rFonts w:ascii="Calibri" w:cs="Calibri" w:eastAsia="Calibri" w:hAnsi="Calibri"/>
          <w:b/>
          <w:bCs/>
          <w:color w:val="1F3A5F"/>
          <w:sz w:val="20"/>
          <w:szCs w:val="20"/>
        </w:rPr>
        <w:t xml:space="preserve">Evidence that would answer the question. </w:t>
      </w:r>
      <w:r>
        <w:t xml:space="preserve">Full texts (UTUPub handle 10024/147580); December 2026 and March 2027 inventory releases; EU LULUCF compliance check.</w:t>
      </w:r>
    </w:p>
    <w:p>
      <w:pPr>
        <w:keepNext/>
        <w:spacing w:after="60" w:before="160"/>
      </w:pPr>
      <w:r>
        <w:rPr>
          <w:rFonts w:ascii="Calibri" w:cs="Calibri" w:eastAsia="Calibri" w:hAnsi="Calibri"/>
          <w:b/>
          <w:bCs/>
          <w:color w:val="1F3A5F"/>
          <w:spacing w:val="20"/>
          <w:sz w:val="17"/>
          <w:szCs w:val="17"/>
        </w:rPr>
        <w:t xml:space="preserve">SUGGESTED SEARCH TERMS</w:t>
      </w:r>
    </w:p>
    <w:p>
      <w:pPr>
        <w:pBdr>
          <w:left w:val="single" w:color="B8C2CC" w:sz="12" w:space="8"/>
        </w:pBdr>
        <w:shd w:fill="F2F4F6" w:color="auto" w:val="clear"/>
        <w:spacing w:after="60" w:before="40"/>
        <w:ind w:left="200" w:right="120"/>
      </w:pPr>
      <w:r>
        <w:rPr>
          <w:sz w:val="19"/>
          <w:szCs w:val="19"/>
        </w:rPr>
        <w:t xml:space="preserve">hiilinielu; maankäyttösektori nettopäästölähde; LULUCF compliance Finland</w:t>
      </w:r>
    </w:p>
    <w:p>
      <w:pPr>
        <w:pBdr>
          <w:left w:val="single" w:color="B8C2CC" w:sz="12" w:space="8"/>
        </w:pBdr>
        <w:shd w:fill="F2F4F6" w:color="auto" w:val="clear"/>
        <w:spacing w:after="60" w:before="0"/>
        <w:ind w:left="200" w:right="120"/>
      </w:pPr>
      <w:r>
        <w:rPr>
          <w:sz w:val="19"/>
          <w:szCs w:val="19"/>
        </w:rPr>
        <w:t xml:space="preserve">backcasting Suomi 2050; Vähäisten päästöjen Suomi 2050</w:t>
      </w:r>
    </w:p>
    <w:p>
      <w:pPr>
        <w:pBdr>
          <w:left w:val="single" w:color="B8C2CC" w:sz="12" w:space="8"/>
        </w:pBdr>
        <w:shd w:fill="F2F4F6" w:color="auto" w:val="clear"/>
        <w:spacing w:after="140" w:before="0"/>
        <w:ind w:left="200" w:right="120"/>
      </w:pPr>
      <w:r>
        <w:rPr>
          <w:sz w:val="19"/>
          <w:szCs w:val="19"/>
        </w:rPr>
        <w:t xml:space="preserve">Energia- ja ilmastotiekartta 2050</w:t>
      </w:r>
    </w:p>
    <w:p>
      <w:pPr>
        <w:spacing w:after="100"/>
      </w:pPr>
      <w:r>
        <w:rPr>
          <w:rFonts w:ascii="Calibri" w:cs="Calibri" w:eastAsia="Calibri" w:hAnsi="Calibri"/>
          <w:b/>
          <w:bCs/>
          <w:color w:val="1F3A5F"/>
          <w:sz w:val="20"/>
          <w:szCs w:val="20"/>
        </w:rPr>
        <w:t xml:space="preserve">Useful institutions, monitoring sources and publication types. </w:t>
      </w:r>
      <w:r>
        <w:t xml:space="preserve">Statistics Finland; Luke; Finnish Climate Change Panel; Ministry of the Environment; EEA.</w:t>
      </w:r>
    </w:p>
    <w:p>
      <w:pPr>
        <w:spacing w:after="100"/>
      </w:pPr>
      <w:r>
        <w:rPr>
          <w:rFonts w:ascii="Calibri" w:cs="Calibri" w:eastAsia="Calibri" w:hAnsi="Calibri"/>
          <w:b/>
          <w:bCs/>
          <w:color w:val="1F3A5F"/>
          <w:sz w:val="20"/>
          <w:szCs w:val="20"/>
        </w:rPr>
        <w:t xml:space="preserve">Search outcome so far. </w:t>
      </w:r>
      <w:r>
        <w:t xml:space="preserve">Access-limited, not genuine absence.</w:t>
      </w:r>
    </w:p>
    <w:p>
      <w:pPr>
        <w:spacing w:after="100"/>
      </w:pPr>
      <w:r>
        <w:rPr>
          <w:rFonts w:ascii="Calibri" w:cs="Calibri" w:eastAsia="Calibri" w:hAnsi="Calibri"/>
          <w:b/>
          <w:bCs/>
          <w:color w:val="1F3A5F"/>
          <w:sz w:val="20"/>
          <w:szCs w:val="20"/>
        </w:rPr>
        <w:t xml:space="preserve">Revisit. </w:t>
      </w:r>
      <w:r>
        <w:t xml:space="preserve">Revisit in 2027 (compliance), 2035 (neutrality target) and 2050.</w:t>
      </w:r>
    </w:p>
    <w:p>
      <w:r>
        <w:br w:type="page"/>
      </w:r>
    </w:p>
    <w:p>
      <w:pPr>
        <w:pStyle w:val="Heading2"/>
      </w:pPr>
      <w:r>
        <w:t xml:space="preserve">RG-12 — Claim 498 — Foresight Tackling Obesities (2011)</w:t>
      </w:r>
    </w:p>
    <w:p>
      <w:pPr>
        <w:spacing w:after="100"/>
      </w:pPr>
      <w:r>
        <w:rPr>
          <w:rFonts w:ascii="Calibri" w:cs="Calibri" w:eastAsia="Calibri" w:hAnsi="Calibri"/>
          <w:b/>
          <w:bCs/>
          <w:color w:val="1F3A5F"/>
          <w:sz w:val="20"/>
          <w:szCs w:val="20"/>
        </w:rPr>
        <w:t xml:space="preserve">Original study. </w:t>
      </w:r>
      <w:r>
        <w:t xml:space="preserve">McPherson (2011), </w:t>
      </w:r>
      <w:r>
        <w:rPr>
          <w:i/>
          <w:iCs/>
        </w:rPr>
        <w:t xml:space="preserve">J Epidemiol Community Health</w:t>
      </w:r>
      <w:r>
        <w:t xml:space="preserve"> 65(Suppl 1), A41. </w:t>
      </w:r>
      <w:hyperlink w:history="1" r:id="rIddfhyllo-6tqhpij-t9rje">
        <w:r>
          <w:rPr>
            <w:rStyle w:val="Hyperlink"/>
          </w:rPr>
          <w:t xml:space="preserve">https://doi.org/10.1136/jech.2011.142976b.14</w:t>
        </w:r>
      </w:hyperlink>
    </w:p>
    <w:p>
      <w:pPr>
        <w:spacing w:after="100"/>
      </w:pPr>
      <w:r>
        <w:rPr>
          <w:rFonts w:ascii="Calibri" w:cs="Calibri" w:eastAsia="Calibri" w:hAnsi="Calibri"/>
          <w:b/>
          <w:bCs/>
          <w:color w:val="1F3A5F"/>
          <w:sz w:val="20"/>
          <w:szCs w:val="20"/>
        </w:rPr>
        <w:t xml:space="preserve">Future claim. </w:t>
      </w:r>
      <w:r>
        <w:t xml:space="preserve">Microsimulation of UK obesity to 2050 under business as usual and policy options (47%/36% obese by 2025 and 60%/50% by 2050 in the underlying reports).</w:t>
      </w:r>
    </w:p>
    <w:p>
      <w:pPr>
        <w:spacing w:after="100"/>
      </w:pPr>
      <w:r>
        <w:rPr>
          <w:rFonts w:ascii="Calibri" w:cs="Calibri" w:eastAsia="Calibri" w:hAnsi="Calibri"/>
          <w:b/>
          <w:bCs/>
          <w:color w:val="1F3A5F"/>
          <w:sz w:val="20"/>
          <w:szCs w:val="20"/>
        </w:rPr>
        <w:t xml:space="preserve">Related account. </w:t>
      </w:r>
      <w:r>
        <w:t xml:space="preserve">Account 14 in this review (revision of earlier account 54).</w:t>
      </w:r>
    </w:p>
    <w:p>
      <w:pPr>
        <w:spacing w:after="100"/>
      </w:pPr>
      <w:r>
        <w:rPr>
          <w:rFonts w:ascii="Calibri" w:cs="Calibri" w:eastAsia="Calibri" w:hAnsi="Calibri"/>
          <w:b/>
          <w:bCs/>
          <w:color w:val="1F3A5F"/>
          <w:sz w:val="20"/>
          <w:szCs w:val="20"/>
        </w:rPr>
        <w:t xml:space="preserve">What is already known. </w:t>
      </w:r>
      <w:r>
        <w:t xml:space="preserve">Adult obesity in England 30% in 2024; rise slowed after 2008; flatter later projections.</w:t>
      </w:r>
    </w:p>
    <w:p>
      <w:pPr>
        <w:spacing w:after="100"/>
      </w:pPr>
      <w:r>
        <w:rPr>
          <w:rFonts w:ascii="Calibri" w:cs="Calibri" w:eastAsia="Calibri" w:hAnsi="Calibri"/>
          <w:b/>
          <w:bCs/>
          <w:color w:val="1F3A5F"/>
          <w:sz w:val="20"/>
          <w:szCs w:val="20"/>
        </w:rPr>
        <w:t xml:space="preserve">What remains unclear. </w:t>
      </w:r>
      <w:r>
        <w:t xml:space="preserve">Age-band-matched comparison (21–60); population effects of GLP-1 drugs; reconciliation of projected and actual NHS costs.</w:t>
      </w:r>
    </w:p>
    <w:p>
      <w:pPr>
        <w:spacing w:after="100"/>
      </w:pPr>
      <w:r>
        <w:rPr>
          <w:rFonts w:ascii="Calibri" w:cs="Calibri" w:eastAsia="Calibri" w:hAnsi="Calibri"/>
          <w:b/>
          <w:bCs/>
          <w:color w:val="1F3A5F"/>
          <w:sz w:val="20"/>
          <w:szCs w:val="20"/>
        </w:rPr>
        <w:t xml:space="preserve">Why the available later publications are insufficient. </w:t>
      </w:r>
      <w:r>
        <w:t xml:space="preserve">HSE 2025 not yet published; drug uptake data not verified.</w:t>
      </w:r>
    </w:p>
    <w:p>
      <w:pPr>
        <w:spacing w:after="100"/>
      </w:pPr>
      <w:r>
        <w:rPr>
          <w:rFonts w:ascii="Calibri" w:cs="Calibri" w:eastAsia="Calibri" w:hAnsi="Calibri"/>
          <w:b/>
          <w:bCs/>
          <w:color w:val="1F3A5F"/>
          <w:sz w:val="20"/>
          <w:szCs w:val="20"/>
        </w:rPr>
        <w:t xml:space="preserve">Evidence that would answer the question. </w:t>
      </w:r>
      <w:r>
        <w:t xml:space="preserve">HSE 2025 results; HSE microdata; prescribing volumes; cost-of-obesity estimates.</w:t>
      </w:r>
    </w:p>
    <w:p>
      <w:pPr>
        <w:keepNext/>
        <w:spacing w:after="60" w:before="160"/>
      </w:pPr>
      <w:r>
        <w:rPr>
          <w:rFonts w:ascii="Calibri" w:cs="Calibri" w:eastAsia="Calibri" w:hAnsi="Calibri"/>
          <w:b/>
          <w:bCs/>
          <w:color w:val="1F3A5F"/>
          <w:spacing w:val="20"/>
          <w:sz w:val="17"/>
          <w:szCs w:val="17"/>
        </w:rPr>
        <w:t xml:space="preserve">SUGGESTED SEARCH TERMS</w:t>
      </w:r>
    </w:p>
    <w:p>
      <w:pPr>
        <w:pBdr>
          <w:left w:val="single" w:color="B8C2CC" w:sz="12" w:space="8"/>
        </w:pBdr>
        <w:shd w:fill="F2F4F6" w:color="auto" w:val="clear"/>
        <w:spacing w:after="60" w:before="40"/>
        <w:ind w:left="200" w:right="120"/>
      </w:pPr>
      <w:r>
        <w:rPr>
          <w:sz w:val="19"/>
          <w:szCs w:val="19"/>
        </w:rPr>
        <w:t xml:space="preserve">obesity prevalence plateau England Health Survey</w:t>
      </w:r>
    </w:p>
    <w:p>
      <w:pPr>
        <w:pBdr>
          <w:left w:val="single" w:color="B8C2CC" w:sz="12" w:space="8"/>
        </w:pBdr>
        <w:shd w:fill="F2F4F6" w:color="auto" w:val="clear"/>
        <w:spacing w:after="60" w:before="0"/>
        <w:ind w:left="200" w:right="120"/>
      </w:pPr>
      <w:r>
        <w:rPr>
          <w:sz w:val="19"/>
          <w:szCs w:val="19"/>
        </w:rPr>
        <w:t xml:space="preserve">GLP-1 receptor agonist prescribing England; tirzepatide uptake</w:t>
      </w:r>
    </w:p>
    <w:p>
      <w:pPr>
        <w:pBdr>
          <w:left w:val="single" w:color="B8C2CC" w:sz="12" w:space="8"/>
        </w:pBdr>
        <w:shd w:fill="F2F4F6" w:color="auto" w:val="clear"/>
        <w:spacing w:after="140" w:before="0"/>
        <w:ind w:left="200" w:right="120"/>
      </w:pPr>
      <w:r>
        <w:rPr>
          <w:sz w:val="19"/>
          <w:szCs w:val="19"/>
        </w:rPr>
        <w:t xml:space="preserve">NHS cost of obesity estimate 2024</w:t>
      </w:r>
    </w:p>
    <w:p>
      <w:pPr>
        <w:spacing w:after="100"/>
      </w:pPr>
      <w:r>
        <w:rPr>
          <w:rFonts w:ascii="Calibri" w:cs="Calibri" w:eastAsia="Calibri" w:hAnsi="Calibri"/>
          <w:b/>
          <w:bCs/>
          <w:color w:val="1F3A5F"/>
          <w:sz w:val="20"/>
          <w:szCs w:val="20"/>
        </w:rPr>
        <w:t xml:space="preserve">Useful institutions, monitoring sources and publication types. </w:t>
      </w:r>
      <w:r>
        <w:t xml:space="preserve">NHS England Digital; OHID; NHSBSA/OpenPrescribing; NICE; UK Data Service.</w:t>
      </w:r>
    </w:p>
    <w:p>
      <w:pPr>
        <w:spacing w:after="100"/>
      </w:pPr>
      <w:r>
        <w:rPr>
          <w:rFonts w:ascii="Calibri" w:cs="Calibri" w:eastAsia="Calibri" w:hAnsi="Calibri"/>
          <w:b/>
          <w:bCs/>
          <w:color w:val="1F3A5F"/>
          <w:sz w:val="20"/>
          <w:szCs w:val="20"/>
        </w:rPr>
        <w:t xml:space="preserve">Search outcome so far. </w:t>
      </w:r>
      <w:r>
        <w:t xml:space="preserve">Horizon not reached; partly unfinished searching.</w:t>
      </w:r>
    </w:p>
    <w:p>
      <w:pPr>
        <w:spacing w:after="100"/>
      </w:pPr>
      <w:r>
        <w:rPr>
          <w:rFonts w:ascii="Calibri" w:cs="Calibri" w:eastAsia="Calibri" w:hAnsi="Calibri"/>
          <w:b/>
          <w:bCs/>
          <w:color w:val="1F3A5F"/>
          <w:sz w:val="20"/>
          <w:szCs w:val="20"/>
        </w:rPr>
        <w:t xml:space="preserve">Revisit. </w:t>
      </w:r>
      <w:r>
        <w:t xml:space="preserve">Revisit in 2027 (HSE 2025) and around 2032.</w:t>
      </w:r>
    </w:p>
    <w:p>
      <w:r>
        <w:br w:type="page"/>
      </w:r>
    </w:p>
    <w:p>
      <w:pPr>
        <w:pStyle w:val="Heading2"/>
      </w:pPr>
      <w:r>
        <w:t xml:space="preserve">RG-13 — Claim 439 — Obesity and its costs in Ireland to 2030 (2013)</w:t>
      </w:r>
    </w:p>
    <w:p>
      <w:pPr>
        <w:spacing w:after="100"/>
      </w:pPr>
      <w:r>
        <w:rPr>
          <w:rFonts w:ascii="Calibri" w:cs="Calibri" w:eastAsia="Calibri" w:hAnsi="Calibri"/>
          <w:b/>
          <w:bCs/>
          <w:color w:val="1F3A5F"/>
          <w:sz w:val="20"/>
          <w:szCs w:val="20"/>
        </w:rPr>
        <w:t xml:space="preserve">Original study. </w:t>
      </w:r>
      <w:r>
        <w:t xml:space="preserve">Keaver et al. (2013), </w:t>
      </w:r>
      <w:r>
        <w:rPr>
          <w:i/>
          <w:iCs/>
        </w:rPr>
        <w:t xml:space="preserve">PLoS ONE</w:t>
      </w:r>
      <w:r>
        <w:t xml:space="preserve"> 8(11), e79827. </w:t>
      </w:r>
      <w:hyperlink w:history="1" r:id="rIdaki5gsrh5j0wpwjadsq9r">
        <w:r>
          <w:rPr>
            <w:rStyle w:val="Hyperlink"/>
          </w:rPr>
          <w:t xml:space="preserve">https://doi.org/10.1371/journal.pone.0079827</w:t>
        </w:r>
      </w:hyperlink>
    </w:p>
    <w:p>
      <w:pPr>
        <w:spacing w:after="100"/>
      </w:pPr>
      <w:r>
        <w:rPr>
          <w:rFonts w:ascii="Calibri" w:cs="Calibri" w:eastAsia="Calibri" w:hAnsi="Calibri"/>
          <w:b/>
          <w:bCs/>
          <w:color w:val="1F3A5F"/>
          <w:sz w:val="20"/>
          <w:szCs w:val="20"/>
        </w:rPr>
        <w:t xml:space="preserve">Future claim. </w:t>
      </w:r>
      <w:r>
        <w:t xml:space="preserve">Obesity of 48% (men) and 57% (women) by 2030; direct costs of €5.4 billion a year by 2030.</w:t>
      </w:r>
    </w:p>
    <w:p>
      <w:pPr>
        <w:spacing w:after="100"/>
      </w:pPr>
      <w:r>
        <w:rPr>
          <w:rFonts w:ascii="Calibri" w:cs="Calibri" w:eastAsia="Calibri" w:hAnsi="Calibri"/>
          <w:b/>
          <w:bCs/>
          <w:color w:val="1F3A5F"/>
          <w:sz w:val="20"/>
          <w:szCs w:val="20"/>
        </w:rPr>
        <w:t xml:space="preserve">Related account. </w:t>
      </w:r>
      <w:r>
        <w:t xml:space="preserve">Account 15 in this review (new account).</w:t>
      </w:r>
    </w:p>
    <w:p>
      <w:pPr>
        <w:spacing w:after="100"/>
      </w:pPr>
      <w:r>
        <w:rPr>
          <w:rFonts w:ascii="Calibri" w:cs="Calibri" w:eastAsia="Calibri" w:hAnsi="Calibri"/>
          <w:b/>
          <w:bCs/>
          <w:color w:val="1F3A5F"/>
          <w:sz w:val="20"/>
          <w:szCs w:val="20"/>
        </w:rPr>
        <w:t xml:space="preserve">What is already known. </w:t>
      </w:r>
      <w:r>
        <w:t xml:space="preserve">Adult obesity about 31% in 2024 (modelled estimates); child overweight fell 2008–2022.</w:t>
      </w:r>
    </w:p>
    <w:p>
      <w:pPr>
        <w:spacing w:after="100"/>
      </w:pPr>
      <w:r>
        <w:rPr>
          <w:rFonts w:ascii="Calibri" w:cs="Calibri" w:eastAsia="Calibri" w:hAnsi="Calibri"/>
          <w:b/>
          <w:bCs/>
          <w:color w:val="1F3A5F"/>
          <w:sz w:val="20"/>
          <w:szCs w:val="20"/>
        </w:rPr>
        <w:t xml:space="preserve">What remains unclear. </w:t>
      </w:r>
      <w:r>
        <w:t xml:space="preserve">Post-2013 Irish cost-of-obesity estimates; measurement modes of Irish surveys; effects of the 2018 sugar-sweetened drinks tax and of GLP-1 drugs.</w:t>
      </w:r>
    </w:p>
    <w:p>
      <w:pPr>
        <w:spacing w:after="100"/>
      </w:pPr>
      <w:r>
        <w:rPr>
          <w:rFonts w:ascii="Calibri" w:cs="Calibri" w:eastAsia="Calibri" w:hAnsi="Calibri"/>
          <w:b/>
          <w:bCs/>
          <w:color w:val="1F3A5F"/>
          <w:sz w:val="20"/>
          <w:szCs w:val="20"/>
        </w:rPr>
        <w:t xml:space="preserve">Why the available later publications are insufficient. </w:t>
      </w:r>
      <w:r>
        <w:t xml:space="preserve">No later cost study was found; survey modes were not verified.</w:t>
      </w:r>
    </w:p>
    <w:p>
      <w:pPr>
        <w:spacing w:after="100"/>
      </w:pPr>
      <w:r>
        <w:rPr>
          <w:rFonts w:ascii="Calibri" w:cs="Calibri" w:eastAsia="Calibri" w:hAnsi="Calibri"/>
          <w:b/>
          <w:bCs/>
          <w:color w:val="1F3A5F"/>
          <w:sz w:val="20"/>
          <w:szCs w:val="20"/>
        </w:rPr>
        <w:t xml:space="preserve">Evidence that would answer the question. </w:t>
      </w:r>
      <w:r>
        <w:t xml:space="preserve">Irish cost studies; measured-BMI surveys; tax evaluations; reimbursement data.</w:t>
      </w:r>
    </w:p>
    <w:p>
      <w:pPr>
        <w:keepNext/>
        <w:spacing w:after="60" w:before="160"/>
      </w:pPr>
      <w:r>
        <w:rPr>
          <w:rFonts w:ascii="Calibri" w:cs="Calibri" w:eastAsia="Calibri" w:hAnsi="Calibri"/>
          <w:b/>
          <w:bCs/>
          <w:color w:val="1F3A5F"/>
          <w:spacing w:val="20"/>
          <w:sz w:val="17"/>
          <w:szCs w:val="17"/>
        </w:rPr>
        <w:t xml:space="preserve">SUGGESTED SEARCH TERMS</w:t>
      </w:r>
    </w:p>
    <w:p>
      <w:pPr>
        <w:pBdr>
          <w:left w:val="single" w:color="B8C2CC" w:sz="12" w:space="8"/>
        </w:pBdr>
        <w:shd w:fill="F2F4F6" w:color="auto" w:val="clear"/>
        <w:spacing w:after="60" w:before="40"/>
        <w:ind w:left="200" w:right="120"/>
      </w:pPr>
      <w:r>
        <w:rPr>
          <w:sz w:val="19"/>
          <w:szCs w:val="19"/>
        </w:rPr>
        <w:t xml:space="preserve">cost of overweight obesity Ireland 2020s; safefood cost of obesity</w:t>
      </w:r>
    </w:p>
    <w:p>
      <w:pPr>
        <w:pBdr>
          <w:left w:val="single" w:color="B8C2CC" w:sz="12" w:space="8"/>
        </w:pBdr>
        <w:shd w:fill="F2F4F6" w:color="auto" w:val="clear"/>
        <w:spacing w:after="60" w:before="0"/>
        <w:ind w:left="200" w:right="120"/>
      </w:pPr>
      <w:r>
        <w:rPr>
          <w:sz w:val="19"/>
          <w:szCs w:val="19"/>
        </w:rPr>
        <w:t xml:space="preserve">Healthy Ireland Survey BMI measured; NANS measured BMI</w:t>
      </w:r>
    </w:p>
    <w:p>
      <w:pPr>
        <w:pBdr>
          <w:left w:val="single" w:color="B8C2CC" w:sz="12" w:space="8"/>
        </w:pBdr>
        <w:shd w:fill="F2F4F6" w:color="auto" w:val="clear"/>
        <w:spacing w:after="140" w:before="0"/>
        <w:ind w:left="200" w:right="120"/>
      </w:pPr>
      <w:r>
        <w:rPr>
          <w:sz w:val="19"/>
          <w:szCs w:val="19"/>
        </w:rPr>
        <w:t xml:space="preserve">sugar sweetened drinks tax Ireland evaluation; semaglutide reimbursement Ireland</w:t>
      </w:r>
    </w:p>
    <w:p>
      <w:pPr>
        <w:spacing w:after="100"/>
      </w:pPr>
      <w:r>
        <w:rPr>
          <w:rFonts w:ascii="Calibri" w:cs="Calibri" w:eastAsia="Calibri" w:hAnsi="Calibri"/>
          <w:b/>
          <w:bCs/>
          <w:color w:val="1F3A5F"/>
          <w:sz w:val="20"/>
          <w:szCs w:val="20"/>
        </w:rPr>
        <w:t xml:space="preserve">Useful institutions, monitoring sources and publication types. </w:t>
      </w:r>
      <w:r>
        <w:t xml:space="preserve">safefood; Institute of Public Health; CSO; Department of Health; HSE-PCRS; NCPE.</w:t>
      </w:r>
    </w:p>
    <w:p>
      <w:pPr>
        <w:spacing w:after="100"/>
      </w:pPr>
      <w:r>
        <w:rPr>
          <w:rFonts w:ascii="Calibri" w:cs="Calibri" w:eastAsia="Calibri" w:hAnsi="Calibri"/>
          <w:b/>
          <w:bCs/>
          <w:color w:val="1F3A5F"/>
          <w:sz w:val="20"/>
          <w:szCs w:val="20"/>
        </w:rPr>
        <w:t xml:space="preserve">Search outcome so far. </w:t>
      </w:r>
      <w:r>
        <w:t xml:space="preserve">Possibly unsuccessful searching (budget exhausted).</w:t>
      </w:r>
    </w:p>
    <w:p>
      <w:pPr>
        <w:spacing w:after="100"/>
      </w:pPr>
      <w:r>
        <w:rPr>
          <w:rFonts w:ascii="Calibri" w:cs="Calibri" w:eastAsia="Calibri" w:hAnsi="Calibri"/>
          <w:b/>
          <w:bCs/>
          <w:color w:val="1F3A5F"/>
          <w:sz w:val="20"/>
          <w:szCs w:val="20"/>
        </w:rPr>
        <w:t xml:space="preserve">Revisit. </w:t>
      </w:r>
      <w:r>
        <w:t xml:space="preserve">Revisit in 2031–2032.</w:t>
      </w:r>
    </w:p>
    <w:p>
      <w:r>
        <w:br w:type="page"/>
      </w:r>
    </w:p>
    <w:p>
      <w:pPr>
        <w:pStyle w:val="Heading2"/>
      </w:pPr>
      <w:r>
        <w:t xml:space="preserve">RG-14 — Claim 496 — Health impacts of waste facilities (2011)</w:t>
      </w:r>
    </w:p>
    <w:p>
      <w:pPr>
        <w:spacing w:after="100"/>
      </w:pPr>
      <w:r>
        <w:rPr>
          <w:rFonts w:ascii="Calibri" w:cs="Calibri" w:eastAsia="Calibri" w:hAnsi="Calibri"/>
          <w:b/>
          <w:bCs/>
          <w:color w:val="1F3A5F"/>
          <w:sz w:val="20"/>
          <w:szCs w:val="20"/>
        </w:rPr>
        <w:t xml:space="preserve">Original study. </w:t>
      </w:r>
      <w:r>
        <w:t xml:space="preserve">Forastiere et al. (2011), </w:t>
      </w:r>
      <w:r>
        <w:rPr>
          <w:i/>
          <w:iCs/>
        </w:rPr>
        <w:t xml:space="preserve">Environmental Health</w:t>
      </w:r>
      <w:r>
        <w:t xml:space="preserve"> 10, 53. </w:t>
      </w:r>
      <w:hyperlink w:history="1" r:id="rId8svg4pmnoljx6pxaillik">
        <w:r>
          <w:rPr>
            <w:rStyle w:val="Hyperlink"/>
          </w:rPr>
          <w:t xml:space="preserve">https://doi.org/10.1186/1476-069X-10-53</w:t>
        </w:r>
      </w:hyperlink>
    </w:p>
    <w:p>
      <w:pPr>
        <w:spacing w:after="100"/>
      </w:pPr>
      <w:r>
        <w:rPr>
          <w:rFonts w:ascii="Calibri" w:cs="Calibri" w:eastAsia="Calibri" w:hAnsi="Calibri"/>
          <w:b/>
          <w:bCs/>
          <w:color w:val="1F3A5F"/>
          <w:sz w:val="20"/>
          <w:szCs w:val="20"/>
        </w:rPr>
        <w:t xml:space="preserve">Future claim. </w:t>
      </w:r>
      <w:r>
        <w:t xml:space="preserve">Cancer cases attributable to 2001–2020 incinerator exposure peak in 2020 and decline to zero by 2050 (a conditional model result).</w:t>
      </w:r>
    </w:p>
    <w:p>
      <w:pPr>
        <w:spacing w:after="100"/>
      </w:pPr>
      <w:r>
        <w:rPr>
          <w:rFonts w:ascii="Calibri" w:cs="Calibri" w:eastAsia="Calibri" w:hAnsi="Calibri"/>
          <w:b/>
          <w:bCs/>
          <w:color w:val="1F3A5F"/>
          <w:sz w:val="20"/>
          <w:szCs w:val="20"/>
        </w:rPr>
        <w:t xml:space="preserve">Related account. </w:t>
      </w:r>
      <w:r>
        <w:t xml:space="preserve">Account 17 in this review (revision of earlier account 52).</w:t>
      </w:r>
    </w:p>
    <w:p>
      <w:pPr>
        <w:spacing w:after="100"/>
      </w:pPr>
      <w:r>
        <w:rPr>
          <w:rFonts w:ascii="Calibri" w:cs="Calibri" w:eastAsia="Calibri" w:hAnsi="Calibri"/>
          <w:b/>
          <w:bCs/>
          <w:color w:val="1F3A5F"/>
          <w:sz w:val="20"/>
          <w:szCs w:val="20"/>
        </w:rPr>
        <w:t xml:space="preserve">What is already known. </w:t>
      </w:r>
      <w:r>
        <w:t xml:space="preserve">UK incineration expanded to 48% of treated municipal waste in 2024; modern-plant studies show very small exposures and mostly null birth-outcome associations.</w:t>
      </w:r>
    </w:p>
    <w:p>
      <w:pPr>
        <w:spacing w:after="100"/>
      </w:pPr>
      <w:r>
        <w:rPr>
          <w:rFonts w:ascii="Calibri" w:cs="Calibri" w:eastAsia="Calibri" w:hAnsi="Calibri"/>
          <w:b/>
          <w:bCs/>
          <w:color w:val="1F3A5F"/>
          <w:sz w:val="20"/>
          <w:szCs w:val="20"/>
        </w:rPr>
        <w:t xml:space="preserve">What remains unclear. </w:t>
      </w:r>
      <w:r>
        <w:t xml:space="preserve">Cancer incidence near modern plants; England-specific capacity; whether risk persists after closure for persistent pollutants.</w:t>
      </w:r>
    </w:p>
    <w:p>
      <w:pPr>
        <w:spacing w:after="100"/>
      </w:pPr>
      <w:r>
        <w:rPr>
          <w:rFonts w:ascii="Calibri" w:cs="Calibri" w:eastAsia="Calibri" w:hAnsi="Calibri"/>
          <w:b/>
          <w:bCs/>
          <w:color w:val="1F3A5F"/>
          <w:sz w:val="20"/>
          <w:szCs w:val="20"/>
        </w:rPr>
        <w:t xml:space="preserve">Why the available later publications are insufficient. </w:t>
      </w:r>
      <w:r>
        <w:t xml:space="preserve">No post-2011 cancer study near modern incinerators in the three countries was identified; later epidemiology read as abstracts.</w:t>
      </w:r>
    </w:p>
    <w:p>
      <w:pPr>
        <w:spacing w:after="100"/>
      </w:pPr>
      <w:r>
        <w:rPr>
          <w:rFonts w:ascii="Calibri" w:cs="Calibri" w:eastAsia="Calibri" w:hAnsi="Calibri"/>
          <w:b/>
          <w:bCs/>
          <w:color w:val="1F3A5F"/>
          <w:sz w:val="20"/>
          <w:szCs w:val="20"/>
        </w:rPr>
        <w:t xml:space="preserve">Evidence that would answer the question. </w:t>
      </w:r>
      <w:r>
        <w:t xml:space="preserve">Cohort studies of cancer near energy-from-waste plants; DEFRA and ISPRA capacity data; legacy-contamination assessments.</w:t>
      </w:r>
    </w:p>
    <w:p>
      <w:pPr>
        <w:keepNext/>
        <w:spacing w:after="60" w:before="160"/>
      </w:pPr>
      <w:r>
        <w:rPr>
          <w:rFonts w:ascii="Calibri" w:cs="Calibri" w:eastAsia="Calibri" w:hAnsi="Calibri"/>
          <w:b/>
          <w:bCs/>
          <w:color w:val="1F3A5F"/>
          <w:spacing w:val="20"/>
          <w:sz w:val="17"/>
          <w:szCs w:val="17"/>
        </w:rPr>
        <w:t xml:space="preserve">SUGGESTED SEARCH TERMS</w:t>
      </w:r>
    </w:p>
    <w:p>
      <w:pPr>
        <w:pBdr>
          <w:left w:val="single" w:color="B8C2CC" w:sz="12" w:space="8"/>
        </w:pBdr>
        <w:shd w:fill="F2F4F6" w:color="auto" w:val="clear"/>
        <w:spacing w:after="60" w:before="40"/>
        <w:ind w:left="200" w:right="120"/>
      </w:pPr>
      <w:r>
        <w:rPr>
          <w:sz w:val="19"/>
          <w:szCs w:val="19"/>
        </w:rPr>
        <w:t xml:space="preserve">municipal solid waste incinerator cancer incidence cohort; energy from waste health</w:t>
      </w:r>
    </w:p>
    <w:p>
      <w:pPr>
        <w:pBdr>
          <w:left w:val="single" w:color="B8C2CC" w:sz="12" w:space="8"/>
        </w:pBdr>
        <w:shd w:fill="F2F4F6" w:color="auto" w:val="clear"/>
        <w:spacing w:after="60" w:before="0"/>
        <w:ind w:left="200" w:right="120"/>
      </w:pPr>
      <w:r>
        <w:rPr>
          <w:sz w:val="19"/>
          <w:szCs w:val="19"/>
        </w:rPr>
        <w:t xml:space="preserve">SAHSU incinerator cancer; waste-to-energy dioxin food chain</w:t>
      </w:r>
    </w:p>
    <w:p>
      <w:pPr>
        <w:pBdr>
          <w:left w:val="single" w:color="B8C2CC" w:sz="12" w:space="8"/>
        </w:pBdr>
        <w:shd w:fill="F2F4F6" w:color="auto" w:val="clear"/>
        <w:spacing w:after="140" w:before="0"/>
        <w:ind w:left="200" w:right="120"/>
      </w:pPr>
      <w:r>
        <w:rPr>
          <w:sz w:val="19"/>
          <w:szCs w:val="19"/>
        </w:rPr>
        <w:t xml:space="preserve">ISPRA Rapporto Rifiuti Urbani inceneritori</w:t>
      </w:r>
    </w:p>
    <w:p>
      <w:pPr>
        <w:spacing w:after="100"/>
      </w:pPr>
      <w:r>
        <w:rPr>
          <w:rFonts w:ascii="Calibri" w:cs="Calibri" w:eastAsia="Calibri" w:hAnsi="Calibri"/>
          <w:b/>
          <w:bCs/>
          <w:color w:val="1F3A5F"/>
          <w:sz w:val="20"/>
          <w:szCs w:val="20"/>
        </w:rPr>
        <w:t xml:space="preserve">Useful institutions, monitoring sources and publication types. </w:t>
      </w:r>
      <w:r>
        <w:t xml:space="preserve">UK Small Area Health Statistics Unit; DEFRA; ISPRA; WHO Europe.</w:t>
      </w:r>
    </w:p>
    <w:p>
      <w:pPr>
        <w:spacing w:after="100"/>
      </w:pPr>
      <w:r>
        <w:rPr>
          <w:rFonts w:ascii="Calibri" w:cs="Calibri" w:eastAsia="Calibri" w:hAnsi="Calibri"/>
          <w:b/>
          <w:bCs/>
          <w:color w:val="1F3A5F"/>
          <w:sz w:val="20"/>
          <w:szCs w:val="20"/>
        </w:rPr>
        <w:t xml:space="preserve">Search outcome so far. </w:t>
      </w:r>
      <w:r>
        <w:t xml:space="preserve">Possibly genuine absence for cancer outcomes at modern plants; partly unfinished searching.</w:t>
      </w:r>
    </w:p>
    <w:p>
      <w:pPr>
        <w:spacing w:after="100"/>
      </w:pPr>
      <w:r>
        <w:rPr>
          <w:rFonts w:ascii="Calibri" w:cs="Calibri" w:eastAsia="Calibri" w:hAnsi="Calibri"/>
          <w:b/>
          <w:bCs/>
          <w:color w:val="1F3A5F"/>
          <w:sz w:val="20"/>
          <w:szCs w:val="20"/>
        </w:rPr>
        <w:t xml:space="preserve">Revisit. </w:t>
      </w:r>
      <w:r>
        <w:t xml:space="preserve">Revisit around 2030; final horizon 2050.</w:t>
      </w:r>
    </w:p>
    <w:p>
      <w:r>
        <w:br w:type="page"/>
      </w:r>
    </w:p>
    <w:p>
      <w:pPr>
        <w:pStyle w:val="Heading2"/>
      </w:pPr>
      <w:r>
        <w:t xml:space="preserve">RG-15 — Claim 458 — EU gas supply and the Southern Corridor (2013)</w:t>
      </w:r>
    </w:p>
    <w:p>
      <w:pPr>
        <w:spacing w:after="100"/>
      </w:pPr>
      <w:r>
        <w:rPr>
          <w:rFonts w:ascii="Calibri" w:cs="Calibri" w:eastAsia="Calibri" w:hAnsi="Calibri"/>
          <w:b/>
          <w:bCs/>
          <w:color w:val="1F3A5F"/>
          <w:sz w:val="20"/>
          <w:szCs w:val="20"/>
        </w:rPr>
        <w:t xml:space="preserve">Original study. </w:t>
      </w:r>
      <w:r>
        <w:t xml:space="preserve">Fernandes &amp; Ermida (2013), </w:t>
      </w:r>
      <w:r>
        <w:rPr>
          <w:i/>
          <w:iCs/>
        </w:rPr>
        <w:t xml:space="preserve">European Foreign Affairs Review</w:t>
      </w:r>
      <w:r>
        <w:t xml:space="preserve"> 18. </w:t>
      </w:r>
      <w:hyperlink w:history="1" r:id="rIdc5sfp88xpjclsvjs8xxsk">
        <w:r>
          <w:rPr>
            <w:rStyle w:val="Hyperlink"/>
          </w:rPr>
          <w:t xml:space="preserve">https://doi.org/10.54648/eerr2013040</w:t>
        </w:r>
      </w:hyperlink>
    </w:p>
    <w:p>
      <w:pPr>
        <w:spacing w:after="100"/>
      </w:pPr>
      <w:r>
        <w:rPr>
          <w:rFonts w:ascii="Calibri" w:cs="Calibri" w:eastAsia="Calibri" w:hAnsi="Calibri"/>
          <w:b/>
          <w:bCs/>
          <w:color w:val="1F3A5F"/>
          <w:sz w:val="20"/>
          <w:szCs w:val="20"/>
        </w:rPr>
        <w:t xml:space="preserve">Future claim. </w:t>
      </w:r>
      <w:r>
        <w:t xml:space="preserve">Import dependence up to 80% by 2030; the Southern Gas Corridor as the EU’s priority diversification route.</w:t>
      </w:r>
    </w:p>
    <w:p>
      <w:pPr>
        <w:spacing w:after="100"/>
      </w:pPr>
      <w:r>
        <w:rPr>
          <w:rFonts w:ascii="Calibri" w:cs="Calibri" w:eastAsia="Calibri" w:hAnsi="Calibri"/>
          <w:b/>
          <w:bCs/>
          <w:color w:val="1F3A5F"/>
          <w:sz w:val="20"/>
          <w:szCs w:val="20"/>
        </w:rPr>
        <w:t xml:space="preserve">Related account. </w:t>
      </w:r>
      <w:r>
        <w:t xml:space="preserve">Account 01 in this review (new account).</w:t>
      </w:r>
    </w:p>
    <w:p>
      <w:pPr>
        <w:spacing w:after="100"/>
      </w:pPr>
      <w:r>
        <w:rPr>
          <w:rFonts w:ascii="Calibri" w:cs="Calibri" w:eastAsia="Calibri" w:hAnsi="Calibri"/>
          <w:b/>
          <w:bCs/>
          <w:color w:val="1F3A5F"/>
          <w:sz w:val="20"/>
          <w:szCs w:val="20"/>
        </w:rPr>
        <w:t xml:space="preserve">What is already known. </w:t>
      </w:r>
      <w:r>
        <w:t xml:space="preserve">Dependence above 80% since 2017; corridor about 12 bcm/yr to the EU; LNG, Norway and demand reduction replaced Russian gas.</w:t>
      </w:r>
    </w:p>
    <w:p>
      <w:pPr>
        <w:spacing w:after="100"/>
      </w:pPr>
      <w:r>
        <w:rPr>
          <w:rFonts w:ascii="Calibri" w:cs="Calibri" w:eastAsia="Calibri" w:hAnsi="Calibri"/>
          <w:b/>
          <w:bCs/>
          <w:color w:val="1F3A5F"/>
          <w:sz w:val="20"/>
          <w:szCs w:val="20"/>
        </w:rPr>
        <w:t xml:space="preserve">What remains unclear. </w:t>
      </w:r>
      <w:r>
        <w:t xml:space="preserve">Projects compared in the article; corridor volumes against the 2022 EU–Azerbaijan memorandum; effects of the 2026–2027 phase-out.</w:t>
      </w:r>
    </w:p>
    <w:p>
      <w:pPr>
        <w:spacing w:after="100"/>
      </w:pPr>
      <w:r>
        <w:rPr>
          <w:rFonts w:ascii="Calibri" w:cs="Calibri" w:eastAsia="Calibri" w:hAnsi="Calibri"/>
          <w:b/>
          <w:bCs/>
          <w:color w:val="1F3A5F"/>
          <w:sz w:val="20"/>
          <w:szCs w:val="20"/>
        </w:rPr>
        <w:t xml:space="preserve">Why the available later publications are insufficient. </w:t>
      </w:r>
      <w:r>
        <w:t xml:space="preserve">Original paywalled; corridor milestones not verified against primary sources.</w:t>
      </w:r>
    </w:p>
    <w:p>
      <w:pPr>
        <w:spacing w:after="100"/>
      </w:pPr>
      <w:r>
        <w:rPr>
          <w:rFonts w:ascii="Calibri" w:cs="Calibri" w:eastAsia="Calibri" w:hAnsi="Calibri"/>
          <w:b/>
          <w:bCs/>
          <w:color w:val="1F3A5F"/>
          <w:sz w:val="20"/>
          <w:szCs w:val="20"/>
        </w:rPr>
        <w:t xml:space="preserve">Evidence that would answer the question. </w:t>
      </w:r>
      <w:r>
        <w:t xml:space="preserve">Full text; TAP and ENTSOG flow data; Commission quarterly gas market reports.</w:t>
      </w:r>
    </w:p>
    <w:p>
      <w:pPr>
        <w:keepNext/>
        <w:spacing w:after="60" w:before="160"/>
      </w:pPr>
      <w:r>
        <w:rPr>
          <w:rFonts w:ascii="Calibri" w:cs="Calibri" w:eastAsia="Calibri" w:hAnsi="Calibri"/>
          <w:b/>
          <w:bCs/>
          <w:color w:val="1F3A5F"/>
          <w:spacing w:val="20"/>
          <w:sz w:val="17"/>
          <w:szCs w:val="17"/>
        </w:rPr>
        <w:t xml:space="preserve">SUGGESTED SEARCH TERMS</w:t>
      </w:r>
    </w:p>
    <w:p>
      <w:pPr>
        <w:pBdr>
          <w:left w:val="single" w:color="B8C2CC" w:sz="12" w:space="8"/>
        </w:pBdr>
        <w:shd w:fill="F2F4F6" w:color="auto" w:val="clear"/>
        <w:spacing w:after="60" w:before="40"/>
        <w:ind w:left="200" w:right="120"/>
      </w:pPr>
      <w:r>
        <w:rPr>
          <w:sz w:val="19"/>
          <w:szCs w:val="19"/>
        </w:rPr>
        <w:t xml:space="preserve">Southern Gas Corridor deliveries bcm; TAP expansion</w:t>
      </w:r>
    </w:p>
    <w:p>
      <w:pPr>
        <w:pBdr>
          <w:left w:val="single" w:color="B8C2CC" w:sz="12" w:space="8"/>
        </w:pBdr>
        <w:shd w:fill="F2F4F6" w:color="auto" w:val="clear"/>
        <w:spacing w:after="60" w:before="0"/>
        <w:ind w:left="200" w:right="120"/>
      </w:pPr>
      <w:r>
        <w:rPr>
          <w:sz w:val="19"/>
          <w:szCs w:val="19"/>
        </w:rPr>
        <w:t xml:space="preserve">EU-Azerbaijan memorandum 20 bcm 2027</w:t>
      </w:r>
    </w:p>
    <w:p>
      <w:pPr>
        <w:pBdr>
          <w:left w:val="single" w:color="B8C2CC" w:sz="12" w:space="8"/>
        </w:pBdr>
        <w:shd w:fill="F2F4F6" w:color="auto" w:val="clear"/>
        <w:spacing w:after="140" w:before="0"/>
        <w:ind w:left="200" w:right="120"/>
      </w:pPr>
      <w:r>
        <w:rPr>
          <w:sz w:val="19"/>
          <w:szCs w:val="19"/>
        </w:rPr>
        <w:t xml:space="preserve">Russian gas phase-out regulation implementation; EU gas demand reduction</w:t>
      </w:r>
    </w:p>
    <w:p>
      <w:pPr>
        <w:spacing w:after="100"/>
      </w:pPr>
      <w:r>
        <w:rPr>
          <w:rFonts w:ascii="Calibri" w:cs="Calibri" w:eastAsia="Calibri" w:hAnsi="Calibri"/>
          <w:b/>
          <w:bCs/>
          <w:color w:val="1F3A5F"/>
          <w:sz w:val="20"/>
          <w:szCs w:val="20"/>
        </w:rPr>
        <w:t xml:space="preserve">Useful institutions, monitoring sources and publication types. </w:t>
      </w:r>
      <w:r>
        <w:t xml:space="preserve">ACER; ENTSOG; Bruegel gas imports tracker; Commission DG ENER; TAP AG.</w:t>
      </w:r>
    </w:p>
    <w:p>
      <w:pPr>
        <w:spacing w:after="100"/>
      </w:pPr>
      <w:r>
        <w:rPr>
          <w:rFonts w:ascii="Calibri" w:cs="Calibri" w:eastAsia="Calibri" w:hAnsi="Calibri"/>
          <w:b/>
          <w:bCs/>
          <w:color w:val="1F3A5F"/>
          <w:sz w:val="20"/>
          <w:szCs w:val="20"/>
        </w:rPr>
        <w:t xml:space="preserve">Search outcome so far. </w:t>
      </w:r>
      <w:r>
        <w:t xml:space="preserve">Access-limited, not genuine absence.</w:t>
      </w:r>
    </w:p>
    <w:p>
      <w:pPr>
        <w:spacing w:after="100"/>
      </w:pPr>
      <w:r>
        <w:rPr>
          <w:rFonts w:ascii="Calibri" w:cs="Calibri" w:eastAsia="Calibri" w:hAnsi="Calibri"/>
          <w:b/>
          <w:bCs/>
          <w:color w:val="1F3A5F"/>
          <w:sz w:val="20"/>
          <w:szCs w:val="20"/>
        </w:rPr>
        <w:t xml:space="preserve">Revisit. </w:t>
      </w:r>
      <w:r>
        <w:t xml:space="preserve">Revisit in 2028 (after phase-out deadlines) and 2031.</w:t>
      </w:r>
    </w:p>
    <w:p>
      <w:r>
        <w:br w:type="page"/>
      </w:r>
    </w:p>
    <w:p>
      <w:pPr>
        <w:pStyle w:val="Heading2"/>
      </w:pPr>
      <w:r>
        <w:t xml:space="preserve">RG-16 — Claim 421 — North African renewables for Europe (2014)</w:t>
      </w:r>
    </w:p>
    <w:p>
      <w:pPr>
        <w:spacing w:after="100"/>
      </w:pPr>
      <w:r>
        <w:rPr>
          <w:rFonts w:ascii="Calibri" w:cs="Calibri" w:eastAsia="Calibri" w:hAnsi="Calibri"/>
          <w:b/>
          <w:bCs/>
          <w:color w:val="1F3A5F"/>
          <w:sz w:val="20"/>
          <w:szCs w:val="20"/>
        </w:rPr>
        <w:t xml:space="preserve">Original study. </w:t>
      </w:r>
      <w:r>
        <w:t xml:space="preserve">Boie et al. (2014), </w:t>
      </w:r>
      <w:r>
        <w:rPr>
          <w:i/>
          <w:iCs/>
        </w:rPr>
        <w:t xml:space="preserve">International Journal of Smart Grid and Clean Energy</w:t>
      </w:r>
      <w:r>
        <w:t xml:space="preserve"> 3(3), 299–306. </w:t>
      </w:r>
      <w:hyperlink w:history="1" r:id="rIdqgvefm5fu1ieqhnrb4tlk">
        <w:r>
          <w:rPr>
            <w:rStyle w:val="Hyperlink"/>
          </w:rPr>
          <w:t xml:space="preserve">https://doi.org/10.12720/sgce.3.3.299-306</w:t>
        </w:r>
      </w:hyperlink>
    </w:p>
    <w:p>
      <w:pPr>
        <w:spacing w:after="100"/>
      </w:pPr>
      <w:r>
        <w:rPr>
          <w:rFonts w:ascii="Calibri" w:cs="Calibri" w:eastAsia="Calibri" w:hAnsi="Calibri"/>
          <w:b/>
          <w:bCs/>
          <w:color w:val="1F3A5F"/>
          <w:sz w:val="20"/>
          <w:szCs w:val="20"/>
        </w:rPr>
        <w:t xml:space="preserve">Future claim. </w:t>
      </w:r>
      <w:r>
        <w:t xml:space="preserve">Renewable shares of 83–98% in five North African countries by 2050, with large electricity exports to Europe in two scenarios.</w:t>
      </w:r>
    </w:p>
    <w:p>
      <w:pPr>
        <w:spacing w:after="100"/>
      </w:pPr>
      <w:r>
        <w:rPr>
          <w:rFonts w:ascii="Calibri" w:cs="Calibri" w:eastAsia="Calibri" w:hAnsi="Calibri"/>
          <w:b/>
          <w:bCs/>
          <w:color w:val="1F3A5F"/>
          <w:sz w:val="20"/>
          <w:szCs w:val="20"/>
        </w:rPr>
        <w:t xml:space="preserve">Related account. </w:t>
      </w:r>
      <w:r>
        <w:t xml:space="preserve">Account 02 in this review (new account).</w:t>
      </w:r>
    </w:p>
    <w:p>
      <w:pPr>
        <w:spacing w:after="100"/>
      </w:pPr>
      <w:r>
        <w:rPr>
          <w:rFonts w:ascii="Calibri" w:cs="Calibri" w:eastAsia="Calibri" w:hAnsi="Calibri"/>
          <w:b/>
          <w:bCs/>
          <w:color w:val="1F3A5F"/>
          <w:sz w:val="20"/>
          <w:szCs w:val="20"/>
        </w:rPr>
        <w:t xml:space="preserve">What is already known. </w:t>
      </w:r>
      <w:r>
        <w:t xml:space="preserve">Renewables about 9% of regional generation in 2024; Spain–Morocco trade flows towards Morocco; policy reframed towards hydrogen.</w:t>
      </w:r>
    </w:p>
    <w:p>
      <w:pPr>
        <w:spacing w:after="100"/>
      </w:pPr>
      <w:r>
        <w:rPr>
          <w:rFonts w:ascii="Calibri" w:cs="Calibri" w:eastAsia="Calibri" w:hAnsi="Calibri"/>
          <w:b/>
          <w:bCs/>
          <w:color w:val="1F3A5F"/>
          <w:sz w:val="20"/>
          <w:szCs w:val="20"/>
        </w:rPr>
        <w:t xml:space="preserve">What remains unclear. </w:t>
      </w:r>
      <w:r>
        <w:t xml:space="preserve">Status of proposed interconnectors and hydrogen corridors; the original scenario details.</w:t>
      </w:r>
    </w:p>
    <w:p>
      <w:pPr>
        <w:spacing w:after="100"/>
      </w:pPr>
      <w:r>
        <w:rPr>
          <w:rFonts w:ascii="Calibri" w:cs="Calibri" w:eastAsia="Calibri" w:hAnsi="Calibri"/>
          <w:b/>
          <w:bCs/>
          <w:color w:val="1F3A5F"/>
          <w:sz w:val="20"/>
          <w:szCs w:val="20"/>
        </w:rPr>
        <w:t xml:space="preserve">Why the available later publications are insufficient. </w:t>
      </w:r>
      <w:r>
        <w:t xml:space="preserve">Original PDF not opened; project statuses not verified.</w:t>
      </w:r>
    </w:p>
    <w:p>
      <w:pPr>
        <w:spacing w:after="100"/>
      </w:pPr>
      <w:r>
        <w:rPr>
          <w:rFonts w:ascii="Calibri" w:cs="Calibri" w:eastAsia="Calibri" w:hAnsi="Calibri"/>
          <w:b/>
          <w:bCs/>
          <w:color w:val="1F3A5F"/>
          <w:sz w:val="20"/>
          <w:szCs w:val="20"/>
        </w:rPr>
        <w:t xml:space="preserve">Evidence that would answer the question. </w:t>
      </w:r>
      <w:r>
        <w:t xml:space="preserve">Project and PCI/PMI status; IRENA capacity statistics; national hydrogen strategies.</w:t>
      </w:r>
    </w:p>
    <w:p>
      <w:pPr>
        <w:keepNext/>
        <w:spacing w:after="60" w:before="160"/>
      </w:pPr>
      <w:r>
        <w:rPr>
          <w:rFonts w:ascii="Calibri" w:cs="Calibri" w:eastAsia="Calibri" w:hAnsi="Calibri"/>
          <w:b/>
          <w:bCs/>
          <w:color w:val="1F3A5F"/>
          <w:spacing w:val="20"/>
          <w:sz w:val="17"/>
          <w:szCs w:val="17"/>
        </w:rPr>
        <w:t xml:space="preserve">SUGGESTED SEARCH TERMS</w:t>
      </w:r>
    </w:p>
    <w:p>
      <w:pPr>
        <w:pBdr>
          <w:left w:val="single" w:color="B8C2CC" w:sz="12" w:space="8"/>
        </w:pBdr>
        <w:shd w:fill="F2F4F6" w:color="auto" w:val="clear"/>
        <w:spacing w:after="60" w:before="40"/>
        <w:ind w:left="200" w:right="120"/>
      </w:pPr>
      <w:r>
        <w:rPr>
          <w:sz w:val="19"/>
          <w:szCs w:val="19"/>
        </w:rPr>
        <w:t xml:space="preserve">Mediterranean interconnectors PMI; ELMED Tunisia Italy; GREGY Egypt Greece</w:t>
      </w:r>
    </w:p>
    <w:p>
      <w:pPr>
        <w:pBdr>
          <w:left w:val="single" w:color="B8C2CC" w:sz="12" w:space="8"/>
        </w:pBdr>
        <w:shd w:fill="F2F4F6" w:color="auto" w:val="clear"/>
        <w:spacing w:after="60" w:before="0"/>
        <w:ind w:left="200" w:right="120"/>
      </w:pPr>
      <w:r>
        <w:rPr>
          <w:sz w:val="19"/>
          <w:szCs w:val="19"/>
        </w:rPr>
        <w:t xml:space="preserve">Xlinks Morocco UK decision; Desertec Dii hydrogen</w:t>
      </w:r>
    </w:p>
    <w:p>
      <w:pPr>
        <w:pBdr>
          <w:left w:val="single" w:color="B8C2CC" w:sz="12" w:space="8"/>
        </w:pBdr>
        <w:shd w:fill="F2F4F6" w:color="auto" w:val="clear"/>
        <w:spacing w:after="140" w:before="0"/>
        <w:ind w:left="200" w:right="120"/>
      </w:pPr>
      <w:r>
        <w:rPr>
          <w:sz w:val="19"/>
          <w:szCs w:val="19"/>
        </w:rPr>
        <w:t xml:space="preserve">green hydrogen Morocco Egypt export EU; SoutH2 corridor</w:t>
      </w:r>
    </w:p>
    <w:p>
      <w:pPr>
        <w:spacing w:after="100"/>
      </w:pPr>
      <w:r>
        <w:rPr>
          <w:rFonts w:ascii="Calibri" w:cs="Calibri" w:eastAsia="Calibri" w:hAnsi="Calibri"/>
          <w:b/>
          <w:bCs/>
          <w:color w:val="1F3A5F"/>
          <w:sz w:val="20"/>
          <w:szCs w:val="20"/>
        </w:rPr>
        <w:t xml:space="preserve">Useful institutions, monitoring sources and publication types. </w:t>
      </w:r>
      <w:r>
        <w:t xml:space="preserve">ENTSO-E TYNDP; Med-TSO; MEDREG; IRENA; Commission PCI/PMI lists.</w:t>
      </w:r>
    </w:p>
    <w:p>
      <w:pPr>
        <w:spacing w:after="100"/>
      </w:pPr>
      <w:r>
        <w:rPr>
          <w:rFonts w:ascii="Calibri" w:cs="Calibri" w:eastAsia="Calibri" w:hAnsi="Calibri"/>
          <w:b/>
          <w:bCs/>
          <w:color w:val="1F3A5F"/>
          <w:sz w:val="20"/>
          <w:szCs w:val="20"/>
        </w:rPr>
        <w:t xml:space="preserve">Search outcome so far. </w:t>
      </w:r>
      <w:r>
        <w:t xml:space="preserve">Reframing rather than absence: later work uses “hydrogen partnership” and “Mediterranean interconnectors”.</w:t>
      </w:r>
    </w:p>
    <w:p>
      <w:pPr>
        <w:spacing w:after="100"/>
      </w:pPr>
      <w:r>
        <w:rPr>
          <w:rFonts w:ascii="Calibri" w:cs="Calibri" w:eastAsia="Calibri" w:hAnsi="Calibri"/>
          <w:b/>
          <w:bCs/>
          <w:color w:val="1F3A5F"/>
          <w:sz w:val="20"/>
          <w:szCs w:val="20"/>
        </w:rPr>
        <w:t xml:space="preserve">Revisit. </w:t>
      </w:r>
      <w:r>
        <w:t xml:space="preserve">Revisit in 2031 and 2051.</w:t>
      </w:r>
    </w:p>
    <w:p>
      <w:r>
        <w:br w:type="page"/>
      </w:r>
    </w:p>
    <w:p>
      <w:pPr>
        <w:pStyle w:val="Heading2"/>
      </w:pPr>
      <w:r>
        <w:t xml:space="preserve">RG-17 — Claim 427 — A Europe-wide CO₂ transport network (2014)</w:t>
      </w:r>
    </w:p>
    <w:p>
      <w:pPr>
        <w:spacing w:after="100"/>
      </w:pPr>
      <w:r>
        <w:rPr>
          <w:rFonts w:ascii="Calibri" w:cs="Calibri" w:eastAsia="Calibri" w:hAnsi="Calibri"/>
          <w:b/>
          <w:bCs/>
          <w:color w:val="1F3A5F"/>
          <w:sz w:val="20"/>
          <w:szCs w:val="20"/>
        </w:rPr>
        <w:t xml:space="preserve">Original study. </w:t>
      </w:r>
      <w:r>
        <w:t xml:space="preserve">Stewart et al. (2014), </w:t>
      </w:r>
      <w:r>
        <w:rPr>
          <w:i/>
          <w:iCs/>
        </w:rPr>
        <w:t xml:space="preserve">Greenhouse Gases: Science and Technology</w:t>
      </w:r>
      <w:r>
        <w:t xml:space="preserve"> 4(4), 481–494. </w:t>
      </w:r>
      <w:hyperlink w:history="1" r:id="rIdhu3usfuurzwrfobs1hjlw">
        <w:r>
          <w:rPr>
            <w:rStyle w:val="Hyperlink"/>
          </w:rPr>
          <w:t xml:space="preserve">https://doi.org/10.1002/ghg.1410</w:t>
        </w:r>
      </w:hyperlink>
    </w:p>
    <w:p>
      <w:pPr>
        <w:spacing w:after="100"/>
      </w:pPr>
      <w:r>
        <w:rPr>
          <w:rFonts w:ascii="Calibri" w:cs="Calibri" w:eastAsia="Calibri" w:hAnsi="Calibri"/>
          <w:b/>
          <w:bCs/>
          <w:color w:val="1F3A5F"/>
          <w:sz w:val="20"/>
          <w:szCs w:val="20"/>
        </w:rPr>
        <w:t xml:space="preserve">Future claim. </w:t>
      </w:r>
      <w:r>
        <w:t xml:space="preserve">Extensive transboundary CO₂ pipeline networks needed even at low CCS deployment by 2030–2050.</w:t>
      </w:r>
    </w:p>
    <w:p>
      <w:pPr>
        <w:spacing w:after="100"/>
      </w:pPr>
      <w:r>
        <w:rPr>
          <w:rFonts w:ascii="Calibri" w:cs="Calibri" w:eastAsia="Calibri" w:hAnsi="Calibri"/>
          <w:b/>
          <w:bCs/>
          <w:color w:val="1F3A5F"/>
          <w:sz w:val="20"/>
          <w:szCs w:val="20"/>
        </w:rPr>
        <w:t xml:space="preserve">Related account. </w:t>
      </w:r>
      <w:r>
        <w:t xml:space="preserve">Account 03 in this review (new account).</w:t>
      </w:r>
    </w:p>
    <w:p>
      <w:pPr>
        <w:spacing w:after="100"/>
      </w:pPr>
      <w:r>
        <w:rPr>
          <w:rFonts w:ascii="Calibri" w:cs="Calibri" w:eastAsia="Calibri" w:hAnsi="Calibri"/>
          <w:b/>
          <w:bCs/>
          <w:color w:val="1F3A5F"/>
          <w:sz w:val="20"/>
          <w:szCs w:val="20"/>
        </w:rPr>
        <w:t xml:space="preserve">What is already known. </w:t>
      </w:r>
      <w:r>
        <w:t xml:space="preserve">Deployment delayed by about a decade; 50 Mt/yr injection target for 2030; Northern Lights operating since 2025 by ship.</w:t>
      </w:r>
    </w:p>
    <w:p>
      <w:pPr>
        <w:spacing w:after="100"/>
      </w:pPr>
      <w:r>
        <w:rPr>
          <w:rFonts w:ascii="Calibri" w:cs="Calibri" w:eastAsia="Calibri" w:hAnsi="Calibri"/>
          <w:b/>
          <w:bCs/>
          <w:color w:val="1F3A5F"/>
          <w:sz w:val="20"/>
          <w:szCs w:val="20"/>
        </w:rPr>
        <w:t xml:space="preserve">What remains unclear. </w:t>
      </w:r>
      <w:r>
        <w:t xml:space="preserve">Operational capacity totals; status of Porthos, Greensand, Aramis and UK clusters; CO₂ projects on the 2025 PCI/PMI list.</w:t>
      </w:r>
    </w:p>
    <w:p>
      <w:pPr>
        <w:spacing w:after="100"/>
      </w:pPr>
      <w:r>
        <w:rPr>
          <w:rFonts w:ascii="Calibri" w:cs="Calibri" w:eastAsia="Calibri" w:hAnsi="Calibri"/>
          <w:b/>
          <w:bCs/>
          <w:color w:val="1F3A5F"/>
          <w:sz w:val="20"/>
          <w:szCs w:val="20"/>
        </w:rPr>
        <w:t xml:space="preserve">Why the available later publications are insufficient. </w:t>
      </w:r>
      <w:r>
        <w:t xml:space="preserve">Project-level status beyond Northern Lights not verified.</w:t>
      </w:r>
    </w:p>
    <w:p>
      <w:pPr>
        <w:spacing w:after="100"/>
      </w:pPr>
      <w:r>
        <w:rPr>
          <w:rFonts w:ascii="Calibri" w:cs="Calibri" w:eastAsia="Calibri" w:hAnsi="Calibri"/>
          <w:b/>
          <w:bCs/>
          <w:color w:val="1F3A5F"/>
          <w:sz w:val="20"/>
          <w:szCs w:val="20"/>
        </w:rPr>
        <w:t xml:space="preserve">Evidence that would answer the question. </w:t>
      </w:r>
      <w:r>
        <w:t xml:space="preserve">Global CCS Institute status reports; IEA CCUS database; NZIA progress reporting.</w:t>
      </w:r>
    </w:p>
    <w:p>
      <w:pPr>
        <w:keepNext/>
        <w:spacing w:after="60" w:before="160"/>
      </w:pPr>
      <w:r>
        <w:rPr>
          <w:rFonts w:ascii="Calibri" w:cs="Calibri" w:eastAsia="Calibri" w:hAnsi="Calibri"/>
          <w:b/>
          <w:bCs/>
          <w:color w:val="1F3A5F"/>
          <w:spacing w:val="20"/>
          <w:sz w:val="17"/>
          <w:szCs w:val="17"/>
        </w:rPr>
        <w:t xml:space="preserve">SUGGESTED SEARCH TERMS</w:t>
      </w:r>
    </w:p>
    <w:p>
      <w:pPr>
        <w:pBdr>
          <w:left w:val="single" w:color="B8C2CC" w:sz="12" w:space="8"/>
        </w:pBdr>
        <w:shd w:fill="F2F4F6" w:color="auto" w:val="clear"/>
        <w:spacing w:after="60" w:before="40"/>
        <w:ind w:left="200" w:right="120"/>
      </w:pPr>
      <w:r>
        <w:rPr>
          <w:sz w:val="19"/>
          <w:szCs w:val="19"/>
        </w:rPr>
        <w:t xml:space="preserve">CO2 transport and storage PCI 2025; NZIA 50 Mt progress</w:t>
      </w:r>
    </w:p>
    <w:p>
      <w:pPr>
        <w:pBdr>
          <w:left w:val="single" w:color="B8C2CC" w:sz="12" w:space="8"/>
        </w:pBdr>
        <w:shd w:fill="F2F4F6" w:color="auto" w:val="clear"/>
        <w:spacing w:after="60" w:before="0"/>
        <w:ind w:left="200" w:right="120"/>
      </w:pPr>
      <w:r>
        <w:rPr>
          <w:sz w:val="19"/>
          <w:szCs w:val="19"/>
        </w:rPr>
        <w:t xml:space="preserve">Porthos operational; Greensand; Aramis</w:t>
      </w:r>
    </w:p>
    <w:p>
      <w:pPr>
        <w:pBdr>
          <w:left w:val="single" w:color="B8C2CC" w:sz="12" w:space="8"/>
        </w:pBdr>
        <w:shd w:fill="F2F4F6" w:color="auto" w:val="clear"/>
        <w:spacing w:after="140" w:before="0"/>
        <w:ind w:left="200" w:right="120"/>
      </w:pPr>
      <w:r>
        <w:rPr>
          <w:sz w:val="19"/>
          <w:szCs w:val="19"/>
        </w:rPr>
        <w:t xml:space="preserve">CO2 network regulation Commission 2026</w:t>
      </w:r>
    </w:p>
    <w:p>
      <w:pPr>
        <w:spacing w:after="100"/>
      </w:pPr>
      <w:r>
        <w:rPr>
          <w:rFonts w:ascii="Calibri" w:cs="Calibri" w:eastAsia="Calibri" w:hAnsi="Calibri"/>
          <w:b/>
          <w:bCs/>
          <w:color w:val="1F3A5F"/>
          <w:sz w:val="20"/>
          <w:szCs w:val="20"/>
        </w:rPr>
        <w:t xml:space="preserve">Useful institutions, monitoring sources and publication types. </w:t>
      </w:r>
      <w:r>
        <w:t xml:space="preserve">Global CCS Institute; IEA; CATF; Bellona; JRC.</w:t>
      </w:r>
    </w:p>
    <w:p>
      <w:pPr>
        <w:spacing w:after="100"/>
      </w:pPr>
      <w:r>
        <w:rPr>
          <w:rFonts w:ascii="Calibri" w:cs="Calibri" w:eastAsia="Calibri" w:hAnsi="Calibri"/>
          <w:b/>
          <w:bCs/>
          <w:color w:val="1F3A5F"/>
          <w:sz w:val="20"/>
          <w:szCs w:val="20"/>
        </w:rPr>
        <w:t xml:space="preserve">Search outcome so far. </w:t>
      </w:r>
      <w:r>
        <w:t xml:space="preserve">Unfinished searching.</w:t>
      </w:r>
    </w:p>
    <w:p>
      <w:pPr>
        <w:spacing w:after="100"/>
      </w:pPr>
      <w:r>
        <w:rPr>
          <w:rFonts w:ascii="Calibri" w:cs="Calibri" w:eastAsia="Calibri" w:hAnsi="Calibri"/>
          <w:b/>
          <w:bCs/>
          <w:color w:val="1F3A5F"/>
          <w:sz w:val="20"/>
          <w:szCs w:val="20"/>
        </w:rPr>
        <w:t xml:space="preserve">Revisit. </w:t>
      </w:r>
      <w:r>
        <w:t xml:space="preserve">Revisit in 2031 (NZIA target) and 2041.</w:t>
      </w:r>
    </w:p>
    <w:p>
      <w:r>
        <w:br w:type="page"/>
      </w:r>
    </w:p>
    <w:p>
      <w:pPr>
        <w:pStyle w:val="Heading2"/>
      </w:pPr>
      <w:r>
        <w:t xml:space="preserve">RG-18 — Claim 448 — Immigration and integration scenarios to 2050 (2013)</w:t>
      </w:r>
    </w:p>
    <w:p>
      <w:pPr>
        <w:spacing w:after="100"/>
      </w:pPr>
      <w:r>
        <w:rPr>
          <w:rFonts w:ascii="Calibri" w:cs="Calibri" w:eastAsia="Calibri" w:hAnsi="Calibri"/>
          <w:b/>
          <w:bCs/>
          <w:color w:val="1F3A5F"/>
          <w:sz w:val="20"/>
          <w:szCs w:val="20"/>
        </w:rPr>
        <w:t xml:space="preserve">Original study. </w:t>
      </w:r>
      <w:r>
        <w:t xml:space="preserve">Avramov (2013), </w:t>
      </w:r>
      <w:r>
        <w:rPr>
          <w:i/>
          <w:iCs/>
        </w:rPr>
        <w:t xml:space="preserve">Sociologija</w:t>
      </w:r>
      <w:r>
        <w:t xml:space="preserve"> 55(2), 169–186. </w:t>
      </w:r>
      <w:hyperlink w:history="1" r:id="rIdq4ajdsx1osaxu_3vbx5pe">
        <w:r>
          <w:rPr>
            <w:rStyle w:val="Hyperlink"/>
          </w:rPr>
          <w:t xml:space="preserve">https://doi.org/10.2298/SOC1302169A</w:t>
        </w:r>
      </w:hyperlink>
    </w:p>
    <w:p>
      <w:pPr>
        <w:spacing w:after="100"/>
      </w:pPr>
      <w:r>
        <w:rPr>
          <w:rFonts w:ascii="Calibri" w:cs="Calibri" w:eastAsia="Calibri" w:hAnsi="Calibri"/>
          <w:b/>
          <w:bCs/>
          <w:color w:val="1F3A5F"/>
          <w:sz w:val="20"/>
          <w:szCs w:val="20"/>
        </w:rPr>
        <w:t xml:space="preserve">Future claim. </w:t>
      </w:r>
      <w:r>
        <w:t xml:space="preserve">Compare migration hypotheses including a zero-immigration shock; combine integration scenarios with demographic and labour-market projections.</w:t>
      </w:r>
    </w:p>
    <w:p>
      <w:pPr>
        <w:spacing w:after="100"/>
      </w:pPr>
      <w:r>
        <w:rPr>
          <w:rFonts w:ascii="Calibri" w:cs="Calibri" w:eastAsia="Calibri" w:hAnsi="Calibri"/>
          <w:b/>
          <w:bCs/>
          <w:color w:val="1F3A5F"/>
          <w:sz w:val="20"/>
          <w:szCs w:val="20"/>
        </w:rPr>
        <w:t xml:space="preserve">Related account. </w:t>
      </w:r>
      <w:r>
        <w:t xml:space="preserve">Account 18 in this review (new account).</w:t>
      </w:r>
    </w:p>
    <w:p>
      <w:pPr>
        <w:spacing w:after="100"/>
      </w:pPr>
      <w:r>
        <w:rPr>
          <w:rFonts w:ascii="Calibri" w:cs="Calibri" w:eastAsia="Calibri" w:hAnsi="Calibri"/>
          <w:b/>
          <w:bCs/>
          <w:color w:val="1F3A5F"/>
          <w:sz w:val="20"/>
          <w:szCs w:val="20"/>
        </w:rPr>
        <w:t xml:space="preserve">What is already known. </w:t>
      </w:r>
      <w:r>
        <w:t xml:space="preserve">EU growth since 2013 entirely from migration; shocks dominated flows; official projections adopted no-migration variants; employment gap narrowed.</w:t>
      </w:r>
    </w:p>
    <w:p>
      <w:pPr>
        <w:spacing w:after="100"/>
      </w:pPr>
      <w:r>
        <w:rPr>
          <w:rFonts w:ascii="Calibri" w:cs="Calibri" w:eastAsia="Calibri" w:hAnsi="Calibri"/>
          <w:b/>
          <w:bCs/>
          <w:color w:val="1F3A5F"/>
          <w:sz w:val="20"/>
          <w:szCs w:val="20"/>
        </w:rPr>
        <w:t xml:space="preserve">What remains unclear. </w:t>
      </w:r>
      <w:r>
        <w:t xml:space="preserve">The article’s scenario details; implementation of the 2024 Pact on Migration and Asylum; integration indicators after 2024.</w:t>
      </w:r>
    </w:p>
    <w:p>
      <w:pPr>
        <w:spacing w:after="100"/>
      </w:pPr>
      <w:r>
        <w:rPr>
          <w:rFonts w:ascii="Calibri" w:cs="Calibri" w:eastAsia="Calibri" w:hAnsi="Calibri"/>
          <w:b/>
          <w:bCs/>
          <w:color w:val="1F3A5F"/>
          <w:sz w:val="20"/>
          <w:szCs w:val="20"/>
        </w:rPr>
        <w:t xml:space="preserve">Why the available later publications are insufficient. </w:t>
      </w:r>
      <w:r>
        <w:t xml:space="preserve">Original could not be opened; policy milestones not verified.</w:t>
      </w:r>
    </w:p>
    <w:p>
      <w:pPr>
        <w:spacing w:after="100"/>
      </w:pPr>
      <w:r>
        <w:rPr>
          <w:rFonts w:ascii="Calibri" w:cs="Calibri" w:eastAsia="Calibri" w:hAnsi="Calibri"/>
          <w:b/>
          <w:bCs/>
          <w:color w:val="1F3A5F"/>
          <w:sz w:val="20"/>
          <w:szCs w:val="20"/>
        </w:rPr>
        <w:t xml:space="preserve">Evidence that would answer the question. </w:t>
      </w:r>
      <w:r>
        <w:t xml:space="preserve">Full text; OECD/EU integration indicators; Pact implementation reports; next EUROPOP round.</w:t>
      </w:r>
    </w:p>
    <w:p>
      <w:pPr>
        <w:keepNext/>
        <w:spacing w:after="60" w:before="160"/>
      </w:pPr>
      <w:r>
        <w:rPr>
          <w:rFonts w:ascii="Calibri" w:cs="Calibri" w:eastAsia="Calibri" w:hAnsi="Calibri"/>
          <w:b/>
          <w:bCs/>
          <w:color w:val="1F3A5F"/>
          <w:spacing w:val="20"/>
          <w:sz w:val="17"/>
          <w:szCs w:val="17"/>
        </w:rPr>
        <w:t xml:space="preserve">SUGGESTED SEARCH TERMS</w:t>
      </w:r>
    </w:p>
    <w:p>
      <w:pPr>
        <w:pBdr>
          <w:left w:val="single" w:color="B8C2CC" w:sz="12" w:space="8"/>
        </w:pBdr>
        <w:shd w:fill="F2F4F6" w:color="auto" w:val="clear"/>
        <w:spacing w:after="60" w:before="40"/>
        <w:ind w:left="200" w:right="120"/>
      </w:pPr>
      <w:r>
        <w:rPr>
          <w:sz w:val="19"/>
          <w:szCs w:val="19"/>
        </w:rPr>
        <w:t xml:space="preserve">migration scenarios EU 2050; economic integration scenarios immigrants</w:t>
      </w:r>
    </w:p>
    <w:p>
      <w:pPr>
        <w:pBdr>
          <w:left w:val="single" w:color="B8C2CC" w:sz="12" w:space="8"/>
        </w:pBdr>
        <w:shd w:fill="F2F4F6" w:color="auto" w:val="clear"/>
        <w:spacing w:after="60" w:before="0"/>
        <w:ind w:left="200" w:right="120"/>
      </w:pPr>
      <w:r>
        <w:rPr>
          <w:sz w:val="19"/>
          <w:szCs w:val="19"/>
        </w:rPr>
        <w:t xml:space="preserve">labour force dependency ratio migration; CEPAM</w:t>
      </w:r>
    </w:p>
    <w:p>
      <w:pPr>
        <w:pBdr>
          <w:left w:val="single" w:color="B8C2CC" w:sz="12" w:space="8"/>
        </w:pBdr>
        <w:shd w:fill="F2F4F6" w:color="auto" w:val="clear"/>
        <w:spacing w:after="140" w:before="0"/>
        <w:ind w:left="200" w:right="120"/>
      </w:pPr>
      <w:r>
        <w:rPr>
          <w:sz w:val="19"/>
          <w:szCs w:val="19"/>
        </w:rPr>
        <w:t xml:space="preserve">Pact on Migration and Asylum implementation 2026</w:t>
      </w:r>
    </w:p>
    <w:p>
      <w:pPr>
        <w:spacing w:after="100"/>
      </w:pPr>
      <w:r>
        <w:rPr>
          <w:rFonts w:ascii="Calibri" w:cs="Calibri" w:eastAsia="Calibri" w:hAnsi="Calibri"/>
          <w:b/>
          <w:bCs/>
          <w:color w:val="1F3A5F"/>
          <w:sz w:val="20"/>
          <w:szCs w:val="20"/>
        </w:rPr>
        <w:t xml:space="preserve">Useful institutions, monitoring sources and publication types. </w:t>
      </w:r>
      <w:r>
        <w:t xml:space="preserve">Eurostat; JRC; IIASA/Wittgenstein Centre; OECD; EUAA.</w:t>
      </w:r>
    </w:p>
    <w:p>
      <w:pPr>
        <w:spacing w:after="100"/>
      </w:pPr>
      <w:r>
        <w:rPr>
          <w:rFonts w:ascii="Calibri" w:cs="Calibri" w:eastAsia="Calibri" w:hAnsi="Calibri"/>
          <w:b/>
          <w:bCs/>
          <w:color w:val="1F3A5F"/>
          <w:sz w:val="20"/>
          <w:szCs w:val="20"/>
        </w:rPr>
        <w:t xml:space="preserve">Search outcome so far. </w:t>
      </w:r>
      <w:r>
        <w:t xml:space="preserve">Access-limited, not genuine absence.</w:t>
      </w:r>
    </w:p>
    <w:p>
      <w:pPr>
        <w:spacing w:after="100"/>
      </w:pPr>
      <w:r>
        <w:rPr>
          <w:rFonts w:ascii="Calibri" w:cs="Calibri" w:eastAsia="Calibri" w:hAnsi="Calibri"/>
          <w:b/>
          <w:bCs/>
          <w:color w:val="1F3A5F"/>
          <w:sz w:val="20"/>
          <w:szCs w:val="20"/>
        </w:rPr>
        <w:t xml:space="preserve">Revisit. </w:t>
      </w:r>
      <w:r>
        <w:t xml:space="preserve">Revisit in 2030 and 2050.</w:t>
      </w:r>
    </w:p>
    <w:p>
      <w:r>
        <w:br w:type="page"/>
      </w:r>
    </w:p>
    <w:p>
      <w:pPr>
        <w:pStyle w:val="Heading1"/>
      </w:pPr>
      <w:r>
        <w:t xml:space="preserve">Appendix — Catalogued claims with no Scanner proposals</w:t>
      </w:r>
    </w:p>
    <w:p>
      <w:r>
        <w:t xml:space="preserve">The following 25 claims in VV-FUTURES-HISTORICAL-CLAIMS have neither a three-member group nor any pair-level candidate in VV-FUTURES-POSSIBLE-CONNECTIONS. They were not examined in this review. Their absence from the Scanner output reflects the matching process, not an absence of relevant research, and they are natural candidates for a deliberate Scanner 2 run.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000"/>
        <w:gridCol w:w="600"/>
        <w:gridCol w:w="5000"/>
        <w:gridCol w:w="2812"/>
      </w:tblGrid>
      <w:tr>
        <w:trPr>
          <w:cantSplit/>
          <w:tblHeader/>
        </w:trPr>
        <w:tc>
          <w:tcPr>
            <w:tcW w:type="dxa" w:w="10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w:t>
            </w:r>
          </w:p>
        </w:tc>
        <w:tc>
          <w:tcPr>
            <w:tcW w:type="dxa" w:w="6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Year</w:t>
            </w:r>
          </w:p>
        </w:tc>
        <w:tc>
          <w:tcPr>
            <w:tcW w:type="dxa" w:w="50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Title</w:t>
            </w:r>
          </w:p>
        </w:tc>
        <w:tc>
          <w:tcPr>
            <w:tcW w:type="dxa" w:w="2812"/>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Original study DOI</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061</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2021</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A Mismatch in Future Narratives? A Comparative Analysis Between Energy Futures in Policy and of Citizens</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bsyy_blrdtq9z-vjbzmgl">
              <w:r>
                <w:rPr>
                  <w:rStyle w:val="Hyperlink"/>
                  <w:b w:val="false"/>
                  <w:bCs w:val="false"/>
                  <w:sz w:val="16"/>
                  <w:szCs w:val="16"/>
                </w:rPr>
                <w:t xml:space="preserve">https://doi.org/10.3389/frsc.2021.654162</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065</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2021</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Anticipatory governance for newcomers: lessons learned from the UK, the Netherlands, Finland, and Korea</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jrsaovjhdo2pdin76qqlb">
              <w:r>
                <w:rPr>
                  <w:rStyle w:val="Hyperlink"/>
                  <w:b w:val="false"/>
                  <w:bCs w:val="false"/>
                  <w:sz w:val="16"/>
                  <w:szCs w:val="16"/>
                </w:rPr>
                <w:t xml:space="preserve">https://doi.org/10.1186/s40309-021-00179-y</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066</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2021</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Are Carbon Prices Redundant in the 2030 EU Climate and Energy Policy Package?</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cfc_npfp5_m9vtnocm9lu">
              <w:r>
                <w:rPr>
                  <w:rStyle w:val="Hyperlink"/>
                  <w:b w:val="false"/>
                  <w:bCs w:val="false"/>
                  <w:sz w:val="16"/>
                  <w:szCs w:val="16"/>
                </w:rPr>
                <w:t xml:space="preserve">https://doi.org/10.5547/01956574.42.3.faun</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070</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2021</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Burden of pancreatic cancer along with attributable risk factors in Europe between 1990 and 2019, and projections until 2039</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x7cj0hnwhr0u-w8xaj6fn">
              <w:r>
                <w:rPr>
                  <w:rStyle w:val="Hyperlink"/>
                  <w:b w:val="false"/>
                  <w:bCs w:val="false"/>
                  <w:sz w:val="16"/>
                  <w:szCs w:val="16"/>
                </w:rPr>
                <w:t xml:space="preserve">https://doi.org/10.1002/ijc.33617</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076</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2021</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Cross-border climate vulnerabilities of the European Union to drought</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vkqqxrwzcya8gipft0fsp">
              <w:r>
                <w:rPr>
                  <w:rStyle w:val="Hyperlink"/>
                  <w:b w:val="false"/>
                  <w:bCs w:val="false"/>
                  <w:sz w:val="16"/>
                  <w:szCs w:val="16"/>
                </w:rPr>
                <w:t xml:space="preserve">https://doi.org/10.1038/s41467-021-23584-0</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081</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2021</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EU climate and energy governance in times of crisis: towards a new agenda</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t2udh0rw9nvkhokzcdfqk">
              <w:r>
                <w:rPr>
                  <w:rStyle w:val="Hyperlink"/>
                  <w:b w:val="false"/>
                  <w:bCs w:val="false"/>
                  <w:sz w:val="16"/>
                  <w:szCs w:val="16"/>
                </w:rPr>
                <w:t xml:space="preserve">https://doi.org/10.1080/13501763.2021.1918221</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089</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2021</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Fiscal foresighting: analysis of researches</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ns2_ofjh1fvapkxnm2tlo">
              <w:r>
                <w:rPr>
                  <w:rStyle w:val="Hyperlink"/>
                  <w:b w:val="false"/>
                  <w:bCs w:val="false"/>
                  <w:sz w:val="16"/>
                  <w:szCs w:val="16"/>
                </w:rPr>
                <w:t xml:space="preserve">https://doi.org/10.15407/econindustry2021.02.071</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091</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2021</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Foresight as a tool of public administration in the field of science, technology and innovation</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c_6jygguvc1er7nbkwu2">
              <w:r>
                <w:rPr>
                  <w:rStyle w:val="Hyperlink"/>
                  <w:b w:val="false"/>
                  <w:bCs w:val="false"/>
                  <w:sz w:val="16"/>
                  <w:szCs w:val="16"/>
                </w:rPr>
                <w:t xml:space="preserve">https://doi.org/10.23939/eem2021.01.090</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093</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2021</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Future Precipitation Scenarios over Italy</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02u5wg4i_clmluiye38s">
              <w:r>
                <w:rPr>
                  <w:rStyle w:val="Hyperlink"/>
                  <w:b w:val="false"/>
                  <w:bCs w:val="false"/>
                  <w:sz w:val="16"/>
                  <w:szCs w:val="16"/>
                </w:rPr>
                <w:t xml:space="preserve">https://doi.org/10.3390/w13101335</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097</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2021</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Imagining the future with citizens: participatory foresight and democratic policy design in Marcoussis, France</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mh58atl2pk7ynoxkai88a">
              <w:r>
                <w:rPr>
                  <w:rStyle w:val="Hyperlink"/>
                  <w:b w:val="false"/>
                  <w:bCs w:val="false"/>
                  <w:sz w:val="16"/>
                  <w:szCs w:val="16"/>
                </w:rPr>
                <w:t xml:space="preserve">https://doi.org/10.1080/25741292.2021.1930687</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101</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2021</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Is clean energy contested? Exploring which issues matter to stakeholders in the European Green Deal</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4jr_gvntdwckbjkqnty82">
              <w:r>
                <w:rPr>
                  <w:rStyle w:val="Hyperlink"/>
                  <w:b w:val="false"/>
                  <w:bCs w:val="false"/>
                  <w:sz w:val="16"/>
                  <w:szCs w:val="16"/>
                </w:rPr>
                <w:t xml:space="preserve">https://doi.org/10.1016/j.erss.2021.102083</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103</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2021</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Long‐term trends of Nordic power market: A review</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jezfag73pn-sh4-muwous">
              <w:r>
                <w:rPr>
                  <w:rStyle w:val="Hyperlink"/>
                  <w:b w:val="false"/>
                  <w:bCs w:val="false"/>
                  <w:sz w:val="16"/>
                  <w:szCs w:val="16"/>
                </w:rPr>
                <w:t xml:space="preserve">https://doi.org/10.1002/wene.413</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105</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2021</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Modelling the European Union Sustainability Transition: A Soft-Linking Approach</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lwpd_igfzmjcyxrjza8yo">
              <w:r>
                <w:rPr>
                  <w:rStyle w:val="Hyperlink"/>
                  <w:b w:val="false"/>
                  <w:bCs w:val="false"/>
                  <w:sz w:val="16"/>
                  <w:szCs w:val="16"/>
                </w:rPr>
                <w:t xml:space="preserve">https://doi.org/10.3390/su13116303</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110</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2021</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Regional growth and disparities in a post‐COVID Europe: A new normality scenario</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xlp5sz6som8wirtndwjbz">
              <w:r>
                <w:rPr>
                  <w:rStyle w:val="Hyperlink"/>
                  <w:b w:val="false"/>
                  <w:bCs w:val="false"/>
                  <w:sz w:val="16"/>
                  <w:szCs w:val="16"/>
                </w:rPr>
                <w:t xml:space="preserve">https://doi.org/10.1111/jors.12542</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111</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2021</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Scenario Forecasting of Agriculture Institutional Transformation on Sustainable Development Base</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ibjwa-q6epxlishjjvnr0">
              <w:r>
                <w:rPr>
                  <w:rStyle w:val="Hyperlink"/>
                  <w:b w:val="false"/>
                  <w:bCs w:val="false"/>
                  <w:sz w:val="16"/>
                  <w:szCs w:val="16"/>
                </w:rPr>
                <w:t xml:space="preserve">https://doi.org/10.37394/232015.2021.17.55</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117</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2021</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Sociotechnical imaginaries of a secure future</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ooachseq1ts0mmhpybmzw">
              <w:r>
                <w:rPr>
                  <w:rStyle w:val="Hyperlink"/>
                  <w:b w:val="false"/>
                  <w:bCs w:val="false"/>
                  <w:sz w:val="16"/>
                  <w:szCs w:val="16"/>
                </w:rPr>
                <w:t xml:space="preserve">https://doi.org/10.1186/s40309-021-00176-1</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118</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2021</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Strategic European Integration Scenarios of Ukrainian and Polish Research, Education and Innovation Spaces</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pv-1pgom1ifoeisa6v0vq">
              <w:r>
                <w:rPr>
                  <w:rStyle w:val="Hyperlink"/>
                  <w:b w:val="false"/>
                  <w:bCs w:val="false"/>
                  <w:sz w:val="16"/>
                  <w:szCs w:val="16"/>
                </w:rPr>
                <w:t xml:space="preserve">https://doi.org/10.34021/ve.2021.04.02(1</w:t>
              </w:r>
            </w:hyperlink>
            <w:r>
              <w:rPr>
                <w:b w:val="false"/>
                <w:bCs w:val="false"/>
                <w:sz w:val="16"/>
                <w:szCs w:val="16"/>
              </w:rPr>
              <w:t xml:space="preserve">)</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123</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2021</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The Selection of Intermodal Transport System Scenarios in the Function of Southeastern Europe Regional Development</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wurmlrm-slw2ximr4brts">
              <w:r>
                <w:rPr>
                  <w:rStyle w:val="Hyperlink"/>
                  <w:b w:val="false"/>
                  <w:bCs w:val="false"/>
                  <w:sz w:val="16"/>
                  <w:szCs w:val="16"/>
                </w:rPr>
                <w:t xml:space="preserve">https://doi.org/10.3390/su13105590</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130</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2021</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Where is the EU headed given its current climate policy? A stakeholder-driven model inter-comparison</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tro-4auj6i_qavnrjw9kv">
              <w:r>
                <w:rPr>
                  <w:rStyle w:val="Hyperlink"/>
                  <w:b w:val="false"/>
                  <w:bCs w:val="false"/>
                  <w:sz w:val="16"/>
                  <w:szCs w:val="16"/>
                </w:rPr>
                <w:t xml:space="preserve">https://doi.org/10.1016/j.scitotenv.2021.148549</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131</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2020</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A Game for All Seasons: Lessons and Learnings from the JRC's Scenario Exploration System</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ayclhvtin_tpfxhlrv3lu">
              <w:r>
                <w:rPr>
                  <w:rStyle w:val="Hyperlink"/>
                  <w:b w:val="false"/>
                  <w:bCs w:val="false"/>
                  <w:sz w:val="16"/>
                  <w:szCs w:val="16"/>
                </w:rPr>
                <w:t xml:space="preserve">https://doi.org/10.1177/1946756719890524</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208</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2019</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Innovation policy and international relations: directions for EU diplomacy</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lq_iyogkhhwmj39nhgth8">
              <w:r>
                <w:rPr>
                  <w:rStyle w:val="Hyperlink"/>
                  <w:b w:val="false"/>
                  <w:bCs w:val="false"/>
                  <w:sz w:val="16"/>
                  <w:szCs w:val="16"/>
                </w:rPr>
                <w:t xml:space="preserve">https://doi.org/10.1186/s40309-019-0156-1</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278</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2017</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Conditional forecasts of tourism exports and tourism export prices of the EU-15 within a global vector autoregression framework</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9vdem6safrddeodsduth5">
              <w:r>
                <w:rPr>
                  <w:rStyle w:val="Hyperlink"/>
                  <w:b w:val="false"/>
                  <w:bCs w:val="false"/>
                  <w:sz w:val="16"/>
                  <w:szCs w:val="16"/>
                </w:rPr>
                <w:t xml:space="preserve">https://doi.org/10.1108/jtf-01-2017-0001</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282</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2017</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Exploring scenario guided pathways for food assistance in Tuscany</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zp5a8cutxjwz6n3mezryv">
              <w:r>
                <w:rPr>
                  <w:rStyle w:val="Hyperlink"/>
                  <w:b w:val="false"/>
                  <w:bCs w:val="false"/>
                  <w:sz w:val="16"/>
                  <w:szCs w:val="16"/>
                </w:rPr>
                <w:t xml:space="preserve">https://doi.org/10.13128/bae-18520</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417</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2014</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Neglected futures. Considering overlooked poverty in Europe</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wosyanovbaxo3qmw3edrj">
              <w:r>
                <w:rPr>
                  <w:rStyle w:val="Hyperlink"/>
                  <w:b w:val="false"/>
                  <w:bCs w:val="false"/>
                  <w:sz w:val="16"/>
                  <w:szCs w:val="16"/>
                </w:rPr>
                <w:t xml:space="preserve">https://doi.org/10.1007/s40309-014-0057-2</w:t>
              </w:r>
            </w:hyperlink>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432</w:t>
            </w:r>
          </w:p>
        </w:tc>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2014</w:t>
            </w:r>
          </w:p>
        </w:tc>
        <w:tc>
          <w:tcPr>
            <w:tcW w:type="dxa" w:w="5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Two futures: EU-Russia relations in the context of Ukraine.</w:t>
            </w:r>
          </w:p>
        </w:tc>
        <w:tc>
          <w:tcPr>
            <w:tcW w:type="dxa" w:w="2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hyperlink w:history="1" r:id="rIdhokin7wpahznmpceig_a8">
              <w:r>
                <w:rPr>
                  <w:rStyle w:val="Hyperlink"/>
                  <w:b w:val="false"/>
                  <w:bCs w:val="false"/>
                  <w:sz w:val="16"/>
                  <w:szCs w:val="16"/>
                </w:rPr>
                <w:t xml:space="preserve">https://doi.org/10.1007/s40309-014-0052-7</w:t>
              </w:r>
            </w:hyperlink>
          </w:p>
        </w:tc>
      </w:tr>
    </w:tbl>
    <w:p>
      <w:r>
        <w:br w:type="page"/>
      </w:r>
    </w:p>
    <w:p>
      <w:pPr>
        <w:pStyle w:val="Heading1"/>
      </w:pPr>
      <w:r>
        <w:t>Research addendum | retrospective evidence update</w:t>
      </w:r>
    </w:p>
    <w:p>
      <w:pPr/>
      <w:r>
        <w:t>Companion evidence synthesis, 28 October 2026. Added to the existing 24 October review without removing or changing earlier source or review records.</w:t>
      </w:r>
    </w:p>
    <w:p>
      <w:r>
        <w:t>This addendum was prepared from the evidence handoff and uses stable claim IDs. It is not a new scanner run, does not change any historical paper, and does not turn provisional comparisons into formally verified outcomes.</w:t>
      </w:r>
    </w:p>
    <w:p>
      <w:r>
        <w:t>Evidence cutoff: 28 October 2026. The newer retrospective includes 32 research comparisons and 152 later-source notes. Original-study and later-source verification varies. The 63-account editorial audit is primarily a consistency review: 44 accounts received metadata/internal-consistency assessment only, and only 12 had selected independent web spot-checks in that research pass.</w:t>
      </w:r>
    </w:p>
    <w:p>
      <w:r>
        <w:t>Status distribution: 17 premature; 7 mixed; 6 not directly testable; 1 supported; 1 unresolved. None should be interpreted as a statistical estimate of foresight accuracy.</w:t>
      </w:r>
    </w:p>
    <w:p>
      <w:r>
        <w:t>All material originally contained in this 24 October document precedes this addendum and remains intact. Newer judgments should be read alongside, not mistaken for silent corrections of, the earlier review.</w:t>
      </w:r>
    </w:p>
    <w:p>
      <w:pPr>
        <w:pStyle w:val="Heading1"/>
      </w:pPr>
      <w:r>
        <w:t>Priority questions emerging from the later retrospective</w:t>
      </w:r>
    </w:p>
    <w:p>
      <w:r>
        <w:t>These twenty questions extend, and sometimes overlap, the earlier unresolved-questions register. They do not close or replace the 24 October gaps. The research indicates what data would be needed for an empirical conclusion; several original forecast horizons remain ahead.</w:t>
      </w:r>
    </w:p>
    <w:p>
      <w:pPr>
        <w:pStyle w:val="Heading2"/>
      </w:pPr>
      <w:r>
        <w:t>GAP-01 | How far away is hydrogen? Its role in the medium and long-term decarbonisation of the European energy system (2015)</w:t>
      </w:r>
    </w:p>
    <w:p>
      <w:r>
        <w:rPr>
          <w:b/>
          <w:color w:val="1F414B"/>
        </w:rPr>
        <w:t xml:space="preserve">Original study and stable ID: </w:t>
      </w:r>
      <w:r>
        <w:t>claim-af58b0bea2ac0aaa | https://doi.org/10.1016/j.ijhydene.2015.09.004</w:t>
      </w:r>
    </w:p>
    <w:p>
      <w:r>
        <w:rPr>
          <w:b/>
          <w:color w:val="1F414B"/>
        </w:rPr>
        <w:t xml:space="preserve">Corresponding research case: </w:t>
      </w:r>
      <w:r>
        <w:t>P26-01</w:t>
      </w:r>
    </w:p>
    <w:p>
      <w:r>
        <w:rPr>
          <w:b/>
          <w:color w:val="1F414B"/>
        </w:rPr>
        <w:t xml:space="preserve">Unanswered question: </w:t>
      </w:r>
      <w:r>
        <w:t>What share of the EU hydrogen project pipeline reaches commissioned production before 2030?</w:t>
      </w:r>
    </w:p>
    <w:p>
      <w:r>
        <w:rPr>
          <w:b/>
          <w:color w:val="1F414B"/>
        </w:rPr>
        <w:t xml:space="preserve">Scientific importance: </w:t>
      </w:r>
      <w:r>
        <w:t>Unresolved mechanism or horizon in hydrogen; separating scenarios from realised effects has broad explanatory value.</w:t>
      </w:r>
    </w:p>
    <w:p>
      <w:r>
        <w:rPr>
          <w:b/>
          <w:color w:val="1F414B"/>
        </w:rPr>
        <w:t xml:space="preserve">Missing observations: </w:t>
      </w:r>
      <w:r>
        <w:t>Operational electrolyser MW, audited production, final investment decisions and signed offtake by state</w:t>
      </w:r>
    </w:p>
    <w:p>
      <w:r>
        <w:rPr>
          <w:b/>
          <w:color w:val="1F414B"/>
        </w:rPr>
        <w:t xml:space="preserve">Proposed follow-up investigation: </w:t>
      </w:r>
      <w:r>
        <w:t>Compare ACER annual installed capacity, JRC tracking and independent market data to original carbon-cap scenario; separate EU from wider-Europe and input from output MW.</w:t>
      </w:r>
    </w:p>
    <w:p>
      <w:pPr>
        <w:pStyle w:val="Heading2"/>
      </w:pPr>
      <w:r>
        <w:t>GAP-02 | Backcasting scenarios for Finland 2050 of low emissions (2012)</w:t>
      </w:r>
    </w:p>
    <w:p>
      <w:r>
        <w:rPr>
          <w:b/>
          <w:color w:val="1F414B"/>
        </w:rPr>
        <w:t xml:space="preserve">Original study and stable ID: </w:t>
      </w:r>
      <w:r>
        <w:t>claim-93d981a3ef93589e | https://doi.org/10.1108/14636681211256099</w:t>
      </w:r>
    </w:p>
    <w:p>
      <w:r>
        <w:rPr>
          <w:b/>
          <w:color w:val="1F414B"/>
        </w:rPr>
        <w:t xml:space="preserve">Corresponding research case: </w:t>
      </w:r>
      <w:r>
        <w:t>R24-13</w:t>
      </w:r>
    </w:p>
    <w:p>
      <w:r>
        <w:rPr>
          <w:b/>
          <w:color w:val="1F414B"/>
        </w:rPr>
        <w:t xml:space="preserve">Unanswered question: </w:t>
      </w:r>
      <w:r>
        <w:t>Will Finland meet 2035 net-zero once land-use emissions are included?</w:t>
      </w:r>
    </w:p>
    <w:p>
      <w:r>
        <w:rPr>
          <w:b/>
          <w:color w:val="1F414B"/>
        </w:rPr>
        <w:t xml:space="preserve">Scientific importance: </w:t>
      </w:r>
      <w:r>
        <w:t>Unresolved mechanism or horizon in decarbonisation / finland; separating scenarios from realised effects has broad explanatory value.</w:t>
      </w:r>
    </w:p>
    <w:p>
      <w:r>
        <w:rPr>
          <w:b/>
          <w:color w:val="1F414B"/>
        </w:rPr>
        <w:t xml:space="preserve">Missing observations: </w:t>
      </w:r>
      <w:r>
        <w:t>Inventories through 2035 with consistent annual LULUCF estimates</w:t>
      </w:r>
    </w:p>
    <w:p>
      <w:r>
        <w:rPr>
          <w:b/>
          <w:color w:val="1F414B"/>
        </w:rPr>
        <w:t xml:space="preserve">Proposed follow-up investigation: </w:t>
      </w:r>
      <w:r>
        <w:t>Audit Statistics Finland revised inventory and Luke forest sink, stress-test harvest and land-area assumptions; compare net versus non-land-use pathways.</w:t>
      </w:r>
    </w:p>
    <w:p>
      <w:pPr>
        <w:pStyle w:val="Heading2"/>
      </w:pPr>
      <w:r>
        <w:t>GAP-03 | 2022 Strategic Foresight Report: Twinning the green and digital transitions in the new geopolitical context (2022)</w:t>
      </w:r>
    </w:p>
    <w:p>
      <w:r>
        <w:rPr>
          <w:b/>
          <w:color w:val="1F414B"/>
        </w:rPr>
        <w:t xml:space="preserve">Original study and stable ID: </w:t>
      </w:r>
      <w:r>
        <w:t>report-3eff29ec207eb208 | https://commission.europa.eu/strategy-and-policy/strategic-foresight/2022-strategic-foresight-report_en</w:t>
      </w:r>
    </w:p>
    <w:p>
      <w:r>
        <w:rPr>
          <w:b/>
          <w:color w:val="1F414B"/>
        </w:rPr>
        <w:t xml:space="preserve">Corresponding research case: </w:t>
      </w:r>
      <w:r>
        <w:t>P26-03</w:t>
      </w:r>
    </w:p>
    <w:p>
      <w:r>
        <w:rPr>
          <w:b/>
          <w:color w:val="1F414B"/>
        </w:rPr>
        <w:t xml:space="preserve">Unanswered question: </w:t>
      </w:r>
      <w:r>
        <w:t>Do CRMA strategic projects measurably reduce single-country supply concentration by 2030?</w:t>
      </w:r>
    </w:p>
    <w:p>
      <w:r>
        <w:rPr>
          <w:b/>
          <w:color w:val="1F414B"/>
        </w:rPr>
        <w:t xml:space="preserve">Scientific importance: </w:t>
      </w:r>
      <w:r>
        <w:t>Unresolved mechanism or horizon in critical raw materials; separating scenarios from realised effects has broad explanatory value.</w:t>
      </w:r>
    </w:p>
    <w:p>
      <w:r>
        <w:rPr>
          <w:b/>
          <w:color w:val="1F414B"/>
        </w:rPr>
        <w:t xml:space="preserve">Missing observations: </w:t>
      </w:r>
      <w:r>
        <w:t>Material-specific imports and actual operating extraction/processing capacity</w:t>
      </w:r>
    </w:p>
    <w:p>
      <w:r>
        <w:rPr>
          <w:b/>
          <w:color w:val="1F414B"/>
        </w:rPr>
        <w:t xml:space="preserve">Proposed follow-up investigation: </w:t>
      </w:r>
      <w:r>
        <w:t>Follow ECA special report 04/2026; build material-level data for 17 strategic minerals and track operating rather than designated capacity.</w:t>
      </w:r>
    </w:p>
    <w:p>
      <w:pPr>
        <w:pStyle w:val="Heading2"/>
      </w:pPr>
      <w:r>
        <w:t>GAP-04 | The European Unions Strategic Gas Supply Options and the Prevalence of the Southern Corridor (2013)</w:t>
      </w:r>
    </w:p>
    <w:p>
      <w:r>
        <w:rPr>
          <w:b/>
          <w:color w:val="1F414B"/>
        </w:rPr>
        <w:t xml:space="preserve">Original study and stable ID: </w:t>
      </w:r>
      <w:r>
        <w:t>claim-c8bd592f750e834c | https://doi.org/10.54648/eerr2013040</w:t>
      </w:r>
    </w:p>
    <w:p>
      <w:r>
        <w:rPr>
          <w:b/>
          <w:color w:val="1F414B"/>
        </w:rPr>
        <w:t xml:space="preserve">Corresponding research case: </w:t>
      </w:r>
      <w:r>
        <w:t>R24-01</w:t>
      </w:r>
    </w:p>
    <w:p>
      <w:r>
        <w:rPr>
          <w:b/>
          <w:color w:val="1F414B"/>
        </w:rPr>
        <w:t xml:space="preserve">Unanswered question: </w:t>
      </w:r>
      <w:r>
        <w:t>Which mechanism explains the 2013 gas-demand forecast divergence?</w:t>
      </w:r>
    </w:p>
    <w:p>
      <w:r>
        <w:rPr>
          <w:b/>
          <w:color w:val="1F414B"/>
        </w:rPr>
        <w:t xml:space="preserve">Scientific importance: </w:t>
      </w:r>
      <w:r>
        <w:t>Unresolved mechanism or horizon in gas security; separating scenarios from realised effects has broad explanatory value.</w:t>
      </w:r>
    </w:p>
    <w:p>
      <w:r>
        <w:rPr>
          <w:b/>
          <w:color w:val="1F414B"/>
        </w:rPr>
        <w:t xml:space="preserve">Missing observations: </w:t>
      </w:r>
      <w:r>
        <w:t>Original paper full-text demand/import model and matched EU gas balance through 2030</w:t>
      </w:r>
    </w:p>
    <w:p>
      <w:r>
        <w:rPr>
          <w:b/>
          <w:color w:val="1F414B"/>
        </w:rPr>
        <w:t xml:space="preserve">Proposed follow-up investigation: </w:t>
      </w:r>
      <w:r>
        <w:t>Retrieve Kluwer full paper and historical EU consumption/production balance; isolate changing consumption, production and supplier concentration.</w:t>
      </w:r>
    </w:p>
    <w:p>
      <w:pPr>
        <w:pStyle w:val="Heading2"/>
      </w:pPr>
      <w:r>
        <w:t>GAP-05 | The feasibility of a European‐wide integrated CO 2 transport network (2014)</w:t>
      </w:r>
    </w:p>
    <w:p>
      <w:r>
        <w:rPr>
          <w:b/>
          <w:color w:val="1F414B"/>
        </w:rPr>
        <w:t xml:space="preserve">Original study and stable ID: </w:t>
      </w:r>
      <w:r>
        <w:t>claim-29bd38aa3695dbd3 | https://doi.org/10.1002/ghg.1410</w:t>
      </w:r>
    </w:p>
    <w:p>
      <w:r>
        <w:rPr>
          <w:b/>
          <w:color w:val="1F414B"/>
        </w:rPr>
        <w:t xml:space="preserve">Corresponding research case: </w:t>
      </w:r>
      <w:r>
        <w:t>R24-03</w:t>
      </w:r>
    </w:p>
    <w:p>
      <w:r>
        <w:rPr>
          <w:b/>
          <w:color w:val="1F414B"/>
        </w:rPr>
        <w:t xml:space="preserve">Unanswered question: </w:t>
      </w:r>
      <w:r>
        <w:t>How much physical EU CO2 storage and cross-border transport will exist by 2030?</w:t>
      </w:r>
    </w:p>
    <w:p>
      <w:r>
        <w:rPr>
          <w:b/>
          <w:color w:val="1F414B"/>
        </w:rPr>
        <w:t xml:space="preserve">Scientific importance: </w:t>
      </w:r>
      <w:r>
        <w:t>Unresolved mechanism or horizon in co2 transport / ccs; separating scenarios from realised effects has broad explanatory value.</w:t>
      </w:r>
    </w:p>
    <w:p>
      <w:r>
        <w:rPr>
          <w:b/>
          <w:color w:val="1F414B"/>
        </w:rPr>
        <w:t xml:space="preserve">Missing observations: </w:t>
      </w:r>
      <w:r>
        <w:t>Operational injection Mt/year and transboundary connected network lengths</w:t>
      </w:r>
    </w:p>
    <w:p>
      <w:r>
        <w:rPr>
          <w:b/>
          <w:color w:val="1F414B"/>
        </w:rPr>
        <w:t xml:space="preserve">Proposed follow-up investigation: </w:t>
      </w:r>
      <w:r>
        <w:t>Audit Northern Lights and EU projects annually; distinguish 50 Mt 2030 legal goal from installed injection and delivered storage.</w:t>
      </w:r>
    </w:p>
    <w:p>
      <w:pPr>
        <w:pStyle w:val="Heading2"/>
      </w:pPr>
      <w:r>
        <w:t>GAP-06 | Scenarios for renewable energy deployment in North African countries and electricity exchange with Europe – A modelbased analysis for 2050 (2014)</w:t>
      </w:r>
    </w:p>
    <w:p>
      <w:r>
        <w:rPr>
          <w:b/>
          <w:color w:val="1F414B"/>
        </w:rPr>
        <w:t xml:space="preserve">Original study and stable ID: </w:t>
      </w:r>
      <w:r>
        <w:t>claim-b2a08bb4b054505c | https://doi.org/10.12720/sgce.3.3.299-306</w:t>
      </w:r>
    </w:p>
    <w:p>
      <w:r>
        <w:rPr>
          <w:b/>
          <w:color w:val="1F414B"/>
        </w:rPr>
        <w:t xml:space="preserve">Corresponding research case: </w:t>
      </w:r>
      <w:r>
        <w:t>R24-02</w:t>
      </w:r>
    </w:p>
    <w:p>
      <w:r>
        <w:rPr>
          <w:b/>
          <w:color w:val="1F414B"/>
        </w:rPr>
        <w:t xml:space="preserve">Unanswered question: </w:t>
      </w:r>
      <w:r>
        <w:t>Did North Africa-to-Europe electricity exports lag because of political, economic or technical constraints?</w:t>
      </w:r>
    </w:p>
    <w:p>
      <w:r>
        <w:rPr>
          <w:b/>
          <w:color w:val="1F414B"/>
        </w:rPr>
        <w:t xml:space="preserve">Scientific importance: </w:t>
      </w:r>
      <w:r>
        <w:t>Unresolved mechanism or horizon in energy interconnection; separating scenarios from realised effects has broad explanatory value.</w:t>
      </w:r>
    </w:p>
    <w:p>
      <w:r>
        <w:rPr>
          <w:b/>
          <w:color w:val="1F414B"/>
        </w:rPr>
        <w:t xml:space="preserve">Missing observations: </w:t>
      </w:r>
      <w:r>
        <w:t>Regional generation/transmission and interconnector energy flows by origin</w:t>
      </w:r>
    </w:p>
    <w:p>
      <w:r>
        <w:rPr>
          <w:b/>
          <w:color w:val="1F414B"/>
        </w:rPr>
        <w:t xml:space="preserve">Proposed follow-up investigation: </w:t>
      </w:r>
      <w:r>
        <w:t>Rebuild 2014 four scenarios and compare plant additions and cross-border traded MWh for each country; separate proposed cables and hydrogen trade.</w:t>
      </w:r>
    </w:p>
    <w:p>
      <w:pPr>
        <w:pStyle w:val="Heading2"/>
      </w:pPr>
      <w:r>
        <w:t>GAP-07 | Suitability of European climate for the Asian tiger mosquito Aedes albopictus : recent trends and future scenarios (2012)</w:t>
      </w:r>
    </w:p>
    <w:p>
      <w:r>
        <w:rPr>
          <w:b/>
          <w:color w:val="1F414B"/>
        </w:rPr>
        <w:t xml:space="preserve">Original study and stable ID: </w:t>
      </w:r>
      <w:r>
        <w:t>claim-e0f3cbcdc25788f2 | https://doi.org/10.1098/rsif.2012.0138</w:t>
      </w:r>
    </w:p>
    <w:p>
      <w:r>
        <w:rPr>
          <w:b/>
          <w:color w:val="1F414B"/>
        </w:rPr>
        <w:t xml:space="preserve">Corresponding research case: </w:t>
      </w:r>
      <w:r>
        <w:t>R24-10</w:t>
      </w:r>
    </w:p>
    <w:p>
      <w:r>
        <w:rPr>
          <w:b/>
          <w:color w:val="1F414B"/>
        </w:rPr>
        <w:t xml:space="preserve">Unanswered question: </w:t>
      </w:r>
      <w:r>
        <w:t>How well did the 2012 mosquito model forecast regional establishment when trade and surveillance are controlled?</w:t>
      </w:r>
    </w:p>
    <w:p>
      <w:r>
        <w:rPr>
          <w:b/>
          <w:color w:val="1F414B"/>
        </w:rPr>
        <w:t xml:space="preserve">Scientific importance: </w:t>
      </w:r>
      <w:r>
        <w:t>Unresolved mechanism or horizon in vector-borne disease; separating scenarios from realised effects has broad explanatory value.</w:t>
      </w:r>
    </w:p>
    <w:p>
      <w:r>
        <w:rPr>
          <w:b/>
          <w:color w:val="1F414B"/>
        </w:rPr>
        <w:t xml:space="preserve">Missing observations: </w:t>
      </w:r>
      <w:r>
        <w:t>Comparable 2012 predicted suitability grids, 2026 surveillance unit boundaries and introduction rates</w:t>
      </w:r>
    </w:p>
    <w:p>
      <w:r>
        <w:rPr>
          <w:b/>
          <w:color w:val="1F414B"/>
        </w:rPr>
        <w:t xml:space="preserve">Proposed follow-up investigation: </w:t>
      </w:r>
      <w:r>
        <w:t>Geospatial hindcast with harmonised EU/EEA units, trade importation proxies and surveillance intensity, then test climate-only and joint explanations.</w:t>
      </w:r>
    </w:p>
    <w:p>
      <w:pPr>
        <w:pStyle w:val="Heading2"/>
      </w:pPr>
      <w:r>
        <w:t>GAP-08 | Climate, competition and connectivity affect future migration and ranges of European trees (2011)</w:t>
      </w:r>
    </w:p>
    <w:p>
      <w:r>
        <w:rPr>
          <w:b/>
          <w:color w:val="1F414B"/>
        </w:rPr>
        <w:t xml:space="preserve">Original study and stable ID: </w:t>
      </w:r>
      <w:r>
        <w:t>claim-529dd495e6d148e4 | https://doi.org/10.1111/j.1466-8238.2011.00669.x</w:t>
      </w:r>
    </w:p>
    <w:p>
      <w:r>
        <w:rPr>
          <w:b/>
          <w:color w:val="1F414B"/>
        </w:rPr>
        <w:t xml:space="preserve">Corresponding research case: </w:t>
      </w:r>
      <w:r>
        <w:t>P26-10</w:t>
      </w:r>
    </w:p>
    <w:p>
      <w:r>
        <w:rPr>
          <w:b/>
          <w:color w:val="1F414B"/>
        </w:rPr>
        <w:t xml:space="preserve">Unanswered question: </w:t>
      </w:r>
      <w:r>
        <w:t>Are long-lived European tree species keeping pace with climatic range shifts?</w:t>
      </w:r>
    </w:p>
    <w:p>
      <w:r>
        <w:rPr>
          <w:b/>
          <w:color w:val="1F414B"/>
        </w:rPr>
        <w:t xml:space="preserve">Scientific importance: </w:t>
      </w:r>
      <w:r>
        <w:t>Unresolved mechanism or horizon in tree migration; separating scenarios from realised effects has broad explanatory value.</w:t>
      </w:r>
    </w:p>
    <w:p>
      <w:r>
        <w:rPr>
          <w:b/>
          <w:color w:val="1F414B"/>
        </w:rPr>
        <w:t xml:space="preserve">Missing observations: </w:t>
      </w:r>
      <w:r>
        <w:t>Species-level resurveyed plot distributions by life stage and connectivity</w:t>
      </w:r>
    </w:p>
    <w:p>
      <w:r>
        <w:rPr>
          <w:b/>
          <w:color w:val="1F414B"/>
        </w:rPr>
        <w:t xml:space="preserve">Proposed follow-up investigation: </w:t>
      </w:r>
      <w:r>
        <w:t>Reconstruct 2011 model grid and compare with ICP Forests 2020s plots, including disturbance and drought mortality.</w:t>
      </w:r>
    </w:p>
    <w:p>
      <w:pPr>
        <w:pStyle w:val="Heading2"/>
      </w:pPr>
      <w:r>
        <w:t>GAP-09 | Future air quality in Europe: a multi-model assessment of projected exposure to ozone (2012)</w:t>
      </w:r>
    </w:p>
    <w:p>
      <w:r>
        <w:rPr>
          <w:b/>
          <w:color w:val="1F414B"/>
        </w:rPr>
        <w:t xml:space="preserve">Original study and stable ID: </w:t>
      </w:r>
      <w:r>
        <w:t>claim-872e8bc8934fa439 | https://doi.org/10.5194/acp-12-10613-2012</w:t>
      </w:r>
    </w:p>
    <w:p>
      <w:r>
        <w:rPr>
          <w:b/>
          <w:color w:val="1F414B"/>
        </w:rPr>
        <w:t xml:space="preserve">Corresponding research case: </w:t>
      </w:r>
      <w:r>
        <w:t>R24-08</w:t>
      </w:r>
    </w:p>
    <w:p>
      <w:r>
        <w:rPr>
          <w:b/>
          <w:color w:val="1F414B"/>
        </w:rPr>
        <w:t xml:space="preserve">Unanswered question: </w:t>
      </w:r>
      <w:r>
        <w:t>Have 2030 EU ozone indicators followed the 2012 model’s high- versus low-emission paths?</w:t>
      </w:r>
    </w:p>
    <w:p>
      <w:r>
        <w:rPr>
          <w:b/>
          <w:color w:val="1F414B"/>
        </w:rPr>
        <w:t xml:space="preserve">Scientific importance: </w:t>
      </w:r>
      <w:r>
        <w:t>Unresolved mechanism or horizon in ozone exposure; separating scenarios from realised effects has broad explanatory value.</w:t>
      </w:r>
    </w:p>
    <w:p>
      <w:r>
        <w:rPr>
          <w:b/>
          <w:color w:val="1F414B"/>
        </w:rPr>
        <w:t xml:space="preserve">Missing observations: </w:t>
      </w:r>
      <w:r>
        <w:t>2012 scenario-specific mean/peak ozone definitions and harmonised 2030 measurements</w:t>
      </w:r>
    </w:p>
    <w:p>
      <w:r>
        <w:rPr>
          <w:b/>
          <w:color w:val="1F414B"/>
        </w:rPr>
        <w:t xml:space="preserve">Proposed follow-up investigation: </w:t>
      </w:r>
      <w:r>
        <w:t>Retrieve model tables; align SOMO35, maximum daily 8-hour mean and growing-season metrics in EEA AirBase.</w:t>
      </w:r>
    </w:p>
    <w:p>
      <w:pPr>
        <w:pStyle w:val="Heading2"/>
      </w:pPr>
      <w:r>
        <w:t>GAP-10 | Impact of climate change on ozone-related mortality and morbidity in Europe (2012)</w:t>
      </w:r>
    </w:p>
    <w:p>
      <w:r>
        <w:rPr>
          <w:b/>
          <w:color w:val="1F414B"/>
        </w:rPr>
        <w:t xml:space="preserve">Original study and stable ID: </w:t>
      </w:r>
      <w:r>
        <w:t>claim-c5a14eb6f1f7dd43 | https://doi.org/10.1183/09031936.00210411</w:t>
      </w:r>
    </w:p>
    <w:p>
      <w:r>
        <w:rPr>
          <w:b/>
          <w:color w:val="1F414B"/>
        </w:rPr>
        <w:t xml:space="preserve">Corresponding research case: </w:t>
      </w:r>
      <w:r>
        <w:t>R24-09</w:t>
      </w:r>
    </w:p>
    <w:p>
      <w:r>
        <w:rPr>
          <w:b/>
          <w:color w:val="1F414B"/>
        </w:rPr>
        <w:t xml:space="preserve">Unanswered question: </w:t>
      </w:r>
      <w:r>
        <w:t>How much later ozone mortality change is attributable to climate rather than precursor cuts?</w:t>
      </w:r>
    </w:p>
    <w:p>
      <w:r>
        <w:rPr>
          <w:b/>
          <w:color w:val="1F414B"/>
        </w:rPr>
        <w:t xml:space="preserve">Scientific importance: </w:t>
      </w:r>
      <w:r>
        <w:t>Unresolved mechanism or horizon in ozone health; separating scenarios from realised effects has broad explanatory value.</w:t>
      </w:r>
    </w:p>
    <w:p>
      <w:r>
        <w:rPr>
          <w:b/>
          <w:color w:val="1F414B"/>
        </w:rPr>
        <w:t xml:space="preserve">Missing observations: </w:t>
      </w:r>
      <w:r>
        <w:t>Counterfactual runs with fixed emissions and population ageing</w:t>
      </w:r>
    </w:p>
    <w:p>
      <w:r>
        <w:rPr>
          <w:b/>
          <w:color w:val="1F414B"/>
        </w:rPr>
        <w:t xml:space="preserve">Proposed follow-up investigation: </w:t>
      </w:r>
      <w:r>
        <w:t>Compare original climate-only model to newer health burden attribution with matched exposure-response functions.</w:t>
      </w:r>
    </w:p>
    <w:p>
      <w:pPr>
        <w:pStyle w:val="Heading2"/>
      </w:pPr>
      <w:r>
        <w:t>GAP-11 | Potential stocks and increments of woody biomass in the European Union under different management and climate scenarios (2013)</w:t>
      </w:r>
    </w:p>
    <w:p>
      <w:r>
        <w:rPr>
          <w:b/>
          <w:color w:val="1F414B"/>
        </w:rPr>
        <w:t xml:space="preserve">Original study and stable ID: </w:t>
      </w:r>
      <w:r>
        <w:t>claim-65c6f526acccd869 | https://doi.org/10.1186/1750-0680-8-2</w:t>
      </w:r>
    </w:p>
    <w:p>
      <w:r>
        <w:rPr>
          <w:b/>
          <w:color w:val="1F414B"/>
        </w:rPr>
        <w:t xml:space="preserve">Corresponding research case: </w:t>
      </w:r>
      <w:r>
        <w:t>R24-11</w:t>
      </w:r>
    </w:p>
    <w:p>
      <w:r>
        <w:rPr>
          <w:b/>
          <w:color w:val="1F414B"/>
        </w:rPr>
        <w:t xml:space="preserve">Unanswered question: </w:t>
      </w:r>
      <w:r>
        <w:t>Will EU woody biomass increment stagnate under changing management and disturbance?</w:t>
      </w:r>
    </w:p>
    <w:p>
      <w:r>
        <w:rPr>
          <w:b/>
          <w:color w:val="1F414B"/>
        </w:rPr>
        <w:t xml:space="preserve">Scientific importance: </w:t>
      </w:r>
      <w:r>
        <w:t>Unresolved mechanism or horizon in forests / carbon sinks; separating scenarios from realised effects has broad explanatory value.</w:t>
      </w:r>
    </w:p>
    <w:p>
      <w:r>
        <w:rPr>
          <w:b/>
          <w:color w:val="1F414B"/>
        </w:rPr>
        <w:t xml:space="preserve">Missing observations: </w:t>
      </w:r>
      <w:r>
        <w:t>Inventory increment series corrected for national accounting revisions</w:t>
      </w:r>
    </w:p>
    <w:p>
      <w:r>
        <w:rPr>
          <w:b/>
          <w:color w:val="1F414B"/>
        </w:rPr>
        <w:t xml:space="preserve">Proposed follow-up investigation: </w:t>
      </w:r>
      <w:r>
        <w:t>Pair EU forests increment from National Forest Inventories with harvest, disturbance and LULUCF sink; distinguish total stock and annual increment.</w:t>
      </w:r>
    </w:p>
    <w:p>
      <w:pPr>
        <w:pStyle w:val="Heading2"/>
      </w:pPr>
      <w:r>
        <w:t>GAP-12 | Finland-Russia rail transport deregulation: future scenarios of market development (2011)</w:t>
      </w:r>
    </w:p>
    <w:p>
      <w:r>
        <w:rPr>
          <w:b/>
          <w:color w:val="1F414B"/>
        </w:rPr>
        <w:t xml:space="preserve">Original study and stable ID: </w:t>
      </w:r>
      <w:r>
        <w:t>claim-bae835546dfc91be | https://doi.org/10.1504/IJSTL.2011.039377</w:t>
      </w:r>
    </w:p>
    <w:p>
      <w:r>
        <w:rPr>
          <w:b/>
          <w:color w:val="1F414B"/>
        </w:rPr>
        <w:t xml:space="preserve">Corresponding research case: </w:t>
      </w:r>
      <w:r>
        <w:t>R24-12</w:t>
      </w:r>
    </w:p>
    <w:p>
      <w:r>
        <w:rPr>
          <w:b/>
          <w:color w:val="1F414B"/>
        </w:rPr>
        <w:t xml:space="preserve">Unanswered question: </w:t>
      </w:r>
      <w:r>
        <w:t>Could Finland–Russia rail liberalisation have created competition absent the war?</w:t>
      </w:r>
    </w:p>
    <w:p>
      <w:r>
        <w:rPr>
          <w:b/>
          <w:color w:val="1F414B"/>
        </w:rPr>
        <w:t xml:space="preserve">Scientific importance: </w:t>
      </w:r>
      <w:r>
        <w:t>Unresolved mechanism or horizon in rail trade / geopolitics; separating scenarios from realised effects has broad explanatory value.</w:t>
      </w:r>
    </w:p>
    <w:p>
      <w:r>
        <w:rPr>
          <w:b/>
          <w:color w:val="1F414B"/>
        </w:rPr>
        <w:t xml:space="preserve">Missing observations: </w:t>
      </w:r>
      <w:r>
        <w:t>Historic 2011–2021 competitor entry, tariffs and cross-border rail flows</w:t>
      </w:r>
    </w:p>
    <w:p>
      <w:r>
        <w:rPr>
          <w:b/>
          <w:color w:val="1F414B"/>
        </w:rPr>
        <w:t xml:space="preserve">Proposed follow-up investigation: </w:t>
      </w:r>
      <w:r>
        <w:t>Obtain Finnish regulatory rail-market entry decisions and throughput; separate pre-war market uptake and post-2022 rupture.</w:t>
      </w:r>
    </w:p>
    <w:p>
      <w:pPr>
        <w:pStyle w:val="Heading2"/>
      </w:pPr>
      <w:r>
        <w:t>GAP-13 | O4-2.1 Foresight tackling obesities: future choices (2011)</w:t>
      </w:r>
    </w:p>
    <w:p>
      <w:r>
        <w:rPr>
          <w:b/>
          <w:color w:val="1F414B"/>
        </w:rPr>
        <w:t xml:space="preserve">Original study and stable ID: </w:t>
      </w:r>
      <w:r>
        <w:t>claim-c4bd64f065820699 | https://doi.org/10.1136/jech.2011.142976b.14</w:t>
      </w:r>
    </w:p>
    <w:p>
      <w:r>
        <w:rPr>
          <w:b/>
          <w:color w:val="1F414B"/>
        </w:rPr>
        <w:t xml:space="preserve">Corresponding research case: </w:t>
      </w:r>
      <w:r>
        <w:t>R24-14</w:t>
      </w:r>
    </w:p>
    <w:p>
      <w:r>
        <w:rPr>
          <w:b/>
          <w:color w:val="1F414B"/>
        </w:rPr>
        <w:t xml:space="preserve">Unanswered question: </w:t>
      </w:r>
      <w:r>
        <w:t>Which assumptions explain the gap between UK Foresight obesity curves and 2024 survey data?</w:t>
      </w:r>
    </w:p>
    <w:p>
      <w:r>
        <w:rPr>
          <w:b/>
          <w:color w:val="1F414B"/>
        </w:rPr>
        <w:t xml:space="preserve">Scientific importance: </w:t>
      </w:r>
      <w:r>
        <w:t>Unresolved mechanism or horizon in obesity / uk; separating scenarios from realised effects has broad explanatory value.</w:t>
      </w:r>
    </w:p>
    <w:p>
      <w:r>
        <w:rPr>
          <w:b/>
          <w:color w:val="1F414B"/>
        </w:rPr>
        <w:t xml:space="preserve">Missing observations: </w:t>
      </w:r>
      <w:r>
        <w:t>Historical model coefficients, age/sex rates and consistent measured surveys</w:t>
      </w:r>
    </w:p>
    <w:p>
      <w:r>
        <w:rPr>
          <w:b/>
          <w:color w:val="1F414B"/>
        </w:rPr>
        <w:t xml:space="preserve">Proposed follow-up investigation: </w:t>
      </w:r>
      <w:r>
        <w:t>Re-fit Foresight projection to post-2007 data with validation at 2015, 2020 and 2024; separate uncertainty and intervention effects.</w:t>
      </w:r>
    </w:p>
    <w:p>
      <w:pPr>
        <w:pStyle w:val="Heading2"/>
      </w:pPr>
      <w:r>
        <w:t>GAP-14 | Application of the UK Foresight Obesity Model in Ireland: The Health and Economic Consequences of Projected Obesity Trends in Ireland (2013)</w:t>
      </w:r>
    </w:p>
    <w:p>
      <w:r>
        <w:rPr>
          <w:b/>
          <w:color w:val="1F414B"/>
        </w:rPr>
        <w:t xml:space="preserve">Original study and stable ID: </w:t>
      </w:r>
      <w:r>
        <w:t>claim-d9056b0d2f24898b | https://doi.org/10.1371/journal.pone.0079827</w:t>
      </w:r>
    </w:p>
    <w:p>
      <w:r>
        <w:rPr>
          <w:b/>
          <w:color w:val="1F414B"/>
        </w:rPr>
        <w:t xml:space="preserve">Corresponding research case: </w:t>
      </w:r>
      <w:r>
        <w:t>R24-15</w:t>
      </w:r>
    </w:p>
    <w:p>
      <w:r>
        <w:rPr>
          <w:b/>
          <w:color w:val="1F414B"/>
        </w:rPr>
        <w:t xml:space="preserve">Unanswered question: </w:t>
      </w:r>
      <w:r>
        <w:t>Will Irish obesity and disease costs approach 2013 extrapolations by 2030?</w:t>
      </w:r>
    </w:p>
    <w:p>
      <w:r>
        <w:rPr>
          <w:b/>
          <w:color w:val="1F414B"/>
        </w:rPr>
        <w:t xml:space="preserve">Scientific importance: </w:t>
      </w:r>
      <w:r>
        <w:t>Unresolved mechanism or horizon in obesity / ireland; separating scenarios from realised effects has broad explanatory value.</w:t>
      </w:r>
    </w:p>
    <w:p>
      <w:r>
        <w:rPr>
          <w:b/>
          <w:color w:val="1F414B"/>
        </w:rPr>
        <w:t xml:space="preserve">Missing observations: </w:t>
      </w:r>
      <w:r>
        <w:t>Comparable Irish measured BMI cohorts, disease incidence and healthcare cost deflators</w:t>
      </w:r>
    </w:p>
    <w:p>
      <w:r>
        <w:rPr>
          <w:b/>
          <w:color w:val="1F414B"/>
        </w:rPr>
        <w:t xml:space="preserve">Proposed follow-up investigation: </w:t>
      </w:r>
      <w:r>
        <w:t>Re-estimate paper’s 2013 model with CSO/Healthy Ireland and NCD-RisC; document self-reported versus measured differences.</w:t>
      </w:r>
    </w:p>
    <w:p>
      <w:pPr>
        <w:pStyle w:val="Heading2"/>
      </w:pPr>
      <w:r>
        <w:t>GAP-15 | Using scenarios to assess the future supply of NHS nursing staff in England (2012)</w:t>
      </w:r>
    </w:p>
    <w:p>
      <w:r>
        <w:rPr>
          <w:b/>
          <w:color w:val="1F414B"/>
        </w:rPr>
        <w:t xml:space="preserve">Original study and stable ID: </w:t>
      </w:r>
      <w:r>
        <w:t>claim-1b6b71170e9f7fa5 | https://doi.org/10.1186/1478-4491-10-16</w:t>
      </w:r>
    </w:p>
    <w:p>
      <w:r>
        <w:rPr>
          <w:b/>
          <w:color w:val="1F414B"/>
        </w:rPr>
        <w:t xml:space="preserve">Corresponding research case: </w:t>
      </w:r>
      <w:r>
        <w:t>R24-16</w:t>
      </w:r>
    </w:p>
    <w:p>
      <w:r>
        <w:rPr>
          <w:b/>
          <w:color w:val="1F414B"/>
        </w:rPr>
        <w:t xml:space="preserve">Unanswered question: </w:t>
      </w:r>
      <w:r>
        <w:t>What combination of retention, recruitment and training changed the nurse scenario?</w:t>
      </w:r>
    </w:p>
    <w:p>
      <w:r>
        <w:rPr>
          <w:b/>
          <w:color w:val="1F414B"/>
        </w:rPr>
        <w:t xml:space="preserve">Scientific importance: </w:t>
      </w:r>
      <w:r>
        <w:t>Unresolved mechanism or horizon in nursing workforce; separating scenarios from realised effects has broad explanatory value.</w:t>
      </w:r>
    </w:p>
    <w:p>
      <w:r>
        <w:rPr>
          <w:b/>
          <w:color w:val="1F414B"/>
        </w:rPr>
        <w:t xml:space="preserve">Missing observations: </w:t>
      </w:r>
      <w:r>
        <w:t>Reconciled 2010–2025 England headcount and FTE by role and training geography</w:t>
      </w:r>
    </w:p>
    <w:p>
      <w:r>
        <w:rPr>
          <w:b/>
          <w:color w:val="1F414B"/>
        </w:rPr>
        <w:t xml:space="preserve">Proposed follow-up investigation: </w:t>
      </w:r>
      <w:r>
        <w:t>Re-run 2012 conditional scenarios with NHS workforce annual observations and overseas joiner flows; avoid comparing FTE to headcount.</w:t>
      </w:r>
    </w:p>
    <w:p>
      <w:pPr>
        <w:pStyle w:val="Heading2"/>
      </w:pPr>
      <w:r>
        <w:t>GAP-16 | Health impact assessment of waste management facilities in three European countries (2011)</w:t>
      </w:r>
    </w:p>
    <w:p>
      <w:r>
        <w:rPr>
          <w:b/>
          <w:color w:val="1F414B"/>
        </w:rPr>
        <w:t xml:space="preserve">Original study and stable ID: </w:t>
      </w:r>
      <w:r>
        <w:t>claim-17422a844c2cce7d | https://doi.org/10.1186/1476-069X-10-53</w:t>
      </w:r>
    </w:p>
    <w:p>
      <w:r>
        <w:rPr>
          <w:b/>
          <w:color w:val="1F414B"/>
        </w:rPr>
        <w:t xml:space="preserve">Corresponding research case: </w:t>
      </w:r>
      <w:r>
        <w:t>R24-17</w:t>
      </w:r>
    </w:p>
    <w:p>
      <w:r>
        <w:rPr>
          <w:b/>
          <w:color w:val="1F414B"/>
        </w:rPr>
        <w:t xml:space="preserve">Unanswered question: </w:t>
      </w:r>
      <w:r>
        <w:t>What was the actual legacy burden near 2001 waste facilities after plant portfolios changed?</w:t>
      </w:r>
    </w:p>
    <w:p>
      <w:r>
        <w:rPr>
          <w:b/>
          <w:color w:val="1F414B"/>
        </w:rPr>
        <w:t xml:space="preserve">Scientific importance: </w:t>
      </w:r>
      <w:r>
        <w:t>Unresolved mechanism or horizon in waste health; separating scenarios from realised effects has broad explanatory value.</w:t>
      </w:r>
    </w:p>
    <w:p>
      <w:r>
        <w:rPr>
          <w:b/>
          <w:color w:val="1F414B"/>
        </w:rPr>
        <w:t xml:space="preserve">Missing observations: </w:t>
      </w:r>
      <w:r>
        <w:t>Site- and technology-specific health outcomes and exposure since 2011</w:t>
      </w:r>
    </w:p>
    <w:p>
      <w:r>
        <w:rPr>
          <w:b/>
          <w:color w:val="1F414B"/>
        </w:rPr>
        <w:t xml:space="preserve">Proposed follow-up investigation: </w:t>
      </w:r>
      <w:r>
        <w:t>Reproduce 2011 conditional fixed-cohort model; attach facility-level emissions and closure/build chronology, compare with updated epidemiology.</w:t>
      </w:r>
    </w:p>
    <w:p>
      <w:pPr>
        <w:pStyle w:val="Heading2"/>
      </w:pPr>
      <w:r>
        <w:t>GAP-17 | Immigration and integration scenarios in global Europe: Forward-looking up to 2050 (2013)</w:t>
      </w:r>
    </w:p>
    <w:p>
      <w:r>
        <w:rPr>
          <w:b/>
          <w:color w:val="1F414B"/>
        </w:rPr>
        <w:t xml:space="preserve">Original study and stable ID: </w:t>
      </w:r>
      <w:r>
        <w:t>claim-33bbbb43737342ec | https://doi.org/10.2298/SOC1302169A</w:t>
      </w:r>
    </w:p>
    <w:p>
      <w:r>
        <w:rPr>
          <w:b/>
          <w:color w:val="1F414B"/>
        </w:rPr>
        <w:t xml:space="preserve">Corresponding research case: </w:t>
      </w:r>
      <w:r>
        <w:t>R24-18</w:t>
      </w:r>
    </w:p>
    <w:p>
      <w:r>
        <w:rPr>
          <w:b/>
          <w:color w:val="1F414B"/>
        </w:rPr>
        <w:t xml:space="preserve">Unanswered question: </w:t>
      </w:r>
      <w:r>
        <w:t>How much of immigration’s demographic benefit depends on actual labour integration?</w:t>
      </w:r>
    </w:p>
    <w:p>
      <w:r>
        <w:rPr>
          <w:b/>
          <w:color w:val="1F414B"/>
        </w:rPr>
        <w:t xml:space="preserve">Scientific importance: </w:t>
      </w:r>
      <w:r>
        <w:t>Unresolved mechanism or horizon in migration / demography; separating scenarios from realised effects has broad explanatory value.</w:t>
      </w:r>
    </w:p>
    <w:p>
      <w:r>
        <w:rPr>
          <w:b/>
          <w:color w:val="1F414B"/>
        </w:rPr>
        <w:t xml:space="preserve">Missing observations: </w:t>
      </w:r>
      <w:r>
        <w:t>Country-by-origin age, employment and skills flows through 2035</w:t>
      </w:r>
    </w:p>
    <w:p>
      <w:r>
        <w:rPr>
          <w:b/>
          <w:color w:val="1F414B"/>
        </w:rPr>
        <w:t xml:space="preserve">Proposed follow-up investigation: </w:t>
      </w:r>
      <w:r>
        <w:t>Rerun 2013 migration pathways with EUROPOP2023 and JRC 2020 integration scenarios; compare employment rather than raw arrivals.</w:t>
      </w:r>
    </w:p>
    <w:p>
      <w:pPr>
        <w:pStyle w:val="Heading2"/>
      </w:pPr>
      <w:r>
        <w:t>GAP-18 | Demographic projections of future pharmaceutical consumption in the Netherlands (2011)</w:t>
      </w:r>
    </w:p>
    <w:p>
      <w:r>
        <w:rPr>
          <w:b/>
          <w:color w:val="1F414B"/>
        </w:rPr>
        <w:t xml:space="preserve">Original study and stable ID: </w:t>
      </w:r>
      <w:r>
        <w:t>claim-3d30340f6e823d1c | https://doi.org/10.2166/wst.2011.120</w:t>
      </w:r>
    </w:p>
    <w:p>
      <w:r>
        <w:rPr>
          <w:b/>
          <w:color w:val="1F414B"/>
        </w:rPr>
        <w:t xml:space="preserve">Corresponding research case: </w:t>
      </w:r>
      <w:r>
        <w:t>P26-09</w:t>
      </w:r>
    </w:p>
    <w:p>
      <w:r>
        <w:rPr>
          <w:b/>
          <w:color w:val="1F414B"/>
        </w:rPr>
        <w:t xml:space="preserve">Unanswered question: </w:t>
      </w:r>
      <w:r>
        <w:t>Did ageing cause the projected compound-specific Dutch pharmaceutical effluent increases?</w:t>
      </w:r>
    </w:p>
    <w:p>
      <w:r>
        <w:rPr>
          <w:b/>
          <w:color w:val="1F414B"/>
        </w:rPr>
        <w:t xml:space="preserve">Scientific importance: </w:t>
      </w:r>
      <w:r>
        <w:t>Unresolved mechanism or horizon in pharmaceutical emissions; separating scenarios from realised effects has broad explanatory value.</w:t>
      </w:r>
    </w:p>
    <w:p>
      <w:r>
        <w:rPr>
          <w:b/>
          <w:color w:val="1F414B"/>
        </w:rPr>
        <w:t xml:space="preserve">Missing observations: </w:t>
      </w:r>
      <w:r>
        <w:t>Prescribed drug masses by therapeutic class and wastewater detection by year</w:t>
      </w:r>
    </w:p>
    <w:p>
      <w:r>
        <w:rPr>
          <w:b/>
          <w:color w:val="1F414B"/>
        </w:rPr>
        <w:t xml:space="preserve">Proposed follow-up investigation: </w:t>
      </w:r>
      <w:r>
        <w:t>Recompute 2011 age-only baseline against SFK consumption, production mix, and water monitoring, controlling novel drugs and quaternary treatment.</w:t>
      </w:r>
    </w:p>
    <w:p>
      <w:pPr>
        <w:pStyle w:val="Heading2"/>
      </w:pPr>
      <w:r>
        <w:t>GAP-19 | Assessing the impact of the 2011 EU Transport White Paper - a rail freight demand forecast up to 2050 for the EU27 (2015)</w:t>
      </w:r>
    </w:p>
    <w:p>
      <w:r>
        <w:rPr>
          <w:b/>
          <w:color w:val="1F414B"/>
        </w:rPr>
        <w:t xml:space="preserve">Original study and stable ID: </w:t>
      </w:r>
      <w:r>
        <w:t>claim-0e11a67eff6ab8fa | https://doi.org/10.1007/s12544-015-0171-7</w:t>
      </w:r>
    </w:p>
    <w:p>
      <w:r>
        <w:rPr>
          <w:b/>
          <w:color w:val="1F414B"/>
        </w:rPr>
        <w:t xml:space="preserve">Corresponding research case: </w:t>
      </w:r>
      <w:r>
        <w:t>P26-05</w:t>
      </w:r>
    </w:p>
    <w:p>
      <w:r>
        <w:rPr>
          <w:b/>
          <w:color w:val="1F414B"/>
        </w:rPr>
        <w:t xml:space="preserve">Unanswered question: </w:t>
      </w:r>
      <w:r>
        <w:t>What conditions would be required to achieve the 2050 EU rail-freight high-policy scenario?</w:t>
      </w:r>
    </w:p>
    <w:p>
      <w:r>
        <w:rPr>
          <w:b/>
          <w:color w:val="1F414B"/>
        </w:rPr>
        <w:t xml:space="preserve">Scientific importance: </w:t>
      </w:r>
      <w:r>
        <w:t>Unresolved mechanism or horizon in rail freight; separating scenarios from realised effects has broad explanatory value.</w:t>
      </w:r>
    </w:p>
    <w:p>
      <w:r>
        <w:rPr>
          <w:b/>
          <w:color w:val="1F414B"/>
        </w:rPr>
        <w:t xml:space="preserve">Missing observations: </w:t>
      </w:r>
      <w:r>
        <w:t>Comparable freight modal series for &gt;300 km road-to-rail flows, infrastructure capacity</w:t>
      </w:r>
    </w:p>
    <w:p>
      <w:r>
        <w:rPr>
          <w:b/>
          <w:color w:val="1F414B"/>
        </w:rPr>
        <w:t xml:space="preserve">Proposed follow-up investigation: </w:t>
      </w:r>
      <w:r>
        <w:t>Retrieve TRANS-TOOLS scenario input tables; model terminals and costs using harmonised EEA and Eurostat data with 2030 review.</w:t>
      </w:r>
    </w:p>
    <w:p>
      <w:pPr>
        <w:pStyle w:val="Heading2"/>
      </w:pPr>
      <w:r>
        <w:t>GAP-20 | Analytical support to foresighting EU roles as a Global Security Actor (2013)</w:t>
      </w:r>
    </w:p>
    <w:p>
      <w:r>
        <w:rPr>
          <w:b/>
          <w:color w:val="1F414B"/>
        </w:rPr>
        <w:t xml:space="preserve">Original study and stable ID: </w:t>
      </w:r>
      <w:r>
        <w:t>claim-69950b53a5830d9a | https://doi.org/10.11610/isij.2902</w:t>
      </w:r>
    </w:p>
    <w:p>
      <w:r>
        <w:rPr>
          <w:b/>
          <w:color w:val="1F414B"/>
        </w:rPr>
        <w:t xml:space="preserve">Corresponding research case: </w:t>
      </w:r>
      <w:r>
        <w:t>R24-04</w:t>
      </w:r>
    </w:p>
    <w:p>
      <w:r>
        <w:rPr>
          <w:b/>
          <w:color w:val="1F414B"/>
        </w:rPr>
        <w:t xml:space="preserve">Unanswered question: </w:t>
      </w:r>
      <w:r>
        <w:t>Have EU 2035 security scenarios become strategically useful rather than merely rhetorically similar?</w:t>
      </w:r>
    </w:p>
    <w:p>
      <w:r>
        <w:rPr>
          <w:b/>
          <w:color w:val="1F414B"/>
        </w:rPr>
        <w:t xml:space="preserve">Scientific importance: </w:t>
      </w:r>
      <w:r>
        <w:t>Unresolved mechanism or horizon in eu security governance; separating scenarios from realised effects has broad explanatory value.</w:t>
      </w:r>
    </w:p>
    <w:p>
      <w:r>
        <w:rPr>
          <w:b/>
          <w:color w:val="1F414B"/>
        </w:rPr>
        <w:t xml:space="preserve">Missing observations: </w:t>
      </w:r>
      <w:r>
        <w:t>Actual FOCUS scenario deliverables and recorded use in EU planning</w:t>
      </w:r>
    </w:p>
    <w:p>
      <w:r>
        <w:rPr>
          <w:b/>
          <w:color w:val="1F414B"/>
        </w:rPr>
        <w:t xml:space="preserve">Proposed follow-up investigation: </w:t>
      </w:r>
      <w:r>
        <w:t>Read FP7 project outputs and trace citations in EU capability planning, comparing assumptions against 2022–2026 decisions without post hoc prediction labels.</w:t>
      </w:r>
    </w:p>
    <w:p>
      <w:pPr>
        <w:pStyle w:val="Heading1"/>
      </w:pPr>
      <w:r>
        <w:t>Conditions for closing research gaps</w:t>
      </w:r>
    </w:p>
    <w:p>
      <w:pPr>
        <w:pStyle w:val="ListParagraph"/>
      </w:pPr>
      <w:r>
        <w:t>• Compare the same geography, time horizon and variable as in the historical proposition; explain any necessary change in EU membership or territorial scope.</w:t>
      </w:r>
    </w:p>
    <w:p>
      <w:pPr>
        <w:pStyle w:val="ListParagraph"/>
      </w:pPr>
      <w:r>
        <w:t>• Separate an operational observation or completed outcome from a policy target, financial plan, literature citation or technology demonstration.</w:t>
      </w:r>
    </w:p>
    <w:p>
      <w:pPr>
        <w:pStyle w:val="ListParagraph"/>
      </w:pPr>
      <w:r>
        <w:t>• If the original source was read only as an abstract, retrieve the original passage before upgrading the outcome interpretation.</w:t>
      </w:r>
    </w:p>
    <w:p>
      <w:pPr>
        <w:pStyle w:val="ListParagraph"/>
      </w:pPr>
      <w:r>
        <w:t>• Record the empirical source, publication date, observation date, units, calculation method and any contrary observations.</w:t>
      </w:r>
    </w:p>
    <w:p>
      <w:pPr>
        <w:pStyle w:val="ListParagraph"/>
      </w:pPr>
      <w:r>
        <w:t>• Keep undecided, conditional and horizon-not-reached cases open; do not infer zero progress from a search that merely failed.</w:t>
      </w:r>
    </w:p>
    <w:sectPr>
      <w:headerReference w:type="default" r:id="rId6"/>
      <w:footerReference w:type="default" r:id="rId7"/>
      <w:pgSz w:w="11906" w:h="16838" w:orient="portrait"/>
      <w:pgMar w:top="1300" w:right="1247" w:bottom="1200" w:left="1247"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rPr>
        <w:rFonts w:ascii="Calibri" w:cs="Calibri" w:eastAsia="Calibri" w:hAnsi="Calibri"/>
        <w:color w:val="5B6770"/>
        <w:sz w:val="16"/>
        <w:szCs w:val="16"/>
      </w:rPr>
    </w:pPr>
    <w:r>
      <w:rPr>
        <w:rFonts w:ascii="Calibri" w:cs="Calibri" w:eastAsia="Calibri" w:hAnsi="Calibri"/>
        <w:color w:val="5B6770"/>
        <w:sz w:val="16"/>
        <w:szCs w:val="16"/>
      </w:rPr>
      <w:t xml:space="preserve">Review conducted 24 October 2026 · page </w:t>
    </w:r>
    <w:r>
      <w:rPr>
        <w:rFonts w:ascii="Calibri" w:cs="Calibri" w:eastAsia="Calibri" w:hAnsi="Calibri"/>
        <w:color w:val="5B6770"/>
        <w:sz w:val="16"/>
        <w:szCs w:val="16"/>
      </w:rPr>
      <w:fldChar w:fldCharType="begin"/>
      <w:instrText xml:space="preserve">PAGE</w:instrText>
      <w:fldChar w:fldCharType="separate"/>
      <w:fldChar w:fldCharType="end"/>
    </w:r>
    <w:r>
      <w:rPr>
        <w:rFonts w:ascii="Calibri" w:cs="Calibri" w:eastAsia="Calibri" w:hAnsi="Calibri"/>
        <w:color w:val="5B6770"/>
        <w:sz w:val="16"/>
        <w:szCs w:val="16"/>
      </w:rPr>
      <w:t xml:space="preserve"> of </w:t>
    </w:r>
    <w:r>
      <w:rPr>
        <w:rFonts w:ascii="Calibri" w:cs="Calibri" w:eastAsia="Calibri" w:hAnsi="Calibri"/>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2CC" w:sz="4" w:space="4"/>
      </w:pBdr>
      <w:tabs>
        <w:tab w:val="right" w:pos="9000"/>
      </w:tabs>
    </w:pPr>
    <w:r>
      <w:rPr>
        <w:rFonts w:ascii="Calibri" w:cs="Calibri" w:eastAsia="Calibri" w:hAnsi="Calibri"/>
        <w:color w:val="5B6770"/>
        <w:sz w:val="16"/>
        <w:szCs w:val="16"/>
      </w:rPr>
      <w:t xml:space="preserve">VV Futures — European Foresight Observatory</w:t>
    </w:r>
    <w:r>
      <w:rPr>
        <w:rFonts w:ascii="Calibri" w:cs="Calibri" w:eastAsia="Calibri" w:hAnsi="Calibri"/>
        <w:color w:val="5B6770"/>
        <w:sz w:val="16"/>
        <w:szCs w:val="16"/>
      </w:rPr>
      <w:t xml:space="preserve">	Research Gaps and Follow-ups ·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F2933"/>
        <w:sz w:val="21"/>
        <w:szCs w:val="21"/>
      </w:rPr>
    </w:rPrDefault>
    <w:pPrDefault>
      <w:pPr>
        <w:spacing w:after="120" w:line="276"/>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A5F"/>
      <w:sz w:val="44"/>
      <w:szCs w:val="44"/>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20" w:before="280"/>
      <w:outlineLvl w:val="1"/>
    </w:pPr>
    <w:rPr>
      <w:rFonts w:ascii="Calibri" w:cs="Calibri" w:eastAsia="Calibri" w:hAnsi="Calibri"/>
      <w:b/>
      <w:bCs/>
      <w:color w:val="1F3A5F"/>
      <w:sz w:val="25"/>
      <w:szCs w:val="25"/>
    </w:rPr>
  </w:style>
  <w:style w:type="paragraph" w:styleId="Footer">
    <w:name w:val="footer"/>
    <w:basedOn w:val="Normal"/>
    <w:pPr>
      <w:spacing w:after="0"/>
    </w:pPr>
    <w:rPr>
      <w:rFonts w:ascii="Calibri" w:cs="Calibri" w:eastAsia="Calibri" w:hAnsi="Calibri"/>
      <w:color w:val="5B6770"/>
      <w:sz w:val="16"/>
      <w:szCs w:val="16"/>
    </w:rPr>
  </w:style>
  <w:style w:type="paragraph" w:styleId="Heading3">
    <w:name w:val="Heading 3"/>
    <w:basedOn w:val="Normal"/>
    <w:next w:val="Normal"/>
    <w:qFormat/>
    <w:pPr>
      <w:keepNext/>
      <w:spacing w:after="80" w:before="200"/>
      <w:outlineLvl w:val="2"/>
    </w:pPr>
    <w:rPr>
      <w:rFonts w:ascii="Calibri" w:cs="Calibri" w:eastAsia="Calibri" w:hAnsi="Calibri"/>
      <w:b/>
      <w:bCs/>
      <w:color w:val="1F2933"/>
      <w:sz w:val="22"/>
      <w:szCs w:val="22"/>
    </w:rPr>
  </w:style>
  <w:style w:type="character" w:styleId="Hyperlink">
    <w:name w:val="Hyperlink"/>
    <w:basedOn w:val="DefaultParagraphFont"/>
    <w:uiPriority w:val="99"/>
    <w:unhideWhenUsed/>
    <w:rPr>
      <w:color w:val="1F5F99"/>
      <w:u w:val="single" w:color="1F5F9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pkzlmwh0vw8othb13airo" Type="http://schemas.openxmlformats.org/officeDocument/2006/relationships/hyperlink" Target="https://doi.org/10.1088/0953-2048/26/11/113001" TargetMode="External"/><Relationship Id="rIdg4kiciiihrfii7kv-mdo7" Type="http://schemas.openxmlformats.org/officeDocument/2006/relationships/hyperlink" Target="https://doi.org/10.1111/j.1468-2478.2011.00648.x" TargetMode="External"/><Relationship Id="rIdxn2ljokiu2guzgi4u8qcs" Type="http://schemas.openxmlformats.org/officeDocument/2006/relationships/hyperlink" Target="https://doi.org/10.11610/isij.2902" TargetMode="External"/><Relationship Id="rIdrkwonynjezxqz1o0cadwt" Type="http://schemas.openxmlformats.org/officeDocument/2006/relationships/hyperlink" Target="https://doi.org/10.11610/isij.2912" TargetMode="External"/><Relationship Id="rIdvzd9059tcn9wuqialjdxb" Type="http://schemas.openxmlformats.org/officeDocument/2006/relationships/hyperlink" Target="https://doi.org/10.5194/acp-13-7451-2013" TargetMode="External"/><Relationship Id="rIdhie7m-xy8olrk9dgmte97" Type="http://schemas.openxmlformats.org/officeDocument/2006/relationships/hyperlink" Target="https://doi.org/10.5194/acp-12-10613-2012" TargetMode="External"/><Relationship Id="rIdnkpwyoxmai1vobpf-s0v8" Type="http://schemas.openxmlformats.org/officeDocument/2006/relationships/hyperlink" Target="https://doi.org/10.1183/09031936.00210411" TargetMode="External"/><Relationship Id="rId3v7ceqrmakchs7bc_liyw" Type="http://schemas.openxmlformats.org/officeDocument/2006/relationships/hyperlink" Target="https://doi.org/10.1098/rsif.2012.0138" TargetMode="External"/><Relationship Id="rId37yvq_yzxpajw96szxapu" Type="http://schemas.openxmlformats.org/officeDocument/2006/relationships/hyperlink" Target="https://doi.org/10.1186/1750-0680-8-2" TargetMode="External"/><Relationship Id="rIdlpby1lcqspgbdiguhaybm" Type="http://schemas.openxmlformats.org/officeDocument/2006/relationships/hyperlink" Target="https://doi.org/10.1504/IJSTL.2011.039377" TargetMode="External"/><Relationship Id="rIdkk6bliyjv6jlenrbv2lqi" Type="http://schemas.openxmlformats.org/officeDocument/2006/relationships/hyperlink" Target="https://doi.org/10.1108/14636681211256099" TargetMode="External"/><Relationship Id="rIddfhyllo-6tqhpij-t9rje" Type="http://schemas.openxmlformats.org/officeDocument/2006/relationships/hyperlink" Target="https://doi.org/10.1136/jech.2011.142976b.14" TargetMode="External"/><Relationship Id="rIdaki5gsrh5j0wpwjadsq9r" Type="http://schemas.openxmlformats.org/officeDocument/2006/relationships/hyperlink" Target="https://doi.org/10.1371/journal.pone.0079827" TargetMode="External"/><Relationship Id="rId8svg4pmnoljx6pxaillik" Type="http://schemas.openxmlformats.org/officeDocument/2006/relationships/hyperlink" Target="https://doi.org/10.1186/1476-069X-10-53" TargetMode="External"/><Relationship Id="rIdc5sfp88xpjclsvjs8xxsk" Type="http://schemas.openxmlformats.org/officeDocument/2006/relationships/hyperlink" Target="https://doi.org/10.54648/eerr2013040" TargetMode="External"/><Relationship Id="rIdqgvefm5fu1ieqhnrb4tlk" Type="http://schemas.openxmlformats.org/officeDocument/2006/relationships/hyperlink" Target="https://doi.org/10.12720/sgce.3.3.299-306" TargetMode="External"/><Relationship Id="rIdhu3usfuurzwrfobs1hjlw" Type="http://schemas.openxmlformats.org/officeDocument/2006/relationships/hyperlink" Target="https://doi.org/10.1002/ghg.1410" TargetMode="External"/><Relationship Id="rIdq4ajdsx1osaxu_3vbx5pe" Type="http://schemas.openxmlformats.org/officeDocument/2006/relationships/hyperlink" Target="https://doi.org/10.2298/SOC1302169A" TargetMode="External"/><Relationship Id="rIdbsyy_blrdtq9z-vjbzmgl" Type="http://schemas.openxmlformats.org/officeDocument/2006/relationships/hyperlink" Target="https://doi.org/10.3389/frsc.2021.654162" TargetMode="External"/><Relationship Id="rIdjrsaovjhdo2pdin76qqlb" Type="http://schemas.openxmlformats.org/officeDocument/2006/relationships/hyperlink" Target="https://doi.org/10.1186/s40309-021-00179-y" TargetMode="External"/><Relationship Id="rIdcfc_npfp5_m9vtnocm9lu" Type="http://schemas.openxmlformats.org/officeDocument/2006/relationships/hyperlink" Target="https://doi.org/10.5547/01956574.42.3.faun" TargetMode="External"/><Relationship Id="rIdx7cj0hnwhr0u-w8xaj6fn" Type="http://schemas.openxmlformats.org/officeDocument/2006/relationships/hyperlink" Target="https://doi.org/10.1002/ijc.33617" TargetMode="External"/><Relationship Id="rIdvkqqxrwzcya8gipft0fsp" Type="http://schemas.openxmlformats.org/officeDocument/2006/relationships/hyperlink" Target="https://doi.org/10.1038/s41467-021-23584-0" TargetMode="External"/><Relationship Id="rIdt2udh0rw9nvkhokzcdfqk" Type="http://schemas.openxmlformats.org/officeDocument/2006/relationships/hyperlink" Target="https://doi.org/10.1080/13501763.2021.1918221" TargetMode="External"/><Relationship Id="rIdns2_ofjh1fvapkxnm2tlo" Type="http://schemas.openxmlformats.org/officeDocument/2006/relationships/hyperlink" Target="https://doi.org/10.15407/econindustry2021.02.071" TargetMode="External"/><Relationship Id="rIdac_6jygguvc1er7nbkwu2" Type="http://schemas.openxmlformats.org/officeDocument/2006/relationships/hyperlink" Target="https://doi.org/10.23939/eem2021.01.090" TargetMode="External"/><Relationship Id="rIdp02u5wg4i_clmluiye38s" Type="http://schemas.openxmlformats.org/officeDocument/2006/relationships/hyperlink" Target="https://doi.org/10.3390/w13101335" TargetMode="External"/><Relationship Id="rIdmh58atl2pk7ynoxkai88a" Type="http://schemas.openxmlformats.org/officeDocument/2006/relationships/hyperlink" Target="https://doi.org/10.1080/25741292.2021.1930687" TargetMode="External"/><Relationship Id="rId4jr_gvntdwckbjkqnty82" Type="http://schemas.openxmlformats.org/officeDocument/2006/relationships/hyperlink" Target="https://doi.org/10.1016/j.erss.2021.102083" TargetMode="External"/><Relationship Id="rIdjezfag73pn-sh4-muwous" Type="http://schemas.openxmlformats.org/officeDocument/2006/relationships/hyperlink" Target="https://doi.org/10.1002/wene.413" TargetMode="External"/><Relationship Id="rIdlwpd_igfzmjcyxrjza8yo" Type="http://schemas.openxmlformats.org/officeDocument/2006/relationships/hyperlink" Target="https://doi.org/10.3390/su13116303" TargetMode="External"/><Relationship Id="rIdxlp5sz6som8wirtndwjbz" Type="http://schemas.openxmlformats.org/officeDocument/2006/relationships/hyperlink" Target="https://doi.org/10.1111/jors.12542" TargetMode="External"/><Relationship Id="rIdibjwa-q6epxlishjjvnr0" Type="http://schemas.openxmlformats.org/officeDocument/2006/relationships/hyperlink" Target="https://doi.org/10.37394/232015.2021.17.55" TargetMode="External"/><Relationship Id="rIdooachseq1ts0mmhpybmzw" Type="http://schemas.openxmlformats.org/officeDocument/2006/relationships/hyperlink" Target="https://doi.org/10.1186/s40309-021-00176-1" TargetMode="External"/><Relationship Id="rIdpv-1pgom1ifoeisa6v0vq" Type="http://schemas.openxmlformats.org/officeDocument/2006/relationships/hyperlink" Target="https://doi.org/10.34021/ve.2021.04.02(1" TargetMode="External"/><Relationship Id="rIdwurmlrm-slw2ximr4brts" Type="http://schemas.openxmlformats.org/officeDocument/2006/relationships/hyperlink" Target="https://doi.org/10.3390/su13105590" TargetMode="External"/><Relationship Id="rIdtro-4auj6i_qavnrjw9kv" Type="http://schemas.openxmlformats.org/officeDocument/2006/relationships/hyperlink" Target="https://doi.org/10.1016/j.scitotenv.2021.148549" TargetMode="External"/><Relationship Id="rIdayclhvtin_tpfxhlrv3lu" Type="http://schemas.openxmlformats.org/officeDocument/2006/relationships/hyperlink" Target="https://doi.org/10.1177/1946756719890524" TargetMode="External"/><Relationship Id="rIdlq_iyogkhhwmj39nhgth8" Type="http://schemas.openxmlformats.org/officeDocument/2006/relationships/hyperlink" Target="https://doi.org/10.1186/s40309-019-0156-1" TargetMode="External"/><Relationship Id="rId9vdem6safrddeodsduth5" Type="http://schemas.openxmlformats.org/officeDocument/2006/relationships/hyperlink" Target="https://doi.org/10.1108/jtf-01-2017-0001" TargetMode="External"/><Relationship Id="rIdzp5a8cutxjwz6n3mezryv" Type="http://schemas.openxmlformats.org/officeDocument/2006/relationships/hyperlink" Target="https://doi.org/10.13128/bae-18520" TargetMode="External"/><Relationship Id="rIdwosyanovbaxo3qmw3edrj" Type="http://schemas.openxmlformats.org/officeDocument/2006/relationships/hyperlink" Target="https://doi.org/10.1007/s40309-014-0057-2" TargetMode="External"/><Relationship Id="rIdhokin7wpahznmpceig_a8" Type="http://schemas.openxmlformats.org/officeDocument/2006/relationships/hyperlink" Target="https://doi.org/10.1007/s40309-014-0052-7" TargetMode="External"/><Relationship Id="rId5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VV-FUTURES-RESEARCH-GAPS</dc:title>
  <dc:creator>VV Futures review (LLM-assisted)</dc:creator>
  <dc:description>Research gaps and follow-ups, 24 October 2026</dc:description>
  <cp:lastModifiedBy>Un-named</cp:lastModifiedBy>
  <cp:revision>1</cp:revision>
  <dcterms:created xsi:type="dcterms:W3CDTF">2026-10-24T09:04:08.120Z</dcterms:created>
  <dcterms:modified xsi:type="dcterms:W3CDTF">2026-10-24T09:04:08.120Z</dcterms:modified>
</cp:coreProperties>
</file>

<file path=docProps/custom.xml><?xml version="1.0" encoding="utf-8"?>
<Properties xmlns="http://schemas.openxmlformats.org/officeDocument/2006/custom-properties" xmlns:vt="http://schemas.openxmlformats.org/officeDocument/2006/docPropsVTypes"/>
</file>